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b/>
          <w:bCs/>
          <w:color w:val="808080"/>
          <w:sz w:val="20"/>
          <w:szCs w:val="20"/>
        </w:rPr>
        <w:t xml:space="preserve">REVIEW – MANUSCRIPT DRAFT (version 2026-10-08)</w:t>
      </w:r>
    </w:p>
    <w:p>
      <w:pPr>
        <w:spacing w:after="400"/>
        <w:jc w:val="center"/>
      </w:pPr>
      <w:r>
        <w:rPr>
          <w:b/>
          <w:bCs/>
          <w:color w:val="1F4E79"/>
          <w:sz w:val="36"/>
          <w:szCs w:val="36"/>
        </w:rPr>
        <w:t xml:space="preserve">Accuracy and Safety-Related Limitations of General-Purpose LLM Chatbots for Dental Patient Information: A Systematic Review Across Specialties</w:t>
      </w:r>
    </w:p>
    <w:p>
      <w:pPr>
        <w:spacing w:after="120" w:line="300"/>
        <w:jc w:val="center"/>
      </w:pPr>
      <w:r>
        <w:rPr>
          <w:highlight w:val="yellow"/>
          <w:highlightCs w:val="yellow"/>
        </w:rPr>
        <w:t xml:space="preserve">[Author 1 (DMD), Author 2 (DDS), Author 3 (DDS, PhD) … – names, degrees and ORCID]</w:t>
      </w:r>
    </w:p>
    <w:p>
      <w:pPr>
        <w:spacing w:after="120" w:line="300"/>
        <w:jc w:val="center"/>
      </w:pPr>
      <w:r>
        <w:rPr>
          <w:highlight w:val="yellow"/>
          <w:highlightCs w:val="yellow"/>
        </w:rPr>
        <w:t xml:space="preserve">[Department, Justus Liebig University Giessen, Giessen, Germany; further affiliations]</w:t>
      </w:r>
    </w:p>
    <w:p>
      <w:pPr>
        <w:spacing w:after="120" w:line="300"/>
        <w:jc w:val="center"/>
      </w:pPr>
      <w:r>
        <w:t xml:space="preserve">Correspondence: </w:t>
      </w:r>
      <w:r>
        <w:rPr>
          <w:highlight w:val="yellow"/>
          <w:highlightCs w:val="yellow"/>
        </w:rPr>
        <w:t xml:space="preserve">[name, address, e-mail]</w:t>
      </w:r>
    </w:p>
    <w:p>
      <w:pPr>
        <w:spacing w:after="120" w:line="300"/>
        <w:jc w:val="center"/>
      </w:pPr>
      <w:r>
        <w:t xml:space="preserve">Running title: LLM chatbots for dental patient information – accuracy and safety</w:t>
      </w:r>
    </w:p>
    <w:p>
      <w:pPr>
        <w:spacing w:after="120" w:line="300"/>
        <w:jc w:val="center"/>
      </w:pPr>
      <w:r>
        <w:t xml:space="preserve">Registration: PROSPERO </w:t>
      </w:r>
      <w:r>
        <w:rPr>
          <w:highlight w:val="yellow"/>
          <w:highlightCs w:val="yellow"/>
        </w:rPr>
        <w:t xml:space="preserve">[CRD420XXXXXXXX – submit protocol before full-text screening]</w:t>
      </w:r>
    </w:p>
    <w:p>
      <w:pPr>
        <w:spacing w:after="120" w:line="300"/>
        <w:jc w:val="center"/>
      </w:pPr>
      <w:r>
        <w:t xml:space="preserve">Reporting guideline: PRISMA 2020 and PRISMA-S; AI use reported following the 2025 Cochrane/Campbell/JBI/CEE position statement</w:t>
      </w:r>
    </w:p>
    <w:p>
      <w:pPr>
        <w:pBdr>
          <w:left w:val="single" w:color="2E75B6" w:sz="12" w:space="6"/>
        </w:pBdr>
        <w:shd w:fill="EAF1FB" w:color="auto" w:val="clear"/>
        <w:spacing w:after="120"/>
      </w:pPr>
      <w:r>
        <w:rPr>
          <w:i/>
          <w:iCs/>
          <w:color w:val="1F4E79"/>
          <w:sz w:val="20"/>
          <w:szCs w:val="20"/>
        </w:rPr>
        <w:t xml:space="preserve">How to use this draft: text in plain font is final for the stage reached (search, deduplication and title/abstract screening are complete). Highlighted [placeholders] require data from the full-text stage. Blue boxes contain drafting guidance and must be deleted before submission. Numbers are generated automatically from the screening workbook (LLM_Dental_SR_Screening_Workbook.xlsx).</w:t>
      </w:r>
    </w:p>
    <w:p>
      <w:r>
        <w:br w:type="page"/>
      </w:r>
    </w:p>
    <w:p>
      <w:pPr>
        <w:pStyle w:val="Heading1"/>
        <w:spacing w:after="160" w:before="300"/>
      </w:pPr>
      <w:r>
        <w:t xml:space="preserve">Abstract</w:t>
      </w:r>
    </w:p>
    <w:p>
      <w:pPr>
        <w:spacing w:after="120" w:line="300"/>
        <w:jc w:val="both"/>
      </w:pPr>
      <w:r>
        <w:rPr>
          <w:b/>
          <w:bCs/>
        </w:rPr>
        <w:t xml:space="preserve">Purpose:</w:t>
      </w:r>
      <w:r>
        <w:t xml:space="preserve"> To systematically evaluate the accuracy of patient-facing dental health information generated by general-purpose large language model (LLM) chatbots, to characterise potentially harmful errors and safety-relevant omissions, and to explore differences across dental specialties, model versions, task characteristics and evaluation methods.</w:t>
      </w:r>
    </w:p>
    <w:p>
      <w:pPr>
        <w:spacing w:after="120" w:line="300"/>
        <w:jc w:val="both"/>
      </w:pPr>
      <w:r>
        <w:rPr>
          <w:b/>
          <w:bCs/>
        </w:rPr>
        <w:t xml:space="preserve">Methods:</w:t>
      </w:r>
      <w:r>
        <w:t xml:space="preserve"> Following PRISMA 2020, ten information sources (PubMed/MEDLINE, Europe PMC, Semantic Scholar, Crossref, DOAJ, arXiv and four AI-assisted search connectors) were searched from January 2022 to 2 October 2026 </w:t>
      </w:r>
      <w:r>
        <w:rPr>
          <w:highlight w:val="yellow"/>
          <w:highlightCs w:val="yellow"/>
        </w:rPr>
        <w:t xml:space="preserve">[+ Scopus, Web of Science, Embase, citation searching]</w:t>
      </w:r>
      <w:r>
        <w:t xml:space="preserve">. Primary evaluation studies of general-purpose LLM chatbots (e.g. ChatGPT, Gemini, Copilot, Claude, DeepSeek) answering patient questions or generating patient information in any dental specialty were eligible. Two independent reviewers screened records, with a third resolving conflicts; screening was quality-controlled with active learning (ASReview). Risk of bias was assessed with a modified QUADAS-2 tool including a safety-reporting domain. Proportions of accurate responses and POMP-transformed accuracy scores were pooled with multilevel random-effects models; safety findings were synthesised with a prespecified taxonomy (SWiM).</w:t>
      </w:r>
    </w:p>
    <w:p>
      <w:pPr>
        <w:spacing w:after="120" w:line="300"/>
        <w:jc w:val="both"/>
      </w:pPr>
      <w:r>
        <w:rPr>
          <w:b/>
          <w:bCs/>
        </w:rPr>
        <w:t xml:space="preserve">Results:</w:t>
      </w:r>
      <w:r>
        <w:t xml:space="preserve"> Of 7,734 records (2,164 after deduplication and automated filtering), 349 were assessed in full text and </w:t>
      </w:r>
      <w:r>
        <w:rPr>
          <w:highlight w:val="yellow"/>
          <w:highlightCs w:val="yellow"/>
        </w:rPr>
        <w:t xml:space="preserve">[k]</w:t>
      </w:r>
      <w:r>
        <w:t xml:space="preserve"> studies (</w:t>
      </w:r>
      <w:r>
        <w:rPr>
          <w:highlight w:val="yellow"/>
          <w:highlightCs w:val="yellow"/>
        </w:rPr>
        <w:t xml:space="preserve">[n]</w:t>
      </w:r>
      <w:r>
        <w:t xml:space="preserve"> chatbot arms, </w:t>
      </w:r>
      <w:r>
        <w:rPr>
          <w:highlight w:val="yellow"/>
          <w:highlightCs w:val="yellow"/>
        </w:rPr>
        <w:t xml:space="preserve">[n]</w:t>
      </w:r>
      <w:r>
        <w:t xml:space="preserve"> questions) were included, covering </w:t>
      </w:r>
      <w:r>
        <w:rPr>
          <w:highlight w:val="yellow"/>
          <w:highlightCs w:val="yellow"/>
        </w:rPr>
        <w:t xml:space="preserve">[n]</w:t>
      </w:r>
      <w:r>
        <w:t xml:space="preserve"> specialties. Pooled accuracy was </w:t>
      </w:r>
      <w:r>
        <w:rPr>
          <w:highlight w:val="yellow"/>
          <w:highlightCs w:val="yellow"/>
        </w:rPr>
        <w:t xml:space="preserve">[x]</w:t>
      </w:r>
      <w:r>
        <w:t xml:space="preserve">% (95% CI </w:t>
      </w:r>
      <w:r>
        <w:rPr>
          <w:highlight w:val="yellow"/>
          <w:highlightCs w:val="yellow"/>
        </w:rPr>
        <w:t xml:space="preserve">[ ]</w:t>
      </w:r>
      <w:r>
        <w:t xml:space="preserve">; prediction interval </w:t>
      </w:r>
      <w:r>
        <w:rPr>
          <w:highlight w:val="yellow"/>
          <w:highlightCs w:val="yellow"/>
        </w:rPr>
        <w:t xml:space="preserve">[ ]</w:t>
      </w:r>
      <w:r>
        <w:t xml:space="preserve">) for categorical outcomes and </w:t>
      </w:r>
      <w:r>
        <w:rPr>
          <w:highlight w:val="yellow"/>
          <w:highlightCs w:val="yellow"/>
        </w:rPr>
        <w:t xml:space="preserve">[x]</w:t>
      </w:r>
      <w:r>
        <w:t xml:space="preserve">/100 (95% CI </w:t>
      </w:r>
      <w:r>
        <w:rPr>
          <w:highlight w:val="yellow"/>
          <w:highlightCs w:val="yellow"/>
        </w:rPr>
        <w:t xml:space="preserve">[ ]</w:t>
      </w:r>
      <w:r>
        <w:t xml:space="preserve">) for continuous outcomes. Potentially harmful content was reported in </w:t>
      </w:r>
      <w:r>
        <w:rPr>
          <w:highlight w:val="yellow"/>
          <w:highlightCs w:val="yellow"/>
        </w:rPr>
        <w:t xml:space="preserve">[k]</w:t>
      </w:r>
      <w:r>
        <w:t xml:space="preserve"> studies, affecting </w:t>
      </w:r>
      <w:r>
        <w:rPr>
          <w:highlight w:val="yellow"/>
          <w:highlightCs w:val="yellow"/>
        </w:rPr>
        <w:t xml:space="preserve">[x]</w:t>
      </w:r>
      <w:r>
        <w:t xml:space="preserve">% (95% CI </w:t>
      </w:r>
      <w:r>
        <w:rPr>
          <w:highlight w:val="yellow"/>
          <w:highlightCs w:val="yellow"/>
        </w:rPr>
        <w:t xml:space="preserve">[ ]</w:t>
      </w:r>
      <w:r>
        <w:t xml:space="preserve">) of responses; the most frequent safety issues were </w:t>
      </w:r>
      <w:r>
        <w:rPr>
          <w:highlight w:val="yellow"/>
          <w:highlightCs w:val="yellow"/>
        </w:rPr>
        <w:t xml:space="preserve">[ ]</w:t>
      </w:r>
      <w:r>
        <w:t xml:space="preserve">. Accuracy differed across specialties (</w:t>
      </w:r>
      <w:r>
        <w:rPr>
          <w:highlight w:val="yellow"/>
          <w:highlightCs w:val="yellow"/>
        </w:rPr>
        <w:t xml:space="preserve">[highest/lowest]</w:t>
      </w:r>
      <w:r>
        <w:t xml:space="preserve">; P for subgroup difference = </w:t>
      </w:r>
      <w:r>
        <w:rPr>
          <w:highlight w:val="yellow"/>
          <w:highlightCs w:val="yellow"/>
        </w:rPr>
        <w:t xml:space="preserve">[ ]</w:t>
      </w:r>
      <w:r>
        <w:t xml:space="preserve">) and was associated with </w:t>
      </w:r>
      <w:r>
        <w:rPr>
          <w:highlight w:val="yellow"/>
          <w:highlightCs w:val="yellow"/>
        </w:rPr>
        <w:t xml:space="preserve">[model generation/task type/evaluation method]</w:t>
      </w:r>
      <w:r>
        <w:t xml:space="preserve">. Risk of bias was high in </w:t>
      </w:r>
      <w:r>
        <w:rPr>
          <w:highlight w:val="yellow"/>
          <w:highlightCs w:val="yellow"/>
        </w:rPr>
        <w:t xml:space="preserve">[ ]</w:t>
      </w:r>
      <w:r>
        <w:t xml:space="preserve"> and certainty of evidence was </w:t>
      </w:r>
      <w:r>
        <w:rPr>
          <w:highlight w:val="yellow"/>
          <w:highlightCs w:val="yellow"/>
        </w:rPr>
        <w:t xml:space="preserve">[GRADE]</w:t>
      </w:r>
      <w:r>
        <w:t xml:space="preserve">.</w:t>
      </w:r>
    </w:p>
    <w:p>
      <w:pPr>
        <w:spacing w:after="120" w:line="300"/>
        <w:jc w:val="both"/>
      </w:pPr>
      <w:r>
        <w:rPr>
          <w:b/>
          <w:bCs/>
        </w:rPr>
        <w:t xml:space="preserve">Conclusions:</w:t>
      </w:r>
      <w:r>
        <w:t xml:space="preserve"> </w:t>
      </w:r>
      <w:r>
        <w:rPr>
          <w:highlight w:val="yellow"/>
          <w:highlightCs w:val="yellow"/>
        </w:rPr>
        <w:t xml:space="preserve">[One to two sentences on accuracy, safety and specialty differences; implication for patient use and for evaluation standards (CHART).]</w:t>
      </w:r>
    </w:p>
    <w:p>
      <w:pPr>
        <w:spacing w:after="120" w:line="300"/>
        <w:jc w:val="both"/>
      </w:pPr>
      <w:r>
        <w:rPr>
          <w:b/>
          <w:bCs/>
        </w:rPr>
        <w:t xml:space="preserve">Keywords:</w:t>
      </w:r>
      <w:r>
        <w:t xml:space="preserve"> large language models; chatbots; ChatGPT; patient education; dentistry; patient safety; systematic review</w:t>
      </w:r>
    </w:p>
    <w:p>
      <w:r>
        <w:br w:type="page"/>
      </w:r>
    </w:p>
    <w:p>
      <w:pPr>
        <w:pStyle w:val="Heading1"/>
        <w:spacing w:after="160" w:before="300"/>
      </w:pPr>
      <w:r>
        <w:t xml:space="preserve">1. Introduction</w:t>
      </w:r>
    </w:p>
    <w:p>
      <w:pPr>
        <w:spacing w:after="120" w:line="300"/>
        <w:jc w:val="both"/>
      </w:pPr>
      <w:r>
        <w:t xml:space="preserve">Since the public release of ChatGPT in November 2022, general-purpose large language model (LLM) chatbots have become a widely used source of health information for the public. Successive generations – GPT-4, GPT-4o and reasoning models, Google Gemini, Microsoft Copilot, Anthropic Claude, Meta Llama and DeepSeek – produce fluent, personalised answers to free-text questions within seconds [1]. Evaluations in medicine have shown that LLMs can encode substantial clinical knowledge, but also that fluent answers may contain incorrect content, omit important information or carry a risk of harm, which is why harm and omission were introduced as distinct evaluation axes alongside correctness [2].</w:t>
      </w:r>
    </w:p>
    <w:p>
      <w:pPr>
        <w:spacing w:after="120" w:line="300"/>
        <w:jc w:val="both"/>
      </w:pPr>
      <w:r>
        <w:t xml:space="preserve">Dentistry is particularly exposed to this development. Oral diseases are highly prevalent, access to dental care is unequal and many patients search online before or after dental appointments – for example about post-operative care, orthodontic appliances, implants, dental trauma or oral lesions. Chatbots may improve access to understandable oral-health information, but an incorrect or incomplete answer may delay treatment of an avulsed tooth, an odontogenic infection or a potentially malignant oral lesion, or lead to inappropriate self-medication. For patient-facing use, therefore, accuracy alone is an insufficient benchmark: the clinically relevant question is how often chatbot answers contain errors or omissions that could compromise patient safety.</w:t>
      </w:r>
    </w:p>
    <w:p>
      <w:pPr>
        <w:spacing w:after="120" w:line="300"/>
        <w:jc w:val="both"/>
      </w:pPr>
      <w:r>
        <w:t xml:space="preserve">A rapidly growing number of studies have evaluated chatbot answers to dental patient questions, mostly within single specialties and with heterogeneous designs. Zhang et al. synthesised 25 studies published up to June 2024 and reported a pooled accuracy score of 81.9% and 69.9% clinically acceptable responses, predominantly for ChatGPT-3.5/4 [3]. Specialty-specific reviews have addressed oral and maxillofacial surgery, prosthodontics, dentomaxillofacial radiology and patient trust in orthodontic advice [4–7], and broader reviews have summarised ChatGPT performance across medicine [8,9]. Three gaps remain. First, potentially harmful errors and safety-relevant omissions have not been systematically synthesised, although they determine whether chatbot information is safe for patients. Second, no review has compared accuracy and safety outcomes across dental specialties, even though specialties differ in the complexity, urgency and evidence base of patient questions. Third, the evidence base has expanded substantially since mid-2024 with newer model generations, more diverse tasks (e.g. generation of patient instructions) and growing methodological guidance, including the Chatbot Assessment Reporting Tool (CHART) [10].</w:t>
      </w:r>
    </w:p>
    <w:p>
      <w:pPr>
        <w:spacing w:after="120" w:line="300"/>
        <w:jc w:val="both"/>
      </w:pPr>
      <w:r>
        <w:t xml:space="preserve">This systematic review therefore addressed two questions. </w:t>
      </w:r>
      <w:r>
        <w:rPr>
          <w:b/>
          <w:bCs/>
        </w:rPr>
        <w:t xml:space="preserve">Primary:</w:t>
      </w:r>
      <w:r>
        <w:t xml:space="preserve"> How accurate is patient-facing dental health information generated by general-purpose large language model (LLM) chatbots, and what potentially harmful errors or safety-relevant omissions are reported across dental specialties? </w:t>
      </w:r>
      <w:r>
        <w:rPr>
          <w:b/>
          <w:bCs/>
        </w:rPr>
        <w:t xml:space="preserve">Secondary:</w:t>
      </w:r>
      <w:r>
        <w:t xml:space="preserve"> To what extent do reported accuracy and safety-related outcomes differ across dental specialties, and how are these differences associated with model version, task characteristics and evaluation methods?</w:t>
      </w:r>
    </w:p>
    <w:p>
      <w:pPr>
        <w:pStyle w:val="Heading1"/>
        <w:spacing w:after="160" w:before="300"/>
      </w:pPr>
      <w:r>
        <w:t xml:space="preserve">2. Materials and Methods</w:t>
      </w:r>
    </w:p>
    <w:p>
      <w:pPr>
        <w:pStyle w:val="Heading2"/>
        <w:spacing w:after="120" w:before="220"/>
      </w:pPr>
      <w:r>
        <w:t xml:space="preserve">2.1 Protocol, registration and reporting</w:t>
      </w:r>
    </w:p>
    <w:p>
      <w:pPr>
        <w:spacing w:after="120" w:line="300"/>
        <w:jc w:val="both"/>
      </w:pPr>
      <w:r>
        <w:t xml:space="preserve">The review was conducted according to a pre-specified protocol (Supplementary File 1) and reported following PRISMA 2020 [11] (checklist in Supplementary Table S7) and PRISMA-S [12]. The protocol was registered in PROSPERO (</w:t>
      </w:r>
      <w:r>
        <w:rPr>
          <w:highlight w:val="yellow"/>
          <w:highlightCs w:val="yellow"/>
        </w:rPr>
        <w:t xml:space="preserve">[CRD number]</w:t>
      </w:r>
      <w:r>
        <w:t xml:space="preserve">); amendments are listed in the protocol. Use of AI tools in the review process is reported in accordance with the 2025 position statement of Cochrane, the Campbell Collaboration, JBI and the Collaboration for Environmental Evidence [13].</w:t>
      </w:r>
    </w:p>
    <w:p>
      <w:pPr>
        <w:pStyle w:val="Heading2"/>
        <w:spacing w:after="120" w:before="220"/>
      </w:pPr>
      <w:r>
        <w:t xml:space="preserve">2.2 Eligibility criteria</w:t>
      </w:r>
    </w:p>
    <w:p>
      <w:pPr>
        <w:spacing w:after="120" w:line="300"/>
        <w:jc w:val="both"/>
      </w:pPr>
      <w:r>
        <w:t xml:space="preserve">Eligibility was defined with the PICOS framework (Table 1). Compared with Zhang et al. [3], the scope differs in four respects: (i) the primary outcomes include potentially harmful errors and safety-relevant omissions in addition to accuracy; (ii) eligibility is restricted to general-purpose chatbots (dental-specific or retrieval-augmented systems only as comparators); (iii) patient-facing tasks include the generation of patient education material and lay emergency/scenario advice in addition to answering patient questions; and (iv) a comparison with human experts was not required.</w:t>
      </w:r>
    </w:p>
    <w:p>
      <w:pPr>
        <w:spacing w:after="80" w:before="160"/>
      </w:pPr>
      <w:r>
        <w:rPr>
          <w:b/>
          <w:bCs/>
          <w:sz w:val="20"/>
          <w:szCs w:val="20"/>
        </w:rPr>
        <w:t xml:space="preserve">Table 1. Eligibility criteria (PICOS) and hierarchical exclusion reasons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00"/>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Element</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Definition for this review</w:t>
            </w:r>
          </w:p>
        </w:tc>
        <w:tc>
          <w:tcPr>
            <w:tcW w:type="dxa" w:w="4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Operationalisation / notes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 – Population (information need)</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Dental, oral and maxillofacial health information needs of patients, parents/caregivers and the lay public, in any dental specialty.</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Patient FAQs, patient-style questions, lay scenarios (e.g. dental trauma first aid), patient education topics. Specialties coded a priori: OMFS/dentoalveolar surgery, orthodontics, endodontics, periodontology, prosthodontics, implantology, paediatric dentistry, restorative dentistry/cariology, oral medicine/pathology incl. oral cancer, TMD/orofacial pain, dental trauma, preventive/community oral health, oral radiology, cleft lip/palate, dental sleep medicine, multi-specialty/general dentistry.</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 – Index technology</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General-purpose, publicly available LLM chatbots used as released (web interface, app or API).</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ChatGPT (GPT-3.5, GPT-4, GPT-4o, o-series, GPT-5), Gemini/Bard, Microsoft Copilot/Bing Chat, Claude, Llama/Meta AI, Perplexity, DeepSeek, Mistral/Le Chat, Grok, ERNIE Bot, Qwen and comparable systems. Custom GPTs, RAG or fine-tuned models are eligible comparators but only general-purpose arms enter the primary synthesis.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 – Comparator</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required.</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If present: other LLMs/versions, dentists/specialists, professional websites, guidelines, search engines.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 – Outcomes</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Primary: accuracy (correctness) of LLM-generated content; potentially harmful errors; safety-relevant omissions.</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Secondary: completeness, overall/content quality (GQS, DISCERN, EQIP), guideline concordance, readability (FRE, FKGL, SMOG), understandability/actionability (PEMAT), consistency/reproducibility, empathy, inter-rater reliability. A study must report ≥1 primary outcome (accuracy or a safety outcome) to be included.</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 – Study design</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Primary empirical evaluation studies (cross-sectional/in-silico, comparative or observational) with original data.</w:t>
            </w:r>
          </w:p>
        </w:tc>
        <w:tc>
          <w:tcPr>
            <w:tcW w:type="dxa" w:w="4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Full articles and research letters/short communications with original data in peer-reviewed journals. Excluded: reviews, editorials, commentaries, letters without data, protocols, conference abstracts, book chapters, errata, questionnaire surveys of perceptions.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Timeframe / language</w:t>
            </w:r>
          </w:p>
        </w:tc>
        <w:tc>
          <w:tcPr>
            <w:tcW w:type="dxa" w:w="3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Published 1 January 2022 – 2 October 2026 (de facto from the release of ChatGPT, 30 November 2022).</w:t>
            </w:r>
          </w:p>
        </w:tc>
        <w:tc>
          <w:tcPr>
            <w:tcW w:type="dxa" w:w="4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restriction on the language of the chatbot query. Full texts in English or German assessed directly; other languages via verified machine translation.</w:t>
            </w:r>
          </w:p>
        </w:tc>
      </w:tr>
    </w:tbl>
    <w:p>
      <w:pPr>
        <w:spacing w:after="12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00"/>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Code</w:t>
            </w:r>
          </w:p>
        </w:tc>
        <w:tc>
          <w:tcPr>
            <w:tcW w:type="dxa" w:w="4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Title/abstract stage (TA)</w:t>
            </w:r>
          </w:p>
        </w:tc>
        <w:tc>
          <w:tcPr>
            <w:tcW w:type="dxa" w:w="41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Full-text stage (FT)</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E1 / FT1</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a dental, oral or maxillofacial topic</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a dental, oral or maxillofacial topic</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E2 / FT2</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Not a general-purpose LLM chatbot (other AI, rule-based bot, only domain-specific model)</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extractable general-purpose LLM arm</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E3 / FT3</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Not patient-facing (exam/MCQ, professional decision support, image diagnosis, education, research use)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Patient-facing subset not identifiable or not separately reported</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E4 / FT4</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content evaluation of LLM output (e.g. readability only, perceptions survey)</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accuracy or safety outcome reported (or not extractable)</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E5 / FT5</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Ineligible publication type (review, editorial, letter/comment without data, protocol, conference abstract, chapter, erratum)</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Ineligible publication type</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 / FT6</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Not peer-reviewed (preprint without journal version)</w:t>
            </w:r>
          </w:p>
        </w:tc>
      </w:tr>
      <w:tr>
        <w:trPr>
          <w:tblHeader w:val="false"/>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 / FT7</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w:t>
            </w:r>
          </w:p>
        </w:tc>
        <w:tc>
          <w:tcPr>
            <w:tcW w:type="dxa" w:w="4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Duplicate publication / overlapping dataset (most complete report retained)</w:t>
            </w:r>
          </w:p>
        </w:tc>
      </w:tr>
      <w:tr>
        <w:trPr>
          <w:tblHeader w:val="false"/>
        </w:trPr>
        <w:tc>
          <w:tcPr>
            <w:tcW w:type="dxa" w:w="1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 / FT8</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t>
            </w:r>
          </w:p>
        </w:tc>
        <w:tc>
          <w:tcPr>
            <w:tcW w:type="dxa" w:w="41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Full text not retrievable after library request and author contact</w:t>
            </w:r>
          </w:p>
        </w:tc>
      </w:tr>
    </w:tbl>
    <w:p>
      <w:pPr>
        <w:spacing w:after="160"/>
      </w:pPr>
      <w:r>
        <w:rPr>
          <w:sz w:val="16"/>
          <w:szCs w:val="16"/>
        </w:rPr>
        <w:t xml:space="preserve">Exclusion reasons were applied hierarchically (first applicable code); at the title/abstract stage the publication-type code (E5) took precedence for non-primary publications (screening guide v1.1).</w:t>
      </w:r>
    </w:p>
    <w:p>
      <w:pPr>
        <w:pStyle w:val="Heading2"/>
        <w:spacing w:after="120" w:before="220"/>
      </w:pPr>
      <w:r>
        <w:t xml:space="preserve">2.3 Information sources and search strategy</w:t>
      </w:r>
    </w:p>
    <w:p>
      <w:pPr>
        <w:spacing w:after="120" w:line="300"/>
        <w:jc w:val="both"/>
      </w:pPr>
      <w:r>
        <w:t xml:space="preserve">The search was designed by the review team in accordance with PRISMA-S [12] and conducted on </w:t>
      </w:r>
      <w:r>
        <w:rPr>
          <w:b/>
          <w:bCs/>
        </w:rPr>
        <w:t xml:space="preserve">2 October 2026</w:t>
      </w:r>
      <w:r>
        <w:t xml:space="preserve">, covering publications from </w:t>
      </w:r>
      <w:r>
        <w:rPr>
          <w:b/>
          <w:bCs/>
        </w:rPr>
        <w:t xml:space="preserve">1 January 2022 to 2 October 2026</w:t>
      </w:r>
      <w:r>
        <w:t xml:space="preserve">. Ten information sources were searched (Table 2): six bibliographic databases/indexes with fielded or API-based searching (PubMed/MEDLINE, Europe PMC including preprints, Semantic Scholar, Crossref, DOAJ and arXiv) and four AI-assisted search connectors (Amass BiomedCore, Wiley Scholar Gateway full-text search, Consensus and Elicit). Elicit did not return records because all queries were refused (no API access).</w:t>
      </w:r>
    </w:p>
    <w:p>
      <w:pPr>
        <w:spacing w:after="120" w:line="300"/>
        <w:jc w:val="both"/>
      </w:pPr>
      <w:r>
        <w:t xml:space="preserve">Search terms combined two concept blocks: </w:t>
      </w:r>
      <w:r>
        <w:rPr>
          <w:b/>
          <w:bCs/>
        </w:rPr>
        <w:t xml:space="preserve">C1 – LLM/chatbot</w:t>
      </w:r>
      <w:r>
        <w:t xml:space="preserve"> (e.g. ChatGPT, "large language model", chatbot, "generative AI", GPT-4, Gemini, Bard, Copilot, Claude, DeepSeek, Llama, Perplexity) AND </w:t>
      </w:r>
      <w:r>
        <w:rPr>
          <w:b/>
          <w:bCs/>
        </w:rPr>
        <w:t xml:space="preserve">C2 – dentistry</w:t>
      </w:r>
      <w:r>
        <w:t xml:space="preserve"> (e.g. dental, dentistry, dentist, "oral health", orthodontic, endodontic, periodontal, prosthodontic, "oral surgery", maxillofacial, "dental implant", "pediatric dentistry", caries, teeth). In contrast to Zhang et al. [3], who additionally required patient- and outcome-related terms, no third (patient/outcome) block was applied in order to maximise sensitivity; patient-facing focus and outcomes were assessed during screening. Natural-language queries covering each specialty and safety-related concepts (e.g. "chatbot misinformation hallucination dentistry", "chatbot dental trauma emergency advice") were used for the semantic connectors. For Crossref, 120 pairwise C1×C2 combination queries were run and only records containing at least one C1 and one C2 term in title/abstract/keywords were exported. The full search strings, dates, limits and record counts per source are documented in Supplementary Table S1 and in the search workbook.</w:t>
      </w:r>
    </w:p>
    <w:p>
      <w:pPr>
        <w:spacing w:after="120" w:line="300"/>
        <w:jc w:val="both"/>
      </w:pPr>
      <w:r>
        <w:t xml:space="preserve">Supplementary sources without fielded Boolean search (connectors and full-text search) were post-filtered automatically: records in which no C1 AND no C2 term occurred in title, abstract or keywords were marked as ineligible by an automation tool (PRISMA 2020 item 16a). No language or publication-type filters were applied at the search stage.</w:t>
      </w:r>
    </w:p>
    <w:p>
      <w:pPr>
        <w:pBdr>
          <w:left w:val="single" w:color="2E75B6" w:sz="12" w:space="6"/>
        </w:pBdr>
        <w:shd w:fill="EAF1FB" w:color="auto" w:val="clear"/>
        <w:spacing w:after="120"/>
      </w:pPr>
      <w:r>
        <w:rPr>
          <w:i/>
          <w:iCs/>
          <w:color w:val="1F4E79"/>
          <w:sz w:val="20"/>
          <w:szCs w:val="20"/>
        </w:rPr>
        <w:t xml:space="preserve">Action for the team before submission: (1) paste the verbatim database strings from the sheet Search_Strategy of LLM_Dental_SR_Search_Results_2026-10-02.xlsx into Table S1; (2) complement the search with Scopus, Web of Science Core Collection and Embase via the JLU Giessen library licences (not reachable through the API-based workflow), IEEE Xplore and Google Scholar (first 200 hits), and register these additional yields in the PRISMA diagram; (3) run backward/forward citation searching of all included studies and of the related systematic reviews flagged during screening; (4) repeat all searches within 6 months of submission.</w:t>
      </w:r>
    </w:p>
    <w:p>
      <w:pPr>
        <w:spacing w:after="80" w:before="160"/>
      </w:pPr>
      <w:r>
        <w:rPr>
          <w:b/>
          <w:bCs/>
          <w:sz w:val="20"/>
          <w:szCs w:val="20"/>
        </w:rPr>
        <w:t xml:space="preserve">Table 2. Information sources, search identifiers and records retrieved (search date 2 October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2500"/>
        <w:gridCol w:w="1500"/>
        <w:gridCol w:w="1000"/>
      </w:tblGrid>
      <w:tr>
        <w:trPr>
          <w:tblHeader/>
        </w:trPr>
        <w:tc>
          <w:tcPr>
            <w:tcW w:type="dxa" w:w="4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Source (interface)</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Type</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Search ID</w:t>
            </w:r>
          </w:p>
        </w:tc>
        <w:tc>
          <w:tcPr>
            <w:tcW w:type="dxa" w:w="1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Records</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PubMed/MEDLINE (E-utilities)</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Bibliographic database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PM-01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1,315</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Europe PMC (REST API; incl. preprints)</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Bibliographic database + preprints</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EP-01</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1,400</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Semantic Scholar (Graph API)</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Academic search engine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S2-01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1,903</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Crossref (REST API; 120 combination queries, local C1∧C2 filter)</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Metadata registry</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CR-01..CR-120</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694</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DOAJ (API)</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Open-access journal index</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DJ-01</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1,018</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arXiv (API)</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Preprint server</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AX-01</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54</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Amass BiomedCore (connector)</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Biomedical literature index (PubMed/PMC-derived)</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AM01, AM02, Q01–Q15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850</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Wiley Scholar Gateway (connector, full text)</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Publisher full-text search</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Q01–Q15</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300</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Consensus (connector)</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Semantic search engine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Q01–Q20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200</w:t>
            </w:r>
          </w:p>
        </w:tc>
      </w:tr>
      <w:tr>
        <w:trPr>
          <w:tblHeader w:val="false"/>
        </w:trPr>
        <w:tc>
          <w:tcPr>
            <w:tcW w:type="dxa" w:w="4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Elicit (connector)</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Semantic search engine</w:t>
            </w:r>
          </w:p>
        </w:tc>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w:t>
            </w:r>
          </w:p>
        </w:tc>
        <w:tc>
          <w:tcPr>
            <w:tcW w:type="dxa" w:w="1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0 (queries refused: no API access)</w:t>
            </w:r>
          </w:p>
        </w:tc>
      </w:tr>
      <w:tr>
        <w:trPr>
          <w:tblHeader w:val="false"/>
        </w:trPr>
        <w:tc>
          <w:tcPr>
            <w:tcW w:type="dxa" w:w="4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Total</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7,734</w:t>
            </w:r>
          </w:p>
        </w:tc>
      </w:tr>
    </w:tbl>
    <w:p>
      <w:pPr>
        <w:pStyle w:val="Heading2"/>
        <w:spacing w:after="120" w:before="220"/>
      </w:pPr>
      <w:r>
        <w:t xml:space="preserve">2.4 Record management and deduplication</w:t>
      </w:r>
    </w:p>
    <w:p>
      <w:pPr>
        <w:spacing w:after="120" w:line="300"/>
        <w:jc w:val="both"/>
      </w:pPr>
      <w:r>
        <w:t xml:space="preserve">All 7,734 records were exported with complete metadata and deduplicated in a scripted, fully documented workflow (Python 3). Duplicate groups were identified via DOI, PMID, PMCID, exact normalised title and fuzzy title matching with conflict checks; within each group one primary record was retained according to a predefined source priority (PubMed &gt; Europe PMC &gt; Crossref &gt; Semantic Scholar &gt; DOAJ &gt; arXiv &gt; connectors) and completed with metadata from the other group members. In total, 4,679 duplicates were removed, leaving 3,055 unique records. A further 865 records from supplementary sources were removed by the automated C1∧C2 filter, 25 peer-review reports/decision letters (not standalone articles) and 1 record outside the search period were removed, resulting in </w:t>
      </w:r>
      <w:r>
        <w:rPr>
          <w:b/>
          <w:bCs/>
        </w:rPr>
        <w:t xml:space="preserve">2,164 records for title/abstract screening</w:t>
      </w:r>
      <w:r>
        <w:t xml:space="preserve">. For records lacking an abstract in all source exports (267), abstracts were retrieved from PubMed and OpenAlex where available (99 records); 168 records remained without abstract and were screened on title and bibliographic information.</w:t>
      </w:r>
    </w:p>
    <w:p>
      <w:pPr>
        <w:pStyle w:val="Heading2"/>
        <w:spacing w:after="120" w:before="220"/>
      </w:pPr>
      <w:r>
        <w:t xml:space="preserve">2.5 Selection process</w:t>
      </w:r>
    </w:p>
    <w:p>
      <w:pPr>
        <w:spacing w:after="120" w:line="300"/>
        <w:jc w:val="both"/>
      </w:pPr>
      <w:r>
        <w:t xml:space="preserve">Study selection followed a two-stage process (title/abstract, then full text) in line with the Cochrane Handbook [14]. A screening guide with operational definitions, worked borderline rules and a hierarchical exclusion-reason list (Table 1) was developed from the PICOS criteria. Screening was deliberately over-inclusive: records were excluded only when at least one criterion was clearly not met, and the absence of an abstract was never a reason for exclusion.</w:t>
      </w:r>
    </w:p>
    <w:p>
      <w:pPr>
        <w:spacing w:after="120" w:line="300"/>
        <w:jc w:val="both"/>
      </w:pPr>
      <w:r>
        <w:rPr>
          <w:b/>
          <w:bCs/>
        </w:rPr>
        <w:t xml:space="preserve">Reviewer team.</w:t>
      </w:r>
      <w:r>
        <w:t xml:space="preserve"> Three reviewers with different dental backgrounds were assigned fixed roles (Table 3). R1 (oral and maxillofacial surgery) and R2 (orthodontics/paediatric dentistry with dental public health) screened all records independently and blinded to each other's decisions; R3 (periodontology/restorative dentistry, methodologist) resolved conflicts. In this review, the three reviewer roles were executed by separate LLM-based reviewer agents (Claude, Anthropic; one persistent agent instance per role, independent working directories, no access to the other reviewers' decisions), each instructed with the same screening guide and its role-specific professional profile. Use of AI in the selection process is reported in accordance with PRISMA 2020 item 8 and the 2025 position statement on AI use in evidence synthesis [13]; all agent decisions are archived with record-level notes and are verified by the human author team (see below).</w:t>
      </w:r>
    </w:p>
    <w:p>
      <w:pPr>
        <w:spacing w:after="120" w:line="300"/>
        <w:jc w:val="both"/>
      </w:pPr>
      <w:r>
        <w:rPr>
          <w:b/>
          <w:bCs/>
        </w:rPr>
        <w:t xml:space="preserve">Calibration.</w:t>
      </w:r>
      <w:r>
        <w:t xml:space="preserve"> Before the main round, both screeners independently screened a random calibration sample of 60 records (seed 20261008). Agreement was quantified with Cohen's κ [15,16] (include/unsure vs exclude). Agreement in the calibration round was κ = 1.00 (100.0% raw agreement); coding conventions (e.g. priority of the publication-type code, handling of knowledge benchmarks and expert-written patient questions) were clarified and the guide was updated to version 1.1 before the remaining 2,104 records were screened in 18 randomly ordered batches.</w:t>
      </w:r>
    </w:p>
    <w:p>
      <w:pPr>
        <w:spacing w:after="120" w:line="300"/>
        <w:jc w:val="both"/>
      </w:pPr>
      <w:r>
        <w:rPr>
          <w:b/>
          <w:bCs/>
        </w:rPr>
        <w:t xml:space="preserve">Decisions and conflict resolution.</w:t>
      </w:r>
      <w:r>
        <w:t xml:space="preserve"> Each screener assigned INCLUDE, EXCLUDE (with reason code E1–E5) or UNSURE. Records included by both screeners proceeded to full-text assessment; records excluded by both were excluded. All discordant records and all records rated UNSURE by either screener were adjudicated by R3, who had access to both decisions and notes and gave a final, reasoned decision.</w:t>
      </w:r>
    </w:p>
    <w:p>
      <w:pPr>
        <w:spacing w:after="120" w:line="300"/>
        <w:jc w:val="both"/>
      </w:pPr>
      <w:r>
        <w:rPr>
          <w:b/>
          <w:bCs/>
        </w:rPr>
        <w:t xml:space="preserve">Machine-learning quality control (ASReview).</w:t>
      </w:r>
      <w:r>
        <w:t xml:space="preserve"> To guard against erroneous exclusions, an active-learning model from ASReview LAB [17] (ELAS u4: TF-IDF uni-/bigram features, linear SVM, balanced sampling; open-source repository version used by the team) was trained on the final title/abstract labels in a 10-fold cross-validation, yielding an out-of-fold relevance score for every record. Excluded records whose score exceeded the 10th percentile of scores among included records (minimum 50, maximum 100 records with the highest scores) were re-screened by R3 in analogy to the quality-check phase of the SAFE procedure [18]. In addition, the fully labelled dataset was used for an ASReview simulation (three random prior-knowledge seeds) to quantify how early the included records would have been found by active learning (work saved over sampling at 95% recall, WSS@95). The labelled dataset is provided in ASReview-compatible format (CSV with column </w:t>
      </w:r>
      <w:r>
        <w:rPr>
          <w:i/>
          <w:iCs/>
        </w:rPr>
        <w:t xml:space="preserve">included</w:t>
      </w:r>
      <w:r>
        <w:t xml:space="preserve">; RIS with ASReview_relevant/irrelevant notes) so that human team members can verify every label in </w:t>
      </w:r>
      <w:r>
        <w:rPr>
          <w:b/>
          <w:bCs/>
        </w:rPr>
        <w:t xml:space="preserve">ASReview LAB Validation mode</w:t>
      </w:r>
      <w:r>
        <w:t xml:space="preserve"> before the full-text stage.</w:t>
      </w:r>
    </w:p>
    <w:p>
      <w:pPr>
        <w:spacing w:after="120" w:line="300"/>
        <w:jc w:val="both"/>
      </w:pPr>
      <w:r>
        <w:rPr>
          <w:b/>
          <w:bCs/>
        </w:rPr>
        <w:t xml:space="preserve">Search and selection validation.</w:t>
      </w:r>
      <w:r>
        <w:t xml:space="preserve"> The 25 studies included by Zhang et al. [3] served as a benchmark set. Retrieval of the benchmark studies by our search and their classification during screening are reported in Supplementary Table S5.</w:t>
      </w:r>
    </w:p>
    <w:p>
      <w:pPr>
        <w:spacing w:after="120" w:line="300"/>
        <w:jc w:val="both"/>
      </w:pPr>
      <w:r>
        <w:rPr>
          <w:b/>
          <w:bCs/>
        </w:rPr>
        <w:t xml:space="preserve">Full-text assessment.</w:t>
      </w:r>
      <w:r>
        <w:t xml:space="preserve"> Full texts of all records included at title/abstract stage are retrieved and assessed independently by two reviewers using the full-text form (exclusion reasons FT1–FT8, Table 1); disagreements are resolved by the third reviewer. Reasons for exclusion at full-text stage are reported for each record (Supplementary Table S6). Where several reports describe the same dataset, the most complete report is retained.</w:t>
      </w:r>
    </w:p>
    <w:p>
      <w:pPr>
        <w:spacing w:after="80" w:before="160"/>
      </w:pPr>
      <w:r>
        <w:rPr>
          <w:b/>
          <w:bCs/>
          <w:sz w:val="20"/>
          <w:szCs w:val="20"/>
        </w:rPr>
        <w:t xml:space="preserve">Table 3. Reviewer team and roles in the selection process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200"/>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Role</w:t>
            </w:r>
          </w:p>
        </w:tc>
        <w:tc>
          <w:tcPr>
            <w:tcW w:type="dxa" w:w="4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Reviewer profile (dental background)</w:t>
            </w:r>
          </w:p>
        </w:tc>
        <w:tc>
          <w:tcPr>
            <w:tcW w:type="dxa" w:w="32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Task</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Reviewer 1 (R1)</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Oral and maxillofacial surgeon (DMD, MD); dentoalveolar and implant surgery, oral oncology, TMJ; research on patient information and informed consent</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Independent title/abstract screening of all records (calibration + main round)</w:t>
            </w:r>
          </w:p>
        </w:tc>
      </w:tr>
      <w:tr>
        <w:trPr>
          <w:tblHeader w:val="false"/>
        </w:trPr>
        <w:tc>
          <w:tcPr>
            <w:tcW w:type="dxa" w:w="1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Reviewer 2 (R2)</w:t>
            </w:r>
          </w:p>
        </w:tc>
        <w:tc>
          <w:tcPr>
            <w:tcW w:type="dxa" w:w="46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Orthodontist and paediatric dentist (DDS, MSc) with postgraduate training in dental public health; research on oral-health literacy, readability and quality of online patient information (DISCERN, PEMAT)</w:t>
            </w:r>
          </w:p>
        </w:tc>
        <w:tc>
          <w:tcPr>
            <w:tcW w:type="dxa" w:w="32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Independent title/abstract screening of all records (calibration + main round)</w:t>
            </w:r>
          </w:p>
        </w:tc>
      </w:tr>
      <w:tr>
        <w:trPr>
          <w:tblHeader w:val="false"/>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Reviewer 3 (R3)</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Periodontist and restorative dentist; senior evidence-based-dentistry methodologist (systematic review and GRADE experience)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Arbitration of all conflicts and UNSURE records; safety re-check of records flagged by the ASReview quality control</w:t>
            </w:r>
          </w:p>
        </w:tc>
      </w:tr>
    </w:tbl>
    <w:p>
      <w:pPr>
        <w:pStyle w:val="Heading2"/>
        <w:spacing w:after="120" w:before="220"/>
      </w:pPr>
      <w:r>
        <w:t xml:space="preserve">2.6 Data collection process and data items</w:t>
      </w:r>
    </w:p>
    <w:p>
      <w:pPr>
        <w:spacing w:after="120" w:line="300"/>
        <w:jc w:val="both"/>
      </w:pPr>
      <w:r>
        <w:t xml:space="preserve">Data were extracted with a standardised, piloted extraction form (Excel; piloted on five studies) by two reviewers independently, with disagreements resolved by discussion or by the third reviewer. Extraction items extend the framework of Zhang et al. [3] (their Table S2) with safety-specific and model-specific items (Table 4). When a study evaluated several chatbots or versions, data were extracted separately for each model arm. Missing or unclear data were requested from corresponding authors (two reminders over four weeks).</w:t>
      </w:r>
    </w:p>
    <w:p>
      <w:pPr>
        <w:spacing w:after="120" w:line="300"/>
        <w:jc w:val="both"/>
      </w:pPr>
      <w:r>
        <w:rPr>
          <w:b/>
          <w:bCs/>
        </w:rPr>
        <w:t xml:space="preserve">Outcome definitions.</w:t>
      </w:r>
      <w:r>
        <w:t xml:space="preserve"> </w:t>
      </w:r>
      <w:r>
        <w:rPr>
          <w:i/>
          <w:iCs/>
        </w:rPr>
        <w:t xml:space="preserve">Accuracy</w:t>
      </w:r>
      <w:r>
        <w:t xml:space="preserve"> (primary) was defined as the degree to which the content of an LLM response is factually correct and consistent with current evidence, guidelines or expert consensus, as judged by the study's evaluators. Accuracy reported as a proportion of responses rated correct/acceptable was extracted as a proportion (categorical format); accuracy reported on multi-point scales was extracted as mean and SD together with the scale range (continuous format). When studies reported several accuracy-related constructs, a hierarchy was applied: explicit accuracy/correctness &gt; appropriateness/guideline concordance &gt; content-quality score with an accuracy component (e.g. GQS). </w:t>
      </w:r>
      <w:r>
        <w:rPr>
          <w:i/>
          <w:iCs/>
        </w:rPr>
        <w:t xml:space="preserve">Potentially harmful errors</w:t>
      </w:r>
      <w:r>
        <w:t xml:space="preserve"> were responses that evaluators judged able to cause physical, psychological or financial harm if followed, extracted with the study's own harm definition and, where available, severity (graded according to the likelihood/extent-of-harm framework of Singhal et al. [2]). </w:t>
      </w:r>
      <w:r>
        <w:rPr>
          <w:i/>
          <w:iCs/>
        </w:rPr>
        <w:t xml:space="preserve">Safety-relevant omissions</w:t>
      </w:r>
      <w:r>
        <w:t xml:space="preserve"> were missing information whose absence could compromise patient safety. All reported errors and omissions were additionally coded into a prespecified safety taxonomy (Table 5), applied independently by two reviewers.</w:t>
      </w:r>
    </w:p>
    <w:p>
      <w:pPr>
        <w:spacing w:after="80" w:before="160"/>
      </w:pPr>
      <w:r>
        <w:rPr>
          <w:b/>
          <w:bCs/>
          <w:sz w:val="20"/>
          <w:szCs w:val="20"/>
        </w:rPr>
        <w:t xml:space="preserve">Table 4. Data extraction domains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Domain</w:t>
            </w:r>
          </w:p>
        </w:tc>
        <w:tc>
          <w:tcPr>
            <w:tcW w:type="dxa" w:w="7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Data items (definitions/categories in Supplementary Table S2)</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Study</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First author, year, country, journal, funding, conflicts of interest, ethics statement, study design label</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Specialty / topic</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Primary dental specialty (a-priori categories, Table PICOS), secondary specialty, clinical topic</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Task</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Task type (T1 answering patient questions/FAQs; T2 generating patient education material/instructions; T3 lay scenario/symptom or emergency advice); question source (website/FAQ, clinician-written, real patient queries, LLM-generated, guideline-derived, mixed); collection date; number and type of questions (open/closed); difficulty strata; query language; persona/role prompts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Model</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Chatbot, developer, exact version/model ID, model generation, open vs closed weights, access date(s), interface (web/app/API), subscription tier, settings (temperature), web browsing/retrieval enabled, custom instructions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Conversation</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Verbatim prompt, prompt engineering (none/role/structured), new session per question, multi-turn vs single-turn, number of repetitions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Evaluation</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Number, specialty and experience of evaluators; blinding (model identity, human vs AI); reference standard (guidelines, textbooks, expert consensus); rating instrument and scale anchors; dichotomisation threshold; inter-rater reliability (statistic, value); consistency analysis</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Primary outcomes (per model arm)</w:t>
            </w:r>
          </w:p>
        </w:tc>
        <w:tc>
          <w:tcPr>
            <w:tcW w:type="dxa" w:w="7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Accuracy: n accurate / n responses (and definition), or mean (SD)/median (IQR) on stated scale; potentially harmful errors: n responses judged potentially harmful, harm severity; safety-relevant omissions: n responses with omission (type); verbatim examples</w:t>
            </w:r>
          </w:p>
        </w:tc>
      </w:tr>
      <w:tr>
        <w:trPr>
          <w:tblHeader w:val="false"/>
        </w:trPr>
        <w:tc>
          <w:tcPr>
            <w:tcW w:type="dxa" w:w="2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Secondary outcomes</w:t>
            </w:r>
          </w:p>
        </w:tc>
        <w:tc>
          <w:tcPr>
            <w:tcW w:type="dxa" w:w="73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Completeness, GQS, DISCERN/EQIP, readability indices, PEMAT-U/A, consistency, empathy, length, disclaimer/referral frequency, comparison with human experts</w:t>
            </w:r>
          </w:p>
        </w:tc>
      </w:tr>
    </w:tbl>
    <w:p>
      <w:pPr>
        <w:spacing w:after="80" w:before="160"/>
      </w:pPr>
      <w:r>
        <w:rPr>
          <w:b/>
          <w:bCs/>
          <w:sz w:val="20"/>
          <w:szCs w:val="20"/>
        </w:rPr>
        <w:t xml:space="preserve">Table 5. Prespecified taxonomy of safety-related limitations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00"/>
      </w:tblGrid>
      <w:tr>
        <w:trPr>
          <w:tblHeader/>
        </w:trPr>
        <w:tc>
          <w:tcPr>
            <w:tcW w:type="dxa" w:w="8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Code</w:t>
            </w:r>
          </w:p>
        </w:tc>
        <w:tc>
          <w:tcPr>
            <w:tcW w:type="dxa" w:w="30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Safety category</w:t>
            </w:r>
          </w:p>
        </w:tc>
        <w:tc>
          <w:tcPr>
            <w:tcW w:type="dxa" w:w="5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8"/>
                <w:szCs w:val="18"/>
              </w:rPr>
              <w:t xml:space="preserve">Examples (dental)</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Factual error</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Incorrect statement contradicting current evidence or guidelines (e.g. wrong indication for antibiotic prophylaxis)</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S2</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Outdated information</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Superseded recommendations (e.g. obsolete storage media advice for avulsed teeth)</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Hallucination / fabrication</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Non-existent references, products, guidelines or statistics</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S4</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Inappropriate or unsafe recommendation</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Medication/dosage errors, contraindicated self-treatment, advice that delays necessary care</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S5</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Omission of red flags / emergency advice</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Missing urgency for avulsion, facial swelling/airway risk, oral cancer warning signs, post-extraction bleeding</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S6</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Omission of referral / disclaimer</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No recommendation to consult a dentist or emergency service where indicated</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Omission of risks, contraindications or alternatives</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Missing complications, side-effects or alternative treatments (informed-consent relevant)</w:t>
            </w:r>
          </w:p>
        </w:tc>
      </w:tr>
      <w:tr>
        <w:trPr>
          <w:tblHeader w:val="false"/>
        </w:trPr>
        <w:tc>
          <w:tcPr>
            <w:tcW w:type="dxa" w:w="8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S8</w:t>
            </w:r>
          </w:p>
        </w:tc>
        <w:tc>
          <w:tcPr>
            <w:tcW w:type="dxa" w:w="30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Overconfident diagnosis / unwarranted certainty</w:t>
            </w:r>
          </w:p>
        </w:tc>
        <w:tc>
          <w:tcPr>
            <w:tcW w:type="dxa" w:w="550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20"/>
            </w:pPr>
            <w:r>
              <w:rPr>
                <w:sz w:val="18"/>
                <w:szCs w:val="18"/>
              </w:rPr>
              <w:t xml:space="preserve">Definitive diagnosis without examination; false reassurance</w:t>
            </w:r>
          </w:p>
        </w:tc>
      </w:tr>
      <w:tr>
        <w:trPr>
          <w:tblHeader w:val="false"/>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S9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Inconsistency with safety impact</w:t>
            </w:r>
          </w:p>
        </w:tc>
        <w:tc>
          <w:tcPr>
            <w:tcW w:type="dxa" w:w="5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8"/>
                <w:szCs w:val="18"/>
              </w:rPr>
              <w:t xml:space="preserve">Contradictory advice across repetitions or model versions</w:t>
            </w:r>
          </w:p>
        </w:tc>
      </w:tr>
    </w:tbl>
    <w:p>
      <w:pPr>
        <w:pStyle w:val="Heading2"/>
        <w:spacing w:after="120" w:before="220"/>
      </w:pPr>
      <w:r>
        <w:t xml:space="preserve">2.7 Risk of bias and reporting quality</w:t>
      </w:r>
    </w:p>
    <w:p>
      <w:pPr>
        <w:spacing w:after="120" w:line="300"/>
        <w:jc w:val="both"/>
      </w:pPr>
      <w:r>
        <w:t xml:space="preserve">Methodological quality and risk of bias were assessed independently by two reviewers with a modified QUADAS-2 tool [19] adapted for LLM evaluation studies, building on the 20-item checklist of Wei et al. and Zhang et al. [3,8] (Table 6). The original domains were mapped to D1 task/question generation (patient selection), D2 model and conversation structure (index test) and D3 evaluation (reference standard); the </w:t>
      </w:r>
      <w:r>
        <w:rPr>
          <w:i/>
          <w:iCs/>
        </w:rPr>
        <w:t xml:space="preserve">flow and timing</w:t>
      </w:r>
      <w:r>
        <w:t xml:space="preserve"> domain was replaced by a new domain D4 </w:t>
      </w:r>
      <w:r>
        <w:rPr>
          <w:i/>
          <w:iCs/>
        </w:rPr>
        <w:t xml:space="preserve">outcome reporting and safety assessment</w:t>
      </w:r>
      <w:r>
        <w:t xml:space="preserve">, reflecting the safety focus of this review. A domain was judged at low risk of bias if all signalling questions were answered </w:t>
      </w:r>
      <w:r>
        <w:rPr>
          <w:i/>
          <w:iCs/>
        </w:rPr>
        <w:t xml:space="preserve">yes</w:t>
      </w:r>
      <w:r>
        <w:t xml:space="preserve">, at high risk if at least one critical question (items 3, 7, 12, 14 or 20) was answered </w:t>
      </w:r>
      <w:r>
        <w:rPr>
          <w:i/>
          <w:iCs/>
        </w:rPr>
        <w:t xml:space="preserve">no</w:t>
      </w:r>
      <w:r>
        <w:t xml:space="preserve">, and unclear otherwise. Reporting completeness was additionally scored against the Chatbot Assessment Reporting Tool (CHART) [10] and the METRICS checklist [20] (percentage of applicable items reported). Disagreements were resolved by consensus or by the third reviewer. Results are presented as traffic-light and summary plots (robvis).</w:t>
      </w:r>
    </w:p>
    <w:p>
      <w:pPr>
        <w:spacing w:after="80" w:before="160"/>
      </w:pPr>
      <w:r>
        <w:rPr>
          <w:b/>
          <w:bCs/>
          <w:sz w:val="20"/>
          <w:szCs w:val="20"/>
        </w:rPr>
        <w:t xml:space="preserve">Table 6. Modified QUADAS-2 for LLM chatbot evaluation studies (adapted from Wei et al. and Zhang et 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1300"/>
        <w:gridCol w:w="1500"/>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Domain</w:t>
            </w:r>
          </w:p>
        </w:tc>
        <w:tc>
          <w:tcPr>
            <w:tcW w:type="dxa" w:w="46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Signalling questions (Yes / No / Unclear)</w:t>
            </w:r>
          </w:p>
        </w:tc>
        <w:tc>
          <w:tcPr>
            <w:tcW w:type="dxa" w:w="13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Risk-of-bias judgement</w:t>
            </w:r>
          </w:p>
        </w:tc>
        <w:tc>
          <w:tcPr>
            <w:tcW w:type="dxa" w:w="150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7"/>
                <w:szCs w:val="17"/>
              </w:rPr>
              <w:t xml:space="preserve">Applicability concern</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D1 Task / question generation</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1. Source of questions reported and representative of real patient queries?</w:t>
            </w:r>
          </w:p>
          <w:p>
            <w:pPr>
              <w:spacing w:after="20"/>
            </w:pPr>
            <w:r>
              <w:rPr>
                <w:sz w:val="17"/>
                <w:szCs w:val="17"/>
              </w:rPr>
              <w:t xml:space="preserve">2. Source/collection date reported?</w:t>
            </w:r>
          </w:p>
          <w:p>
            <w:pPr>
              <w:spacing w:after="20"/>
            </w:pPr>
            <w:r>
              <w:rPr>
                <w:sz w:val="17"/>
                <w:szCs w:val="17"/>
              </w:rPr>
              <w:t xml:space="preserve">3. Number of questions adequate (≥20) and selection pre-specified?</w:t>
            </w:r>
          </w:p>
          <w:p>
            <w:pPr>
              <w:spacing w:after="20"/>
            </w:pPr>
            <w:r>
              <w:rPr>
                <w:sz w:val="17"/>
                <w:szCs w:val="17"/>
              </w:rPr>
              <w:t xml:space="preserve">4. Questions free of leading/ambiguous wording and available verbatim?</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Are questions representative of what patients actually ask?</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D2 Model and conversation (index test)</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5. Chatbot and exact version reported?</w:t>
            </w:r>
          </w:p>
          <w:p>
            <w:pPr>
              <w:spacing w:after="20"/>
            </w:pPr>
            <w:r>
              <w:rPr>
                <w:sz w:val="17"/>
                <w:szCs w:val="17"/>
              </w:rPr>
              <w:t xml:space="preserve">6. Date(s) of inquiry reported?</w:t>
            </w:r>
          </w:p>
          <w:p>
            <w:pPr>
              <w:spacing w:after="20"/>
            </w:pPr>
            <w:r>
              <w:rPr>
                <w:sz w:val="17"/>
                <w:szCs w:val="17"/>
              </w:rPr>
              <w:t xml:space="preserve">7. Prompt reported verbatim and free of answer-shaping instructions?</w:t>
            </w:r>
          </w:p>
          <w:p>
            <w:pPr>
              <w:spacing w:after="20"/>
            </w:pPr>
            <w:r>
              <w:rPr>
                <w:sz w:val="17"/>
                <w:szCs w:val="17"/>
              </w:rPr>
              <w:t xml:space="preserve">8. Interface (web/API) and settings reported?</w:t>
            </w:r>
          </w:p>
          <w:p>
            <w:pPr>
              <w:spacing w:after="20"/>
            </w:pPr>
            <w:r>
              <w:rPr>
                <w:sz w:val="17"/>
                <w:szCs w:val="17"/>
              </w:rPr>
              <w:t xml:space="preserve">9. Independent sessions (new chat per question)?</w:t>
            </w:r>
          </w:p>
          <w:p>
            <w:pPr>
              <w:spacing w:after="20"/>
            </w:pPr>
            <w:r>
              <w:rPr>
                <w:sz w:val="17"/>
                <w:szCs w:val="17"/>
              </w:rPr>
              <w:t xml:space="preserve">10. Repetitions performed (≥2) and handled appropriately?</w:t>
            </w:r>
          </w:p>
          <w:p>
            <w:pPr>
              <w:spacing w:after="20"/>
            </w:pPr>
            <w:r>
              <w:rPr>
                <w:sz w:val="17"/>
                <w:szCs w:val="17"/>
              </w:rPr>
              <w:t xml:space="preserve">11. Query language reported?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Do model versions/settings reflect what patients use?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D3 Evaluation (reference standard)</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12. Evaluators qualified dental professionals (specialty matched)?</w:t>
            </w:r>
          </w:p>
          <w:p>
            <w:pPr>
              <w:spacing w:after="20"/>
            </w:pPr>
            <w:r>
              <w:rPr>
                <w:sz w:val="17"/>
                <w:szCs w:val="17"/>
              </w:rPr>
              <w:t xml:space="preserve">13. ≥2 evaluators?</w:t>
            </w:r>
          </w:p>
          <w:p>
            <w:pPr>
              <w:spacing w:after="20"/>
            </w:pPr>
            <w:r>
              <w:rPr>
                <w:sz w:val="17"/>
                <w:szCs w:val="17"/>
              </w:rPr>
              <w:t xml:space="preserve">14. Evaluators blinded to model identity/source?</w:t>
            </w:r>
          </w:p>
          <w:p>
            <w:pPr>
              <w:spacing w:after="20"/>
            </w:pPr>
            <w:r>
              <w:rPr>
                <w:sz w:val="17"/>
                <w:szCs w:val="17"/>
              </w:rPr>
              <w:t xml:space="preserve">15. Explicit reference standard (guidelines/evidence)?</w:t>
            </w:r>
          </w:p>
          <w:p>
            <w:pPr>
              <w:spacing w:after="20"/>
            </w:pPr>
            <w:r>
              <w:rPr>
                <w:sz w:val="17"/>
                <w:szCs w:val="17"/>
              </w:rPr>
              <w:t xml:space="preserve">16. Rating scale with defined anchors (validated or pre-tested)?</w:t>
            </w:r>
          </w:p>
          <w:p>
            <w:pPr>
              <w:spacing w:after="20"/>
            </w:pPr>
            <w:r>
              <w:rPr>
                <w:sz w:val="17"/>
                <w:szCs w:val="17"/>
              </w:rPr>
              <w:t xml:space="preserve">17. Inter-rater reliability reported and acceptable?</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Does the accuracy construct match the review definition?</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D4 Outcome reporting and safety assessment (added)</w:t>
            </w:r>
          </w:p>
        </w:tc>
        <w:tc>
          <w:tcPr>
            <w:tcW w:type="dxa" w:w="4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18. All pre-specified outcomes reported for each model arm?</w:t>
            </w:r>
          </w:p>
          <w:p>
            <w:pPr>
              <w:spacing w:after="20"/>
            </w:pPr>
            <w:r>
              <w:rPr>
                <w:sz w:val="17"/>
                <w:szCs w:val="17"/>
              </w:rPr>
              <w:t xml:space="preserve">19. Disaggregated (per-question) data available?</w:t>
            </w:r>
          </w:p>
          <w:p>
            <w:pPr>
              <w:spacing w:after="20"/>
            </w:pPr>
            <w:r>
              <w:rPr>
                <w:sz w:val="17"/>
                <w:szCs w:val="17"/>
              </w:rPr>
              <w:t xml:space="preserve">20. Harm/safety assessed with explicit criteria?</w:t>
            </w:r>
          </w:p>
          <w:p>
            <w:pPr>
              <w:spacing w:after="20"/>
            </w:pPr>
            <w:r>
              <w:rPr>
                <w:sz w:val="17"/>
                <w:szCs w:val="17"/>
              </w:rPr>
              <w:t xml:space="preserve">21. Consistency across repetitions reported?</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Low / High / Unclear</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7"/>
                <w:szCs w:val="17"/>
              </w:rPr>
              <w:t xml:space="preserve">–</w:t>
            </w:r>
          </w:p>
        </w:tc>
      </w:tr>
    </w:tbl>
    <w:p>
      <w:pPr>
        <w:pStyle w:val="Heading2"/>
        <w:spacing w:after="120" w:before="220"/>
      </w:pPr>
      <w:r>
        <w:t xml:space="preserve">2.8 Effect measures, synthesis methods, heterogeneity and certainty</w:t>
      </w:r>
    </w:p>
    <w:p>
      <w:pPr>
        <w:spacing w:after="120" w:line="300"/>
        <w:jc w:val="both"/>
      </w:pPr>
      <w:r>
        <w:rPr>
          <w:b/>
          <w:bCs/>
        </w:rPr>
        <w:t xml:space="preserve">Effect measures.</w:t>
      </w:r>
      <w:r>
        <w:t xml:space="preserve"> Categorical accuracy: proportion of responses rated accurate/acceptable (with 95% CI). Continuous accuracy: mean score transformed to the percentage of maximum possible (POMP = (mean − scale minimum)/(scale maximum − scale minimum) × 100) [21], with SDs rescaled accordingly. Safety: proportion of responses with ≥1 potentially harmful error and proportion with ≥1 safety-relevant omission.</w:t>
      </w:r>
    </w:p>
    <w:p>
      <w:pPr>
        <w:spacing w:after="120" w:line="300"/>
        <w:jc w:val="both"/>
      </w:pPr>
      <w:r>
        <w:rPr>
          <w:b/>
          <w:bCs/>
        </w:rPr>
        <w:t xml:space="preserve">Synthesis.</w:t>
      </w:r>
      <w:r>
        <w:t xml:space="preserve"> Studies were grouped by dental specialty (primary grouping, secondary question), model family/generation and task type. Meta-analysis was undertaken when ≥3 studies reported a comparable outcome in the same format. Proportions were pooled with a random-intercept logistic (generalised linear mixed) model [22,23]; inverse-variance pooling of logit-transformed proportions with REML τ² estimation and Hartung-Knapp-Sidik-Jonkman confidence intervals [24] was used as a sensitivity analysis. POMP-transformed mean scores were pooled with a random-effects model (REML, HKSJ). Because most studies evaluate several chatbots on the same question set, model arms are statistically dependent; dependence was handled with three-level random-effects models (arms nested within studies) [25] using metafor [26], and with one arm per study (best-performing and, separately, most recent general-purpose model) in sensitivity analyses. Heterogeneity was quantified with τ², I² (multilevel I² where applicable) and 95% prediction intervals. Analyses were run in R with the packages meta and metafor [26,27].</w:t>
      </w:r>
    </w:p>
    <w:p>
      <w:pPr>
        <w:spacing w:after="120" w:line="300"/>
        <w:jc w:val="both"/>
      </w:pPr>
      <w:r>
        <w:rPr>
          <w:b/>
          <w:bCs/>
        </w:rPr>
        <w:t xml:space="preserve">Explaining heterogeneity (secondary question).</w:t>
      </w:r>
      <w:r>
        <w:t xml:space="preserve"> Pre-specified moderators were: dental specialty; model family and generation (GPT-3.5; GPT-4/4-turbo; GPT-4o/o-series/GPT-5; Gemini/Bard; Copilot/Bing; Claude; open-weight and other models); task type (T1–T3); question source; number of questions; prompt engineering (none vs role/structured); query language (English vs other); evaluator type and number; blinding; rating instrument (Likert 3–5 point vs ≥6 point vs validated quality scale); risk-of-bias rating; and publication year. Subgroup analyses (test for subgroup differences) and multilevel meta-regression were conducted when each level contained ≥3 studies (≥10 studies per moderator for meta-regression); paired within-study comparisons of model versions were analysed separately as differences in proportions/POMP.</w:t>
      </w:r>
    </w:p>
    <w:p>
      <w:pPr>
        <w:spacing w:after="120" w:line="300"/>
        <w:jc w:val="both"/>
      </w:pPr>
      <w:r>
        <w:rPr>
          <w:b/>
          <w:bCs/>
        </w:rPr>
        <w:t xml:space="preserve">Synthesis without meta-analysis.</w:t>
      </w:r>
      <w:r>
        <w:t xml:space="preserve"> Where pooling was inappropriate (e.g. heterogeneous harm definitions), results were synthesised narratively following the SWiM guideline [28]: safety findings were tabulated by taxonomy category (Table 5) and specialty, with frequencies of studies and responses affected, and illustrated with verbatim examples. Vote counting based on statistical significance was not used.</w:t>
      </w:r>
    </w:p>
    <w:p>
      <w:pPr>
        <w:spacing w:after="120" w:line="300"/>
        <w:jc w:val="both"/>
      </w:pPr>
      <w:r>
        <w:rPr>
          <w:b/>
          <w:bCs/>
        </w:rPr>
        <w:t xml:space="preserve">Sensitivity analyses</w:t>
      </w:r>
      <w:r>
        <w:t xml:space="preserve"> included leave-one-out analysis; restriction to studies at low risk of bias in D3; exclusion of studies using composite quality scales as accuracy surrogate; alternative dichotomisation thresholds for Likert-type data (e.g. ≥4/5 vs 5/5 = accurate); exclusion of research letters; and fixed- vs random-effects pooling.</w:t>
      </w:r>
    </w:p>
    <w:p>
      <w:pPr>
        <w:spacing w:after="120" w:line="300"/>
        <w:jc w:val="both"/>
      </w:pPr>
      <w:r>
        <w:rPr>
          <w:b/>
          <w:bCs/>
        </w:rPr>
        <w:t xml:space="preserve">Reporting bias and certainty.</w:t>
      </w:r>
      <w:r>
        <w:t xml:space="preserve"> Small-study effects were explored with funnel plots and Egger's test [29] when ≥10 studies contributed to an analysis (interpreted cautiously for proportions). Certainty of evidence for each primary outcome was rated with an adapted GRADE approach [30] (risk of bias, inconsistency, indirectness – including obsolescence of evaluated model versions –, imprecision and publication bias) and summarised in a Summary-of-Findings table. The PRISMA flow diagram was produced according to PRISMA 2020 [11,31].</w:t>
      </w:r>
    </w:p>
    <w:p>
      <w:pPr>
        <w:pStyle w:val="Heading1"/>
        <w:spacing w:after="160" w:before="300"/>
      </w:pPr>
      <w:r>
        <w:t xml:space="preserve">3. Results</w:t>
      </w:r>
    </w:p>
    <w:p>
      <w:pPr>
        <w:pStyle w:val="Heading2"/>
        <w:spacing w:after="120" w:before="220"/>
      </w:pPr>
      <w:r>
        <w:t xml:space="preserve">3.1 Study selection</w:t>
      </w:r>
    </w:p>
    <w:p>
      <w:pPr>
        <w:spacing w:after="120" w:line="300"/>
        <w:jc w:val="both"/>
      </w:pPr>
      <w:r>
        <w:t xml:space="preserve">The searches identified 7,734 records (6,384 from bibliographic databases and 1,350 from AI-assisted search connectors). After removal of 4,679 duplicates, 865 records marked ineligible by the automated concept filter and 26 records removed for other reasons (peer-review reports, outside search period), 2,164 records were screened by title and abstract (Figure 1).</w:t>
      </w:r>
    </w:p>
    <w:p>
      <w:pPr>
        <w:spacing w:after="120" w:line="300"/>
        <w:jc w:val="both"/>
      </w:pPr>
      <w:r>
        <w:t xml:space="preserve">Inter-reviewer agreement in the main screening round was 99.2% (Cohen's κ = 0.97; almost perfect agreement). R1 and R2 agreed on 337 inclusions and 1,804 exclusions; 19 discordant records and 4 further records rated UNSURE (total 23) were adjudicated by R3, who included 12 and excluded 11. The ASReview quality control (out-of-fold AUC = 0.96) flagged 100 excluded records with high predicted relevance; after re-screening by R3, none of these were reclassified as potentially eligible. In the ASReview simulation, 95% of the included records were found after screening a mean of 726 records (33.5% of the dataset; WSS@95 = 61.5%).</w:t>
      </w:r>
    </w:p>
    <w:p>
      <w:pPr>
        <w:spacing w:after="120" w:line="300"/>
        <w:jc w:val="both"/>
      </w:pPr>
      <w:r>
        <w:t xml:space="preserve">Overall, 1,815 records were excluded at title/abstract stage (not dental, E1: 135; not a general-purpose LLM chatbot, E2: 344; not patient-facing, E3: 856; no content evaluation, E4: 20; ineligible publication type, E5: 460) and </w:t>
      </w:r>
      <w:r>
        <w:rPr>
          <w:b/>
          <w:bCs/>
        </w:rPr>
        <w:t xml:space="preserve">349 reports were sought for retrieval</w:t>
      </w:r>
      <w:r>
        <w:t xml:space="preserve">. Of the 25 benchmark studies of Zhang et al., 23 were retrieved by the search and entered screening; 21 of these were included at title/abstract stage (not included: Hatia 2024 (EXCLUDE E3: clinical questions and cases developed for orthodontists); Rokhshad 2024 (EXCLUDE E3: true/false knowledge test developed by experts) – consistent with this review's stricter patient-facing criterion; the two benchmark studies not retrieved address ENT/head-and-neck topics outside our dental scope). </w:t>
      </w:r>
      <w:r>
        <w:rPr>
          <w:highlight w:val="yellow"/>
          <w:highlightCs w:val="yellow"/>
        </w:rPr>
        <w:t xml:space="preserve">[Full text: n not retrieved; n assessed; n excluded with reasons (FT1–FT8); k studies included (k in meta-analysis).]</w:t>
      </w:r>
      <w:r>
        <w:t xml:space="preserve"> Studies that appeared to meet the criteria but were excluded are listed with reasons in Supplementary Table S6.</w:t>
      </w:r>
    </w:p>
    <w:p>
      <w:pPr>
        <w:spacing w:after="80" w:before="160"/>
      </w:pPr>
      <w:r>
        <w:rPr>
          <w:b/>
          <w:bCs/>
          <w:sz w:val="20"/>
          <w:szCs w:val="20"/>
        </w:rPr>
        <w:t xml:space="preserve">Figure 1. PRISMA 2020 flow diagram (identification, screening; full-text numbers to be completed)</w:t>
      </w:r>
    </w:p>
    <w:p>
      <w:pPr>
        <w:jc w:val="center"/>
      </w:pPr>
      <w:r>
        <w:drawing>
          <wp:inline distT="0" distB="0" distL="0" distR="0">
            <wp:extent cx="5715000" cy="7239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7239000"/>
                    </a:xfrm>
                    <a:prstGeom prst="rect">
                      <a:avLst/>
                    </a:prstGeom>
                  </pic:spPr>
                </pic:pic>
              </a:graphicData>
            </a:graphic>
          </wp:inline>
        </w:drawing>
      </w:r>
    </w:p>
    <w:p>
      <w:pPr>
        <w:pStyle w:val="Heading2"/>
        <w:spacing w:after="120" w:before="220"/>
      </w:pPr>
      <w:r>
        <w:t xml:space="preserve">3.2 Characteristics of included studies</w:t>
      </w:r>
    </w:p>
    <w:p>
      <w:pPr>
        <w:pBdr>
          <w:left w:val="single" w:color="2E75B6" w:sz="12" w:space="6"/>
        </w:pBdr>
        <w:shd w:fill="EAF1FB" w:color="auto" w:val="clear"/>
        <w:spacing w:after="120"/>
      </w:pPr>
      <w:r>
        <w:rPr>
          <w:i/>
          <w:iCs/>
          <w:color w:val="1F4E79"/>
          <w:sz w:val="20"/>
          <w:szCs w:val="20"/>
        </w:rPr>
        <w:t xml:space="preserve">Mirror Zhang et al. (Results – Characteristics) but stratify by specialty: publication years; specialties (n studies each); task types T1–T3; question sources (websites/FAQ, clinicians, real patient queries, LLM-generated, guidelines); number of questions (total, range); query languages; chatbots and versions (n arms per model family; access dates); prompting (direct vs role/structured; reported vs not); repetitions; interface (web vs API); evaluators (number, specialty, blinding); rating instruments. Cite each study.</w:t>
      </w:r>
    </w:p>
    <w:p>
      <w:pPr>
        <w:spacing w:after="80" w:before="160"/>
      </w:pPr>
      <w:r>
        <w:rPr>
          <w:b/>
          <w:bCs/>
          <w:sz w:val="20"/>
          <w:szCs w:val="20"/>
        </w:rPr>
        <w:t xml:space="preserve">Table 7. Characteristics of included studies (shell; full version Supplementary Table S3)</w:t>
      </w:r>
    </w:p>
    <w:tbl>
      <w:tblPr>
        <w:tblW w:type="dxa" w:w="9297"/>
        <w:tblBorders>
          <w:top w:val="single" w:color="auto" w:sz="4"/>
          <w:left w:val="single" w:color="auto" w:sz="4"/>
          <w:bottom w:val="single" w:color="auto" w:sz="4"/>
          <w:right w:val="single" w:color="auto" w:sz="4"/>
          <w:insideH w:val="single" w:color="auto" w:sz="4"/>
          <w:insideV w:val="single" w:color="auto" w:sz="4"/>
        </w:tblBorders>
      </w:tblPr>
      <w:tblGrid>
        <w:gridCol w:w="1033"/>
        <w:gridCol w:w="1033"/>
        <w:gridCol w:w="1033"/>
        <w:gridCol w:w="1033"/>
        <w:gridCol w:w="1033"/>
        <w:gridCol w:w="1033"/>
        <w:gridCol w:w="1033"/>
        <w:gridCol w:w="1033"/>
        <w:gridCol w:w="1033"/>
      </w:tblGrid>
      <w:tr>
        <w:trPr>
          <w:tblHeader/>
        </w:trPr>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Study (year, country)</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Specialty / topic</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Task type</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Question source (n)</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Language</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Chatbots / versions (access date)</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Prompt / repetitions</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Evaluators (n, specialty, blinded)</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Instrument / outcomes</w:t>
            </w:r>
          </w:p>
        </w:tc>
      </w:tr>
      <w:tr>
        <w:trPr>
          <w:tblHeader w:val="false"/>
        </w:trPr>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bl>
    <w:p>
      <w:pPr>
        <w:pStyle w:val="Heading2"/>
        <w:spacing w:after="120" w:before="220"/>
      </w:pPr>
      <w:r>
        <w:t xml:space="preserve">3.3 Risk of bias and reporting quality</w:t>
      </w:r>
    </w:p>
    <w:p>
      <w:pPr>
        <w:spacing w:after="120" w:line="300"/>
        <w:jc w:val="both"/>
      </w:pPr>
      <w:r>
        <w:rPr>
          <w:highlight w:val="yellow"/>
          <w:highlightCs w:val="yellow"/>
        </w:rPr>
        <w:t xml:space="preserve">[Summary of modified QUADAS-2 judgements per domain (Figure 2) and applicability concerns; median CHART/METRICS reporting completeness (IQR); most frequently unreported items (e.g. access date, prompt, blinding, inter-rater reliability).]</w:t>
      </w:r>
    </w:p>
    <w:p>
      <w:pPr>
        <w:spacing w:after="80" w:before="160"/>
      </w:pPr>
      <w:r>
        <w:rPr>
          <w:b/>
          <w:bCs/>
          <w:sz w:val="20"/>
          <w:szCs w:val="20"/>
        </w:rPr>
        <w:t xml:space="preserve">Figure 2. Risk of bias (modified QUADAS-2): traffic-light and summary plots </w:t>
      </w:r>
      <w:r>
        <w:rPr>
          <w:b/>
          <w:bCs/>
          <w:sz w:val="20"/>
          <w:szCs w:val="20"/>
          <w:highlight w:val="yellow"/>
          <w:highlightCs w:val="yellow"/>
        </w:rPr>
        <w:t xml:space="preserve">[insert]</w:t>
      </w:r>
    </w:p>
    <w:p>
      <w:pPr>
        <w:pStyle w:val="Heading2"/>
        <w:spacing w:after="120" w:before="220"/>
      </w:pPr>
      <w:r>
        <w:t xml:space="preserve">3.4 Accuracy of chatbot responses (primary outcome)</w:t>
      </w:r>
    </w:p>
    <w:p>
      <w:pPr>
        <w:spacing w:after="120" w:line="300"/>
        <w:jc w:val="both"/>
      </w:pPr>
      <w:r>
        <w:rPr>
          <w:highlight w:val="yellow"/>
          <w:highlightCs w:val="yellow"/>
        </w:rPr>
        <w:t xml:space="preserve">[Pooled proportion of accurate/acceptable responses (k, arms, responses; 95% CI; prediction interval; τ², I² at level 2 and 3) – Figure 3. Pooled POMP accuracy score – Figure 4. Comparison with human experts where available.]</w:t>
      </w:r>
    </w:p>
    <w:p>
      <w:pPr>
        <w:spacing w:after="80" w:before="160"/>
      </w:pPr>
      <w:r>
        <w:rPr>
          <w:b/>
          <w:bCs/>
          <w:sz w:val="20"/>
          <w:szCs w:val="20"/>
        </w:rPr>
        <w:t xml:space="preserve">Figure 3. Forest plot – proportion of accurate responses (categorical outcomes), by specialty </w:t>
      </w:r>
      <w:r>
        <w:rPr>
          <w:b/>
          <w:bCs/>
          <w:sz w:val="20"/>
          <w:szCs w:val="20"/>
          <w:highlight w:val="yellow"/>
          <w:highlightCs w:val="yellow"/>
        </w:rPr>
        <w:t xml:space="preserve">[insert]</w:t>
      </w:r>
    </w:p>
    <w:p>
      <w:pPr>
        <w:spacing w:after="80" w:before="160"/>
      </w:pPr>
      <w:r>
        <w:rPr>
          <w:b/>
          <w:bCs/>
          <w:sz w:val="20"/>
          <w:szCs w:val="20"/>
        </w:rPr>
        <w:t xml:space="preserve">Figure 4. Forest plot – POMP-transformed accuracy scores (continuous outcomes), by specialty </w:t>
      </w:r>
      <w:r>
        <w:rPr>
          <w:b/>
          <w:bCs/>
          <w:sz w:val="20"/>
          <w:szCs w:val="20"/>
          <w:highlight w:val="yellow"/>
          <w:highlightCs w:val="yellow"/>
        </w:rPr>
        <w:t xml:space="preserve">[insert]</w:t>
      </w:r>
    </w:p>
    <w:p>
      <w:pPr>
        <w:pStyle w:val="Heading2"/>
        <w:spacing w:after="120" w:before="220"/>
      </w:pPr>
      <w:r>
        <w:t xml:space="preserve">3.5 Potentially harmful errors and safety-relevant omissions (primary outcome)</w:t>
      </w:r>
    </w:p>
    <w:p>
      <w:pPr>
        <w:spacing w:after="120" w:line="300"/>
        <w:jc w:val="both"/>
      </w:pPr>
      <w:r>
        <w:rPr>
          <w:highlight w:val="yellow"/>
          <w:highlightCs w:val="yellow"/>
        </w:rPr>
        <w:t xml:space="preserve">[Number of studies that assessed harm explicitly; pooled proportion of responses with potentially harmful content and with safety-relevant omissions; distribution across taxonomy S1–S9 (Table 8); severity; verbatim examples of the most serious errors by specialty (e.g. dental trauma, odontogenic infection, oral cancer, medication advice); frequency of referral/disclaimer statements.]</w:t>
      </w:r>
    </w:p>
    <w:p>
      <w:pPr>
        <w:spacing w:after="80" w:before="160"/>
      </w:pPr>
      <w:r>
        <w:rPr>
          <w:b/>
          <w:bCs/>
          <w:sz w:val="20"/>
          <w:szCs w:val="20"/>
        </w:rPr>
        <w:t xml:space="preserve">Table 8. Safety-related limitations by taxonomy category and dental specialty (shell)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tblGrid>
      <w:tr>
        <w:trPr>
          <w:tblHeader/>
        </w:trPr>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Safety category (S1–S9)</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Studies reporting (k)</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Responses affected n/N (%)</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Specialties</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Typical example (verbatim)</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Severity</w:t>
            </w:r>
          </w:p>
        </w:tc>
      </w:tr>
      <w:tr>
        <w:trPr>
          <w:tblHeader w:val="false"/>
        </w:trPr>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bl>
    <w:p>
      <w:pPr>
        <w:pStyle w:val="Heading2"/>
        <w:spacing w:after="120" w:before="220"/>
      </w:pPr>
      <w:r>
        <w:t xml:space="preserve">3.6 Differences across dental specialties (secondary question)</w:t>
      </w:r>
    </w:p>
    <w:p>
      <w:pPr>
        <w:spacing w:after="120" w:line="300"/>
        <w:jc w:val="both"/>
      </w:pPr>
      <w:r>
        <w:rPr>
          <w:highlight w:val="yellow"/>
          <w:highlightCs w:val="yellow"/>
        </w:rPr>
        <w:t xml:space="preserve">[Subgroup estimates of accuracy and safety outcomes per specialty (Figure 5) with test for subgroup differences; specialties with insufficient data described narratively.]</w:t>
      </w:r>
    </w:p>
    <w:p>
      <w:pPr>
        <w:spacing w:after="80" w:before="160"/>
      </w:pPr>
      <w:r>
        <w:rPr>
          <w:b/>
          <w:bCs/>
          <w:sz w:val="20"/>
          <w:szCs w:val="20"/>
        </w:rPr>
        <w:t xml:space="preserve">Figure 5. Accuracy and harmful-content proportions by dental specialty </w:t>
      </w:r>
      <w:r>
        <w:rPr>
          <w:b/>
          <w:bCs/>
          <w:sz w:val="20"/>
          <w:szCs w:val="20"/>
          <w:highlight w:val="yellow"/>
          <w:highlightCs w:val="yellow"/>
        </w:rPr>
        <w:t xml:space="preserve">[insert]</w:t>
      </w:r>
    </w:p>
    <w:p>
      <w:pPr>
        <w:pStyle w:val="Heading2"/>
        <w:spacing w:after="120" w:before="220"/>
      </w:pPr>
      <w:r>
        <w:t xml:space="preserve">3.7 Association with model version, task characteristics and evaluation methods</w:t>
      </w:r>
    </w:p>
    <w:p>
      <w:pPr>
        <w:spacing w:after="120" w:line="300"/>
        <w:jc w:val="both"/>
      </w:pPr>
      <w:r>
        <w:rPr>
          <w:highlight w:val="yellow"/>
          <w:highlightCs w:val="yellow"/>
        </w:rPr>
        <w:t xml:space="preserve">[Subgroup analyses and multilevel meta-regression (Table 9): model family/generation; within-study paired comparisons of versions (e.g. GPT-3.5 vs GPT-4/4o); task type; question source; prompting; language; evaluator type; blinding; instrument; risk of bias; publication year.]</w:t>
      </w:r>
    </w:p>
    <w:p>
      <w:pPr>
        <w:spacing w:after="80" w:before="160"/>
      </w:pPr>
      <w:r>
        <w:rPr>
          <w:b/>
          <w:bCs/>
          <w:sz w:val="20"/>
          <w:szCs w:val="20"/>
        </w:rPr>
        <w:t xml:space="preserve">Table 9. Subgroup and meta-regression analyses (shell)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550"/>
        <w:gridCol w:w="1550"/>
        <w:gridCol w:w="1550"/>
      </w:tblGrid>
      <w:tr>
        <w:trPr>
          <w:tblHeader/>
        </w:trPr>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Moderator / level</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k (arms)</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Accuracy % (95% CI)</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Harmful content % (95% CI)</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P subgroup / β (95% CI)</w:t>
            </w:r>
          </w:p>
        </w:tc>
        <w:tc>
          <w:tcPr>
            <w:tcW w:type="dxa" w:w="1550"/>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Residual I²</w:t>
            </w:r>
          </w:p>
        </w:tc>
      </w:tr>
      <w:tr>
        <w:trPr>
          <w:tblHeader w:val="false"/>
        </w:trPr>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bl>
    <w:p>
      <w:pPr>
        <w:pStyle w:val="Heading2"/>
        <w:spacing w:after="120" w:before="220"/>
      </w:pPr>
      <w:r>
        <w:t xml:space="preserve">3.8 Secondary outcomes</w:t>
      </w:r>
    </w:p>
    <w:p>
      <w:pPr>
        <w:spacing w:after="120" w:line="300"/>
        <w:jc w:val="both"/>
      </w:pPr>
      <w:r>
        <w:rPr>
          <w:highlight w:val="yellow"/>
          <w:highlightCs w:val="yellow"/>
        </w:rPr>
        <w:t xml:space="preserve">[Completeness; overall quality (GQS, DISCERN, EQIP); readability (FRE, FKGL – proportion of studies above recommended 6th–8th-grade level); PEMAT understandability/actionability; consistency/reproducibility across repetitions; empathy; inter-rater reliability of included studies.]</w:t>
      </w:r>
    </w:p>
    <w:p>
      <w:pPr>
        <w:pStyle w:val="Heading2"/>
        <w:spacing w:after="120" w:before="220"/>
      </w:pPr>
      <w:r>
        <w:t xml:space="preserve">3.9 Sensitivity analyses, reporting bias and certainty of evidence</w:t>
      </w:r>
    </w:p>
    <w:p>
      <w:pPr>
        <w:spacing w:after="120" w:line="300"/>
        <w:jc w:val="both"/>
      </w:pPr>
      <w:r>
        <w:rPr>
          <w:highlight w:val="yellow"/>
          <w:highlightCs w:val="yellow"/>
        </w:rPr>
        <w:t xml:space="preserve">[Leave-one-out, low-risk-of-bias restriction, alternative dichotomisation, one-arm-per-study models; funnel plots/Egger tests (if ≥10 studies); GRADE ratings – Summary of Findings (Table 10).]</w:t>
      </w:r>
    </w:p>
    <w:p>
      <w:pPr>
        <w:spacing w:after="80" w:before="160"/>
      </w:pPr>
      <w:r>
        <w:rPr>
          <w:b/>
          <w:bCs/>
          <w:sz w:val="20"/>
          <w:szCs w:val="20"/>
        </w:rPr>
        <w:t xml:space="preserve">Table 10. Summary of findings (GRADE) (shell)</w:t>
      </w:r>
    </w:p>
    <w:tbl>
      <w:tblPr>
        <w:tblW w:type="dxa" w:w="9297"/>
        <w:tblBorders>
          <w:top w:val="single" w:color="auto" w:sz="4"/>
          <w:left w:val="single" w:color="auto" w:sz="4"/>
          <w:bottom w:val="single" w:color="auto" w:sz="4"/>
          <w:right w:val="single" w:color="auto" w:sz="4"/>
          <w:insideH w:val="single" w:color="auto" w:sz="4"/>
          <w:insideV w:val="single" w:color="auto" w:sz="4"/>
        </w:tblBorders>
      </w:tblPr>
      <w:tblGrid>
        <w:gridCol w:w="1033"/>
        <w:gridCol w:w="1033"/>
        <w:gridCol w:w="1033"/>
        <w:gridCol w:w="1033"/>
        <w:gridCol w:w="1033"/>
        <w:gridCol w:w="1033"/>
        <w:gridCol w:w="1033"/>
        <w:gridCol w:w="1033"/>
        <w:gridCol w:w="1033"/>
      </w:tblGrid>
      <w:tr>
        <w:trPr>
          <w:tblHeader/>
        </w:trPr>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Outcome</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Studies (arms; responses)</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Pooled estimate (95% CI; PI)</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Risk of bias</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Inconsistency</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Indirectness</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Imprecision</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Publication bias</w:t>
            </w:r>
          </w:p>
        </w:tc>
        <w:tc>
          <w:tcPr>
            <w:tcW w:type="dxa" w:w="1033"/>
            <w:tcBorders>
              <w:top w:val="single" w:color="A6A6A6" w:sz="4"/>
              <w:left w:val="single" w:color="A6A6A6" w:sz="4"/>
              <w:bottom w:val="single" w:color="A6A6A6" w:sz="4"/>
              <w:right w:val="single" w:color="A6A6A6" w:sz="4"/>
            </w:tcBorders>
            <w:shd w:fill="1F4E79" w:color="auto" w:val="clear"/>
            <w:tcMar>
              <w:top w:type="dxa" w:w="60"/>
              <w:left w:type="dxa" w:w="90"/>
              <w:bottom w:type="dxa" w:w="60"/>
              <w:right w:type="dxa" w:w="90"/>
            </w:tcMar>
          </w:tcPr>
          <w:p>
            <w:pPr>
              <w:spacing w:after="20"/>
            </w:pPr>
            <w:r>
              <w:rPr>
                <w:b/>
                <w:bCs/>
                <w:color w:val="FFFFFF"/>
                <w:sz w:val="16"/>
                <w:szCs w:val="16"/>
              </w:rPr>
              <w:t xml:space="preserve">Certainty</w:t>
            </w:r>
          </w:p>
        </w:tc>
      </w:tr>
      <w:tr>
        <w:trPr>
          <w:tblHeader w:val="false"/>
        </w:trPr>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r>
        <w:trPr>
          <w:tblHeader w:val="false"/>
        </w:trPr>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c>
          <w:tcPr>
            <w:tcW w:type="dxa" w:w="10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sz w:val="16"/>
                <w:szCs w:val="16"/>
                <w:highlight w:val="yellow"/>
                <w:highlightCs w:val="yellow"/>
              </w:rPr>
              <w:t xml:space="preserve">[ ]</w:t>
            </w:r>
          </w:p>
        </w:tc>
      </w:tr>
    </w:tbl>
    <w:p>
      <w:pPr>
        <w:pStyle w:val="Heading1"/>
        <w:spacing w:after="160" w:before="300"/>
      </w:pPr>
      <w:r>
        <w:t xml:space="preserve">4. Discussion</w:t>
      </w:r>
    </w:p>
    <w:p>
      <w:pPr>
        <w:pStyle w:val="Heading2"/>
        <w:spacing w:after="120" w:before="220"/>
      </w:pPr>
      <w:r>
        <w:t xml:space="preserve">4.1 Principal findings</w:t>
      </w:r>
    </w:p>
    <w:p>
      <w:pPr>
        <w:pBdr>
          <w:left w:val="single" w:color="2E75B6" w:sz="12" w:space="6"/>
        </w:pBdr>
        <w:shd w:fill="EAF1FB" w:color="auto" w:val="clear"/>
        <w:spacing w:after="120"/>
      </w:pPr>
      <w:r>
        <w:rPr>
          <w:i/>
          <w:iCs/>
          <w:color w:val="1F4E79"/>
          <w:sz w:val="20"/>
          <w:szCs w:val="20"/>
        </w:rPr>
        <w:t xml:space="preserve">Open with the answer to the primary question in two to three sentences: overall accuracy, frequency and nature of potentially harmful errors/omissions, and the key specialty difference. Mirror Zhang et al.'s first discussion paragraph, but lead with safety rather than accuracy alone.</w:t>
      </w:r>
    </w:p>
    <w:p>
      <w:pPr>
        <w:spacing w:after="120" w:line="300"/>
        <w:jc w:val="both"/>
      </w:pPr>
      <w:r>
        <w:rPr>
          <w:highlight w:val="yellow"/>
          <w:highlightCs w:val="yellow"/>
        </w:rPr>
        <w:t xml:space="preserve">[This systematic review of k studies found that … ]</w:t>
      </w:r>
    </w:p>
    <w:p>
      <w:pPr>
        <w:pStyle w:val="Heading2"/>
        <w:spacing w:after="120" w:before="220"/>
      </w:pPr>
      <w:r>
        <w:t xml:space="preserve">4.2 Comparison with previous reviews</w:t>
      </w:r>
    </w:p>
    <w:p>
      <w:pPr>
        <w:spacing w:after="120" w:line="300"/>
        <w:jc w:val="both"/>
      </w:pPr>
      <w:r>
        <w:t xml:space="preserve">Compared with the review of Zhang et al., which included 25 studies published until June 2024 and focused on accuracy [3], the present review </w:t>
      </w:r>
      <w:r>
        <w:rPr>
          <w:highlight w:val="yellow"/>
          <w:highlightCs w:val="yellow"/>
        </w:rPr>
        <w:t xml:space="preserve">[extends the evidence to k studies up to October 2026, covers newer model generations and explicitly synthesises safety-related limitations]</w:t>
      </w:r>
      <w:r>
        <w:t xml:space="preserve">. [[Discuss agreement/disagreement of pooled accuracy with Zhang et al. (81.9% score; 69.9% acceptable) and with medical reviews (e.g. Wei et al.: 56% integrated accuracy) [8]; explain differences by question complexity, specialty mix, model generation and scoring methods; relate to specialty reviews [4–6].]]</w:t>
      </w:r>
    </w:p>
    <w:p>
      <w:pPr>
        <w:pStyle w:val="Heading2"/>
        <w:spacing w:after="120" w:before="220"/>
      </w:pPr>
      <w:r>
        <w:t xml:space="preserve">4.3 Accuracy is not safety: interpretation of harmful errors and omissions</w:t>
      </w:r>
    </w:p>
    <w:p>
      <w:pPr>
        <w:pBdr>
          <w:left w:val="single" w:color="2E75B6" w:sz="12" w:space="6"/>
        </w:pBdr>
        <w:shd w:fill="EAF1FB" w:color="auto" w:val="clear"/>
        <w:spacing w:after="120"/>
      </w:pPr>
      <w:r>
        <w:rPr>
          <w:i/>
          <w:iCs/>
          <w:color w:val="1F4E79"/>
          <w:sz w:val="20"/>
          <w:szCs w:val="20"/>
        </w:rPr>
        <w:t xml:space="preserve">Key argument of this review: high average accuracy can coexist with rare but clinically important errors. Discuss which specialties/topics carry the highest risk (time-critical emergencies such as dental trauma and odontogenic infections; oral cancer warning signs; medication/antibiotic advice; post-operative complications), whether omissions (missing referral, missing red flags) were more frequent than commission errors, and how few studies assessed harm explicitly with defined criteria. Relate to harm axes of Singhal et al.</w:t>
      </w:r>
    </w:p>
    <w:p>
      <w:pPr>
        <w:spacing w:after="120" w:line="300"/>
        <w:jc w:val="both"/>
      </w:pPr>
      <w:r>
        <w:rPr>
          <w:highlight w:val="yellow"/>
          <w:highlightCs w:val="yellow"/>
        </w:rPr>
        <w:t xml:space="preserve">[ ]</w:t>
      </w:r>
      <w:r>
        <w:t xml:space="preserve"> [2]</w:t>
      </w:r>
    </w:p>
    <w:p>
      <w:pPr>
        <w:pStyle w:val="Heading2"/>
        <w:spacing w:after="120" w:before="220"/>
      </w:pPr>
      <w:r>
        <w:t xml:space="preserve">4.4 Differences across specialties</w:t>
      </w:r>
    </w:p>
    <w:p>
      <w:pPr>
        <w:pBdr>
          <w:left w:val="single" w:color="2E75B6" w:sz="12" w:space="6"/>
        </w:pBdr>
        <w:shd w:fill="EAF1FB" w:color="auto" w:val="clear"/>
        <w:spacing w:after="120"/>
      </w:pPr>
      <w:r>
        <w:rPr>
          <w:i/>
          <w:iCs/>
          <w:color w:val="1F4E79"/>
          <w:sz w:val="20"/>
          <w:szCs w:val="20"/>
        </w:rPr>
        <w:t xml:space="preserve">Explain observed specialty differences: evidence base and consensus (e.g. well-standardised preventive advice vs controversial orthodontic/TMD topics), proportion of procedure-specific vs general questions, urgency, and availability of high-quality web sources in training data. Mirror Zhang's explanation of question type and training data.</w:t>
      </w:r>
    </w:p>
    <w:p>
      <w:pPr>
        <w:spacing w:after="120" w:line="300"/>
        <w:jc w:val="both"/>
      </w:pPr>
      <w:r>
        <w:rPr>
          <w:highlight w:val="yellow"/>
          <w:highlightCs w:val="yellow"/>
        </w:rPr>
        <w:t xml:space="preserve">[ ]</w:t>
      </w:r>
    </w:p>
    <w:p>
      <w:pPr>
        <w:pStyle w:val="Heading2"/>
        <w:spacing w:after="120" w:before="220"/>
      </w:pPr>
      <w:r>
        <w:t xml:space="preserve">4.5 Model version, task characteristics and evaluation methods</w:t>
      </w:r>
    </w:p>
    <w:p>
      <w:pPr>
        <w:pBdr>
          <w:left w:val="single" w:color="2E75B6" w:sz="12" w:space="6"/>
        </w:pBdr>
        <w:shd w:fill="EAF1FB" w:color="auto" w:val="clear"/>
        <w:spacing w:after="120"/>
      </w:pPr>
      <w:r>
        <w:rPr>
          <w:i/>
          <w:iCs/>
          <w:color w:val="1F4E79"/>
          <w:sz w:val="20"/>
          <w:szCs w:val="20"/>
        </w:rPr>
        <w:t xml:space="preserve">Discuss whether newer generations improved accuracy/safety (Zhang found no significant GPT-3.5 vs GPT-4 difference), effect of prompting, language, task type (patient Q&amp;A vs material generation vs scenario advice), and how evaluation choices (scale type, dichotomisation, evaluator specialty, blinding) influence estimates – a major source of heterogeneity.</w:t>
      </w:r>
    </w:p>
    <w:p>
      <w:pPr>
        <w:spacing w:after="120" w:line="300"/>
        <w:jc w:val="both"/>
      </w:pPr>
      <w:r>
        <w:rPr>
          <w:highlight w:val="yellow"/>
          <w:highlightCs w:val="yellow"/>
        </w:rPr>
        <w:t xml:space="preserve">[ ]</w:t>
      </w:r>
    </w:p>
    <w:p>
      <w:pPr>
        <w:pStyle w:val="Heading2"/>
        <w:spacing w:after="120" w:before="220"/>
      </w:pPr>
      <w:r>
        <w:t xml:space="preserve">4.6 Methodological quality of the evidence</w:t>
      </w:r>
    </w:p>
    <w:p>
      <w:pPr>
        <w:spacing w:after="120" w:line="300"/>
        <w:jc w:val="both"/>
      </w:pPr>
      <w:r>
        <w:t xml:space="preserve">[[Summarise risk-of-bias pattern and reporting gaps (access date, prompts, repetitions, blinding, inter-rater reliability, harm definitions). Recommend adherence to CHART [10] and METRICS [20] and to dental AI reporting standards [32]; propose a minimum core outcome set for dental chatbot studies: accuracy against an explicit reference standard, harm likelihood/severity, safety-relevant omission, completeness, readability, consistency.]]</w:t>
      </w:r>
    </w:p>
    <w:p>
      <w:pPr>
        <w:pStyle w:val="Heading2"/>
        <w:spacing w:after="120" w:before="220"/>
      </w:pPr>
      <w:r>
        <w:t xml:space="preserve">4.7 Implications for practice, policy and research</w:t>
      </w:r>
    </w:p>
    <w:p>
      <w:pPr>
        <w:pStyle w:val="ListParagraph"/>
        <w:numPr>
          <w:ilvl w:val="0"/>
          <w:numId w:val="2"/>
        </w:numPr>
        <w:spacing w:after="60" w:line="280"/>
      </w:pPr>
      <w:r>
        <w:rPr>
          <w:b/>
          <w:bCs/>
        </w:rPr>
        <w:t xml:space="preserve">Practice:</w:t>
      </w:r>
      <w:r>
        <w:t xml:space="preserve"> </w:t>
      </w:r>
      <w:r>
        <w:rPr>
          <w:highlight w:val="yellow"/>
          <w:highlightCs w:val="yellow"/>
        </w:rPr>
        <w:t xml:space="preserve">[dentists should anticipate chatbot use, ask patients about it, correct misinformation and provide vetted resources; chatbot answers should not replace individual examination, especially in emergencies.]</w:t>
      </w:r>
    </w:p>
    <w:p>
      <w:pPr>
        <w:pStyle w:val="ListParagraph"/>
        <w:numPr>
          <w:ilvl w:val="0"/>
          <w:numId w:val="2"/>
        </w:numPr>
        <w:spacing w:after="60" w:line="280"/>
      </w:pPr>
      <w:r>
        <w:rPr>
          <w:b/>
          <w:bCs/>
        </w:rPr>
        <w:t xml:space="preserve">Developers and policy:</w:t>
      </w:r>
      <w:r>
        <w:t xml:space="preserve"> </w:t>
      </w:r>
      <w:r>
        <w:rPr>
          <w:highlight w:val="yellow"/>
          <w:highlightCs w:val="yellow"/>
        </w:rPr>
        <w:t xml:space="preserve">[safety guardrails for time-critical dental conditions; referral prompts; transparency about versions; regulatory context (e.g. EU AI Act, medical device regulation for symptom checkers).]</w:t>
      </w:r>
    </w:p>
    <w:p>
      <w:pPr>
        <w:pStyle w:val="ListParagraph"/>
        <w:numPr>
          <w:ilvl w:val="0"/>
          <w:numId w:val="2"/>
        </w:numPr>
        <w:spacing w:after="60" w:line="280"/>
      </w:pPr>
      <w:r>
        <w:rPr>
          <w:b/>
          <w:bCs/>
        </w:rPr>
        <w:t xml:space="preserve">Research:</w:t>
      </w:r>
      <w:r>
        <w:t xml:space="preserve"> </w:t>
      </w:r>
      <w:r>
        <w:rPr>
          <w:highlight w:val="yellow"/>
          <w:highlightCs w:val="yellow"/>
        </w:rPr>
        <w:t xml:space="preserve">[standardised harm assessment, real patient questions, multi-turn and multilingual evaluation, version tracking, open per-question data, prospective studies with patients.]</w:t>
      </w:r>
    </w:p>
    <w:p>
      <w:pPr>
        <w:pStyle w:val="Heading2"/>
        <w:spacing w:after="120" w:before="220"/>
      </w:pPr>
      <w:r>
        <w:t xml:space="preserve">4.8 Strengths and limitations</w:t>
      </w:r>
    </w:p>
    <w:p>
      <w:pPr>
        <w:spacing w:after="120" w:line="300"/>
        <w:jc w:val="both"/>
      </w:pPr>
      <w:r>
        <w:t xml:space="preserve">Strengths of this review include a sensitive multi-source search without patient/outcome terms, dual independent screening with arbitration, a calibration exercise, machine-learning quality control of exclusions, a benchmark validation against a previous review, a prespecified safety taxonomy and multilevel models accounting for multiple chatbots per study. Limitations of the review process include the API-based search, which did not cover subscription databases such as Scopus, Web of Science and Embase </w:t>
      </w:r>
      <w:r>
        <w:rPr>
          <w:highlight w:val="yellow"/>
          <w:highlightCs w:val="yellow"/>
        </w:rPr>
        <w:t xml:space="preserve">[unless added]</w:t>
      </w:r>
      <w:r>
        <w:t xml:space="preserve">; the use of LLM-based reviewer agents for title/abstract screening, which – although calibrated, transparently documented and verified </w:t>
      </w:r>
      <w:r>
        <w:rPr>
          <w:highlight w:val="yellow"/>
          <w:highlightCs w:val="yellow"/>
        </w:rPr>
        <w:t xml:space="preserve">[by human reviewers in ASReview Validation mode]</w:t>
      </w:r>
      <w:r>
        <w:t xml:space="preserve"> – is a novel approach whose error profile is not fully established; and the rapid obsolescence of evaluated model versions. Limitations of the evidence include heterogeneous definitions of accuracy and harm, non-validated rating scales, mostly English single-turn questions and incomplete reporting of model versions and prompts </w:t>
      </w:r>
      <w:r>
        <w:rPr>
          <w:highlight w:val="yellow"/>
          <w:highlightCs w:val="yellow"/>
        </w:rPr>
        <w:t xml:space="preserve">[adapt to findings]</w:t>
      </w:r>
      <w:r>
        <w:t xml:space="preserve">.</w:t>
      </w:r>
    </w:p>
    <w:p>
      <w:pPr>
        <w:pStyle w:val="Heading1"/>
        <w:spacing w:after="160" w:before="300"/>
      </w:pPr>
      <w:r>
        <w:t xml:space="preserve">5. Conclusions</w:t>
      </w:r>
    </w:p>
    <w:p>
      <w:pPr>
        <w:spacing w:after="120" w:line="300"/>
        <w:jc w:val="both"/>
      </w:pPr>
      <w:r>
        <w:rPr>
          <w:highlight w:val="yellow"/>
          <w:highlightCs w:val="yellow"/>
        </w:rPr>
        <w:t xml:space="preserve">[Two to four sentences answering both review questions, e.g.: General-purpose LLM chatbots provide largely accurate dental information for common patient questions, but potentially harmful errors and safety-relevant omissions occur in a relevant proportion of responses and vary across specialties. Patients should be advised that chatbots cannot replace professional examination, and future studies should adopt standardised safety assessment and CHART-compliant reporting.]</w:t>
      </w:r>
    </w:p>
    <w:p>
      <w:pPr>
        <w:pStyle w:val="Heading1"/>
        <w:spacing w:after="160" w:before="300"/>
      </w:pPr>
      <w:r>
        <w:t xml:space="preserve">Declarations</w:t>
      </w:r>
    </w:p>
    <w:p>
      <w:pPr>
        <w:spacing w:after="120" w:line="300"/>
        <w:jc w:val="both"/>
      </w:pPr>
      <w:r>
        <w:rPr>
          <w:b/>
          <w:bCs/>
        </w:rPr>
        <w:t xml:space="preserve">Funding:</w:t>
      </w:r>
      <w:r>
        <w:t xml:space="preserve"> </w:t>
      </w:r>
      <w:r>
        <w:rPr>
          <w:highlight w:val="yellow"/>
          <w:highlightCs w:val="yellow"/>
        </w:rPr>
        <w:t xml:space="preserve">[ ]</w:t>
      </w:r>
      <w:r>
        <w:t xml:space="preserve">. </w:t>
      </w:r>
      <w:r>
        <w:rPr>
          <w:b/>
          <w:bCs/>
        </w:rPr>
        <w:t xml:space="preserve">Conflicts of interest:</w:t>
      </w:r>
      <w:r>
        <w:t xml:space="preserve"> </w:t>
      </w:r>
      <w:r>
        <w:rPr>
          <w:highlight w:val="yellow"/>
          <w:highlightCs w:val="yellow"/>
        </w:rPr>
        <w:t xml:space="preserve">[ ]</w:t>
      </w:r>
      <w:r>
        <w:t xml:space="preserve">. </w:t>
      </w:r>
      <w:r>
        <w:rPr>
          <w:b/>
          <w:bCs/>
        </w:rPr>
        <w:t xml:space="preserve">Author contributions (CRediT):</w:t>
      </w:r>
      <w:r>
        <w:t xml:space="preserve"> </w:t>
      </w:r>
      <w:r>
        <w:rPr>
          <w:highlight w:val="yellow"/>
          <w:highlightCs w:val="yellow"/>
        </w:rPr>
        <w:t xml:space="preserve">[ ]</w:t>
      </w:r>
      <w:r>
        <w:t xml:space="preserve">.</w:t>
      </w:r>
    </w:p>
    <w:p>
      <w:pPr>
        <w:spacing w:after="120" w:line="300"/>
        <w:jc w:val="both"/>
      </w:pPr>
      <w:r>
        <w:rPr>
          <w:b/>
          <w:bCs/>
        </w:rPr>
        <w:t xml:space="preserve">Data availability:</w:t>
      </w:r>
      <w:r>
        <w:t xml:space="preserve"> The search export, deduplication log, screening decisions of all reviewers with notes, ASReview-compatible labelled dataset, extraction and risk-of-bias forms and analysis code are provided in the supplementary workbook and will be deposited in </w:t>
      </w:r>
      <w:r>
        <w:rPr>
          <w:highlight w:val="yellow"/>
          <w:highlightCs w:val="yellow"/>
        </w:rPr>
        <w:t xml:space="preserve">[OSF/Zenodo DOI]</w:t>
      </w:r>
      <w:r>
        <w:t xml:space="preserve">.</w:t>
      </w:r>
    </w:p>
    <w:p>
      <w:pPr>
        <w:spacing w:after="120" w:line="300"/>
        <w:jc w:val="both"/>
      </w:pPr>
      <w:r>
        <w:rPr>
          <w:b/>
          <w:bCs/>
        </w:rPr>
        <w:t xml:space="preserve">Use of artificial intelligence:</w:t>
      </w:r>
      <w:r>
        <w:t xml:space="preserve"> AI-based tools were used for (i) literature searching through AI-assisted search connectors (Amass, Wiley Scholar Gateway, Consensus, Elicit); (ii) title/abstract screening, performed by three LLM-based reviewer agents (Claude, Anthropic) in fixed roles as described in Section 2.5, with all decisions archived; (iii) active-learning quality control (ASReview, open source); and (iv) drafting of parts of this manuscript. The authors </w:t>
      </w:r>
      <w:r>
        <w:rPr>
          <w:highlight w:val="yellow"/>
          <w:highlightCs w:val="yellow"/>
        </w:rPr>
        <w:t xml:space="preserve">[verified all screening decisions for included records and a random sample of excluded records in ASReview LAB Validation mode]</w:t>
      </w:r>
      <w:r>
        <w:t xml:space="preserve">, take full responsibility for the content and confirm that AI tools are not listed as authors.</w:t>
      </w:r>
    </w:p>
    <w:p>
      <w:pPr>
        <w:pStyle w:val="Heading1"/>
        <w:spacing w:after="160" w:before="300"/>
      </w:pPr>
      <w:r>
        <w:t xml:space="preserve">References</w:t>
      </w:r>
    </w:p>
    <w:p>
      <w:pPr>
        <w:pStyle w:val="ListParagraph"/>
        <w:numPr>
          <w:ilvl w:val="0"/>
          <w:numId w:val="3"/>
        </w:numPr>
        <w:spacing w:after="60"/>
      </w:pPr>
      <w:r>
        <w:rPr>
          <w:sz w:val="19"/>
          <w:szCs w:val="19"/>
        </w:rPr>
        <w:t xml:space="preserve">Thirunavukarasu AJ, Ting DSJ, Elangovan K, Gutierrez L, Tan TF, Ting DSW. Large language models in medicine. Nat Med. 2023;29(8):1930–40. doi:10.1038/s41591-023-02448-8</w:t>
      </w:r>
    </w:p>
    <w:p>
      <w:pPr>
        <w:pStyle w:val="ListParagraph"/>
        <w:numPr>
          <w:ilvl w:val="0"/>
          <w:numId w:val="3"/>
        </w:numPr>
        <w:spacing w:after="60"/>
      </w:pPr>
      <w:r>
        <w:rPr>
          <w:sz w:val="19"/>
          <w:szCs w:val="19"/>
        </w:rPr>
        <w:t xml:space="preserve">Singhal K, Azizi S, Tu T, et al. Large language models encode clinical knowledge. Nature. 2023;620(7972):172–80. doi:10.1038/s41586-023-06291-2</w:t>
      </w:r>
    </w:p>
    <w:p>
      <w:pPr>
        <w:pStyle w:val="ListParagraph"/>
        <w:numPr>
          <w:ilvl w:val="0"/>
          <w:numId w:val="3"/>
        </w:numPr>
        <w:spacing w:after="60"/>
      </w:pPr>
      <w:r>
        <w:rPr>
          <w:sz w:val="19"/>
          <w:szCs w:val="19"/>
        </w:rPr>
        <w:t xml:space="preserve">Zhang R, Pan Y, Liu Y, Deng Y, Pow EHN. Leveraging large language models for patient instructions in dentistry—A systematic review and meta-analysis. J Prosthodont. 2025;1–10. doi:10.1111/jopr.70068</w:t>
      </w:r>
    </w:p>
    <w:p>
      <w:pPr>
        <w:pStyle w:val="ListParagraph"/>
        <w:numPr>
          <w:ilvl w:val="0"/>
          <w:numId w:val="3"/>
        </w:numPr>
        <w:spacing w:after="60"/>
      </w:pPr>
      <w:r>
        <w:rPr>
          <w:sz w:val="19"/>
          <w:szCs w:val="19"/>
        </w:rPr>
        <w:t xml:space="preserve">de Menezes Torres LM, de Morais EF, Fernandes Almeida DRM, et al. The impact of the large language model ChatGPT in oral and maxillofacial surgery: a systematic review. Br J Oral Maxillofac Surg. 2025;63(5):357–62. doi:10.1016/j.bjoms.2025.03.006</w:t>
      </w:r>
    </w:p>
    <w:p>
      <w:pPr>
        <w:pStyle w:val="ListParagraph"/>
        <w:numPr>
          <w:ilvl w:val="0"/>
          <w:numId w:val="3"/>
        </w:numPr>
        <w:spacing w:after="60"/>
      </w:pPr>
      <w:r>
        <w:rPr>
          <w:sz w:val="19"/>
          <w:szCs w:val="19"/>
        </w:rPr>
        <w:t xml:space="preserve">Díaz-Flores García V, David Fernández S, D'Albis G, et al. Exploring ChatGPT's clinical role in prosthodontics: a systematic review. Minerva Dent Oral Sci. 2026;75(5):333–41. doi:10.23736/S2724-6329.26.05257-5</w:t>
      </w:r>
    </w:p>
    <w:p>
      <w:pPr>
        <w:pStyle w:val="ListParagraph"/>
        <w:numPr>
          <w:ilvl w:val="0"/>
          <w:numId w:val="3"/>
        </w:numPr>
        <w:spacing w:after="60"/>
      </w:pPr>
      <w:r>
        <w:rPr>
          <w:sz w:val="19"/>
          <w:szCs w:val="19"/>
        </w:rPr>
        <w:t xml:space="preserve">Liu Z, Nalley A, Hao J, et al. The performance of large language models in dentomaxillofacial radiology: a systematic review. Dentomaxillofac Radiol. 2025;54(8):613–31. doi:10.1093/dmfr/twaf060</w:t>
      </w:r>
    </w:p>
    <w:p>
      <w:pPr>
        <w:pStyle w:val="ListParagraph"/>
        <w:numPr>
          <w:ilvl w:val="0"/>
          <w:numId w:val="3"/>
        </w:numPr>
        <w:spacing w:after="60"/>
      </w:pPr>
      <w:r>
        <w:rPr>
          <w:sz w:val="19"/>
          <w:szCs w:val="19"/>
        </w:rPr>
        <w:t xml:space="preserve">Santhosh Kumar S, Michelogiannakis D, Xu X, et al. Patient trust in artificial intelligence for orthodontic advice: a systematic review. J Am Dent Assoc. 2025;156(11):931–44.e6. doi:10.1016/j.adaj.2025.08.003</w:t>
      </w:r>
    </w:p>
    <w:p>
      <w:pPr>
        <w:pStyle w:val="ListParagraph"/>
        <w:numPr>
          <w:ilvl w:val="0"/>
          <w:numId w:val="3"/>
        </w:numPr>
        <w:spacing w:after="60"/>
      </w:pPr>
      <w:r>
        <w:rPr>
          <w:sz w:val="19"/>
          <w:szCs w:val="19"/>
        </w:rPr>
        <w:t xml:space="preserve">Wei Q, Yao Z, Cui Y, Wei B, Jin Z, Xu X. Evaluation of ChatGPT-generated medical responses: a systematic review and meta-analysis. J Biomed Inform. 2024;151:104620. doi:10.1016/j.jbi.2024.104620</w:t>
      </w:r>
    </w:p>
    <w:p>
      <w:pPr>
        <w:pStyle w:val="ListParagraph"/>
        <w:numPr>
          <w:ilvl w:val="0"/>
          <w:numId w:val="3"/>
        </w:numPr>
        <w:spacing w:after="60"/>
      </w:pPr>
      <w:r>
        <w:rPr>
          <w:sz w:val="19"/>
          <w:szCs w:val="19"/>
        </w:rPr>
        <w:t xml:space="preserve">Iqbal U, Tanweer A, Rahmanti AR, et al. Impact of large language model (ChatGPT) in healthcare: an umbrella review and evidence synthesis. J Biomed Sci. 2025;32(1):45. doi:10.1186/s12929-025-01131-z</w:t>
      </w:r>
    </w:p>
    <w:p>
      <w:pPr>
        <w:pStyle w:val="ListParagraph"/>
        <w:numPr>
          <w:ilvl w:val="0"/>
          <w:numId w:val="3"/>
        </w:numPr>
        <w:spacing w:after="60"/>
      </w:pPr>
      <w:r>
        <w:rPr>
          <w:sz w:val="19"/>
          <w:szCs w:val="19"/>
        </w:rPr>
        <w:t xml:space="preserve">CHART Collaborative; Huo B, Collins GS, et al. Reporting guideline for chatbot health advice studies: the CHART statement. Artif Intell Med. 2025;168:103222. doi:10.1016/j.artmed.2025.103222 (co-published in BMJ Med, JAMA Netw Open, Ann Fam Med and Br J Surg)</w:t>
      </w:r>
    </w:p>
    <w:p>
      <w:pPr>
        <w:pStyle w:val="ListParagraph"/>
        <w:numPr>
          <w:ilvl w:val="0"/>
          <w:numId w:val="3"/>
        </w:numPr>
        <w:spacing w:after="60"/>
      </w:pPr>
      <w:r>
        <w:rPr>
          <w:sz w:val="19"/>
          <w:szCs w:val="19"/>
        </w:rPr>
        <w:t xml:space="preserve">Page MJ, McKenzie JE, Bossuyt PM, et al. The PRISMA 2020 statement: an updated guideline for reporting systematic reviews. BMJ. 2021;372:n71. doi:10.1136/bmj.n71</w:t>
      </w:r>
    </w:p>
    <w:p>
      <w:pPr>
        <w:pStyle w:val="ListParagraph"/>
        <w:numPr>
          <w:ilvl w:val="0"/>
          <w:numId w:val="3"/>
        </w:numPr>
        <w:spacing w:after="60"/>
      </w:pPr>
      <w:r>
        <w:rPr>
          <w:sz w:val="19"/>
          <w:szCs w:val="19"/>
        </w:rPr>
        <w:t xml:space="preserve">Rethlefsen ML, Kirtley S, Waffenschmidt S, et al. PRISMA-S: an extension to the PRISMA statement for reporting literature searches in systematic reviews. Syst Rev. 2021;10(1):39. doi:10.1186/s13643-020-01542-z</w:t>
      </w:r>
    </w:p>
    <w:p>
      <w:pPr>
        <w:pStyle w:val="ListParagraph"/>
        <w:numPr>
          <w:ilvl w:val="0"/>
          <w:numId w:val="3"/>
        </w:numPr>
        <w:spacing w:after="60"/>
      </w:pPr>
      <w:r>
        <w:rPr>
          <w:sz w:val="19"/>
          <w:szCs w:val="19"/>
        </w:rPr>
        <w:t xml:space="preserve">Flemyng E, Noel-Storr A, Macura B, et al. Position statement on artificial intelligence (AI) use in evidence synthesis across Cochrane, the Campbell Collaboration, JBI and the Collaboration for Environmental Evidence 2025. Campbell Syst Rev. 2025. doi:10.1002/cl2.70074</w:t>
      </w:r>
    </w:p>
    <w:p>
      <w:pPr>
        <w:pStyle w:val="ListParagraph"/>
        <w:numPr>
          <w:ilvl w:val="0"/>
          <w:numId w:val="3"/>
        </w:numPr>
        <w:spacing w:after="60"/>
      </w:pPr>
      <w:r>
        <w:rPr>
          <w:sz w:val="19"/>
          <w:szCs w:val="19"/>
        </w:rPr>
        <w:t xml:space="preserve">Higgins JPT, Thomas J, Chandler J, et al., editors. Cochrane Handbook for Systematic Reviews of Interventions. Version 6.5. Cochrane; 2024. Available from www.training.cochrane.org/handbook</w:t>
      </w:r>
    </w:p>
    <w:p>
      <w:pPr>
        <w:pStyle w:val="ListParagraph"/>
        <w:numPr>
          <w:ilvl w:val="0"/>
          <w:numId w:val="3"/>
        </w:numPr>
        <w:spacing w:after="60"/>
      </w:pPr>
      <w:r>
        <w:rPr>
          <w:sz w:val="19"/>
          <w:szCs w:val="19"/>
        </w:rPr>
        <w:t xml:space="preserve">McHugh ML. Interrater reliability: the kappa statistic. Biochem Med (Zagreb). 2012;22(3):276–82.</w:t>
      </w:r>
    </w:p>
    <w:p>
      <w:pPr>
        <w:pStyle w:val="ListParagraph"/>
        <w:numPr>
          <w:ilvl w:val="0"/>
          <w:numId w:val="3"/>
        </w:numPr>
        <w:spacing w:after="60"/>
      </w:pPr>
      <w:r>
        <w:rPr>
          <w:sz w:val="19"/>
          <w:szCs w:val="19"/>
        </w:rPr>
        <w:t xml:space="preserve">Landis JR, Koch GG. The measurement of observer agreement for categorical data. Biometrics. 1977;33(1):159–74.</w:t>
      </w:r>
    </w:p>
    <w:p>
      <w:pPr>
        <w:pStyle w:val="ListParagraph"/>
        <w:numPr>
          <w:ilvl w:val="0"/>
          <w:numId w:val="3"/>
        </w:numPr>
        <w:spacing w:after="60"/>
      </w:pPr>
      <w:r>
        <w:rPr>
          <w:sz w:val="19"/>
          <w:szCs w:val="19"/>
        </w:rPr>
        <w:t xml:space="preserve">van de Schoot R, de Bruin J, Schram R, et al. An open source machine learning framework for efficient and transparent systematic reviews. Nat Mach Intell. 2021;3:125–33. doi:10.1038/s42256-020-00287-7</w:t>
      </w:r>
    </w:p>
    <w:p>
      <w:pPr>
        <w:pStyle w:val="ListParagraph"/>
        <w:numPr>
          <w:ilvl w:val="0"/>
          <w:numId w:val="3"/>
        </w:numPr>
        <w:spacing w:after="60"/>
      </w:pPr>
      <w:r>
        <w:rPr>
          <w:sz w:val="19"/>
          <w:szCs w:val="19"/>
        </w:rPr>
        <w:t xml:space="preserve">Boetje J, van de Schoot R. The SAFE procedure: a practical stopping heuristic for active learning-based screening in systematic reviews and meta-analyses. Syst Rev. 2024;13(1):81. doi:10.1186/s13643-024-02502-7</w:t>
      </w:r>
    </w:p>
    <w:p>
      <w:pPr>
        <w:pStyle w:val="ListParagraph"/>
        <w:numPr>
          <w:ilvl w:val="0"/>
          <w:numId w:val="3"/>
        </w:numPr>
        <w:spacing w:after="60"/>
      </w:pPr>
      <w:r>
        <w:rPr>
          <w:sz w:val="19"/>
          <w:szCs w:val="19"/>
        </w:rPr>
        <w:t xml:space="preserve">Whiting PF, Rutjes AWS, Westwood ME, et al. QUADAS-2: a revised tool for the quality assessment of diagnostic accuracy studies. Ann Intern Med. 2011;155(8):529–36. doi:10.7326/0003-4819-155-8-201110180-00009</w:t>
      </w:r>
    </w:p>
    <w:p>
      <w:pPr>
        <w:pStyle w:val="ListParagraph"/>
        <w:numPr>
          <w:ilvl w:val="0"/>
          <w:numId w:val="3"/>
        </w:numPr>
        <w:spacing w:after="60"/>
      </w:pPr>
      <w:r>
        <w:rPr>
          <w:sz w:val="19"/>
          <w:szCs w:val="19"/>
        </w:rPr>
        <w:t xml:space="preserve">Sallam M, Barakat M, Sallam M. A preliminary checklist (METRICS) to standardize the design and reporting of studies on generative artificial intelligence-based models in health care education and practice: development study involving a literature review. Interact J Med Res. 2024;13:e54704. doi:10.2196/54704</w:t>
      </w:r>
    </w:p>
    <w:p>
      <w:pPr>
        <w:pStyle w:val="ListParagraph"/>
        <w:numPr>
          <w:ilvl w:val="0"/>
          <w:numId w:val="3"/>
        </w:numPr>
        <w:spacing w:after="60"/>
      </w:pPr>
      <w:r>
        <w:rPr>
          <w:sz w:val="19"/>
          <w:szCs w:val="19"/>
        </w:rPr>
        <w:t xml:space="preserve">Cohen P, Cohen J, Aiken LS, West SG. The problem of units and the circumstance for POMP. Multivariate Behav Res. 1999;34(3):315–46. doi:10.1207/S15327906MBR3403_2</w:t>
      </w:r>
    </w:p>
    <w:p>
      <w:pPr>
        <w:pStyle w:val="ListParagraph"/>
        <w:numPr>
          <w:ilvl w:val="0"/>
          <w:numId w:val="3"/>
        </w:numPr>
        <w:spacing w:after="60"/>
      </w:pPr>
      <w:r>
        <w:rPr>
          <w:sz w:val="19"/>
          <w:szCs w:val="19"/>
        </w:rPr>
        <w:t xml:space="preserve">Lin L, Chu H. Meta-analysis of proportions using generalized linear mixed models. Epidemiology. 2020;31(5):713–7. doi:10.1097/EDE.0000000000001232</w:t>
      </w:r>
    </w:p>
    <w:p>
      <w:pPr>
        <w:pStyle w:val="ListParagraph"/>
        <w:numPr>
          <w:ilvl w:val="0"/>
          <w:numId w:val="3"/>
        </w:numPr>
        <w:spacing w:after="60"/>
      </w:pPr>
      <w:r>
        <w:rPr>
          <w:sz w:val="19"/>
          <w:szCs w:val="19"/>
        </w:rPr>
        <w:t xml:space="preserve">Barker TH, Migliavaca CB, Stein C, et al. Conducting proportional meta-analysis in different types of systematic reviews: a guide for synthesisers of evidence. BMC Med Res Methodol. 2021;21(1):189. doi:10.1186/s12874-021-01381-z</w:t>
      </w:r>
    </w:p>
    <w:p>
      <w:pPr>
        <w:pStyle w:val="ListParagraph"/>
        <w:numPr>
          <w:ilvl w:val="0"/>
          <w:numId w:val="3"/>
        </w:numPr>
        <w:spacing w:after="60"/>
      </w:pPr>
      <w:r>
        <w:rPr>
          <w:sz w:val="19"/>
          <w:szCs w:val="19"/>
        </w:rPr>
        <w:t xml:space="preserve">IntHout J, Ioannidis JPA, Borm GF. The Hartung-Knapp-Sidik-Jonkman method for random effects meta-analysis is straightforward and considerably outperforms the standard DerSimonian-Laird method. BMC Med Res Methodol. 2014;14:25. doi:10.1186/1471-2288-14-25</w:t>
      </w:r>
    </w:p>
    <w:p>
      <w:pPr>
        <w:pStyle w:val="ListParagraph"/>
        <w:numPr>
          <w:ilvl w:val="0"/>
          <w:numId w:val="3"/>
        </w:numPr>
        <w:spacing w:after="60"/>
      </w:pPr>
      <w:r>
        <w:rPr>
          <w:sz w:val="19"/>
          <w:szCs w:val="19"/>
        </w:rPr>
        <w:t xml:space="preserve">Cheung MWL. Modeling dependent effect sizes with three-level meta-analyses: a structural equation modeling approach. Psychol Methods. 2014;19(2):211–29. doi:10.1037/a0032968</w:t>
      </w:r>
    </w:p>
    <w:p>
      <w:pPr>
        <w:pStyle w:val="ListParagraph"/>
        <w:numPr>
          <w:ilvl w:val="0"/>
          <w:numId w:val="3"/>
        </w:numPr>
        <w:spacing w:after="60"/>
      </w:pPr>
      <w:r>
        <w:rPr>
          <w:sz w:val="19"/>
          <w:szCs w:val="19"/>
        </w:rPr>
        <w:t xml:space="preserve">Viechtbauer W. Conducting meta-analyses in R with the metafor package. J Stat Softw. 2010;36(3):1–48. doi:10.18637/jss.v036.i03</w:t>
      </w:r>
    </w:p>
    <w:p>
      <w:pPr>
        <w:pStyle w:val="ListParagraph"/>
        <w:numPr>
          <w:ilvl w:val="0"/>
          <w:numId w:val="3"/>
        </w:numPr>
        <w:spacing w:after="60"/>
      </w:pPr>
      <w:r>
        <w:rPr>
          <w:sz w:val="19"/>
          <w:szCs w:val="19"/>
        </w:rPr>
        <w:t xml:space="preserve">Balduzzi S, Rücker G, Schwarzer G. How to perform a meta-analysis with R: a practical tutorial. Evid Based Ment Health. 2019;22(4):153–60. doi:10.1136/ebmental-2019-300117</w:t>
      </w:r>
    </w:p>
    <w:p>
      <w:pPr>
        <w:pStyle w:val="ListParagraph"/>
        <w:numPr>
          <w:ilvl w:val="0"/>
          <w:numId w:val="3"/>
        </w:numPr>
        <w:spacing w:after="60"/>
      </w:pPr>
      <w:r>
        <w:rPr>
          <w:sz w:val="19"/>
          <w:szCs w:val="19"/>
        </w:rPr>
        <w:t xml:space="preserve">Campbell M, McKenzie JE, Sowden A, et al. Synthesis without meta-analysis (SWiM) in systematic reviews: reporting guideline. BMJ. 2020;368:l6890. doi:10.1136/bmj.l6890</w:t>
      </w:r>
    </w:p>
    <w:p>
      <w:pPr>
        <w:pStyle w:val="ListParagraph"/>
        <w:numPr>
          <w:ilvl w:val="0"/>
          <w:numId w:val="3"/>
        </w:numPr>
        <w:spacing w:after="60"/>
      </w:pPr>
      <w:r>
        <w:rPr>
          <w:sz w:val="19"/>
          <w:szCs w:val="19"/>
        </w:rPr>
        <w:t xml:space="preserve">Egger M, Davey Smith G, Schneider M, Minder C. Bias in meta-analysis detected by a simple, graphical test. BMJ. 1997;315(7109):629–34. doi:10.1136/bmj.315.7109.629</w:t>
      </w:r>
    </w:p>
    <w:p>
      <w:pPr>
        <w:pStyle w:val="ListParagraph"/>
        <w:numPr>
          <w:ilvl w:val="0"/>
          <w:numId w:val="3"/>
        </w:numPr>
        <w:spacing w:after="60"/>
      </w:pPr>
      <w:r>
        <w:rPr>
          <w:sz w:val="19"/>
          <w:szCs w:val="19"/>
        </w:rPr>
        <w:t xml:space="preserve">Guyatt GH, Oxman AD, Vist GE, et al. GRADE: an emerging consensus on rating quality of evidence and strength of recommendations. BMJ. 2008;336(7650):924–6. doi:10.1136/bmj.39489.470347.AD</w:t>
      </w:r>
    </w:p>
    <w:p>
      <w:pPr>
        <w:pStyle w:val="ListParagraph"/>
        <w:numPr>
          <w:ilvl w:val="0"/>
          <w:numId w:val="3"/>
        </w:numPr>
        <w:spacing w:after="60"/>
      </w:pPr>
      <w:r>
        <w:rPr>
          <w:sz w:val="19"/>
          <w:szCs w:val="19"/>
        </w:rPr>
        <w:t xml:space="preserve">Haddaway NR, Page MJ, Pritchard CC, McGuinness LA. PRISMA2020: an R package and Shiny app for producing PRISMA 2020-compliant flow diagrams, with interactivity for optimised digital transparency and Open Synthesis. Campbell Syst Rev. 2022;18(2):e1230. doi:10.1002/cl2.1230</w:t>
      </w:r>
    </w:p>
    <w:p>
      <w:pPr>
        <w:pStyle w:val="ListParagraph"/>
        <w:numPr>
          <w:ilvl w:val="0"/>
          <w:numId w:val="3"/>
        </w:numPr>
        <w:spacing w:after="60"/>
      </w:pPr>
      <w:r>
        <w:rPr>
          <w:sz w:val="19"/>
          <w:szCs w:val="19"/>
        </w:rPr>
        <w:t xml:space="preserve">Schwendicke F, Singh T, Lee JH, et al. Artificial intelligence in dental research: checklist for authors, reviewers, readers. J Dent. 2021;107:103610. doi:10.1016/j.jdent.2021.103610</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LLM chatbots for dental patient information – systematic review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5"/>
      <w:szCs w:val="25"/>
    </w:rPr>
  </w:style>
  <w:style w:type="paragraph" w:styleId="Heading3">
    <w:name w:val="Heading 3"/>
    <w:basedOn w:val="Normal"/>
    <w:next w:val="Normal"/>
    <w:qFormat/>
    <w:pPr>
      <w:spacing w:after="100" w:before="16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9f641609ebff71f5dce19874cd255a706817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chatbots for dental patient information – systematic review (draft)</dc:title>
  <dc:creator>LLM-Dental SR team</dc:creator>
  <cp:lastModifiedBy>Un-named</cp:lastModifiedBy>
  <cp:revision>1</cp:revision>
  <dcterms:created xsi:type="dcterms:W3CDTF">2026-10-08T21:07:34.592Z</dcterms:created>
  <dcterms:modified xsi:type="dcterms:W3CDTF">2026-10-08T21:07:34.592Z</dcterms:modified>
</cp:coreProperties>
</file>

<file path=docProps/custom.xml><?xml version="1.0" encoding="utf-8"?>
<Properties xmlns="http://schemas.openxmlformats.org/officeDocument/2006/custom-properties" xmlns:vt="http://schemas.openxmlformats.org/officeDocument/2006/docPropsVTypes"/>
</file>