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F4E79"/>
          <w:sz w:val="26"/>
          <w:szCs w:val="26"/>
        </w:rPr>
        <w:t xml:space="preserve">SUPPLEMENTARY MATERIAL</w:t>
      </w:r>
    </w:p>
    <w:p>
      <w:pPr>
        <w:spacing w:after="120" w:line="300"/>
        <w:jc w:val="center"/>
      </w:pPr>
      <w:r>
        <w:rPr>
          <w:b/>
          <w:bCs/>
        </w:rPr>
        <w:t xml:space="preserve">Accuracy and Safety-Related Limitations of General-Purpose LLM Chatbots for Dental Patient Information: A Systematic Review Across Specialties</w:t>
      </w:r>
    </w:p>
    <w:p>
      <w:pPr>
        <w:spacing w:after="120" w:line="300"/>
        <w:jc w:val="left"/>
      </w:pPr>
      <w:r>
        <w:t xml:space="preserve">Contents: S1 Search strategies (PRISMA-S) · S2 Data extraction definitions · S3 Characteristics of included studies (template) · S4 Screening guide v1.1 and reviewer agent instructions · S5 Benchmark validation · S6 Records excluded at full-text stage (template) · S7 PRISMA 2020 checklist · S8 ASReview quality control · S9 Title/abstract screening agreement by batch</w:t>
      </w:r>
    </w:p>
    <w:p>
      <w:r>
        <w:br w:type="page"/>
      </w:r>
    </w:p>
    <w:p>
      <w:pPr>
        <w:pStyle w:val="Heading1"/>
        <w:spacing w:after="160" w:before="300"/>
      </w:pPr>
      <w:r>
        <w:t xml:space="preserve">Table S1. Search strategies (PRISMA-S)</w:t>
      </w:r>
    </w:p>
    <w:p>
      <w:pPr>
        <w:spacing w:after="120" w:line="300"/>
        <w:jc w:val="both"/>
      </w:pPr>
      <w:r>
        <w:t xml:space="preserve">Search date: 2 October 2026. Search period: 1 January 2022 – 2 October 2026. No language, publication-type or study-design limits. Concept blocks: C1 (LLM/chatbot) AND C2 (dentistry).</w:t>
      </w:r>
    </w:p>
    <w:p>
      <w:pPr>
        <w:spacing w:after="80" w:before="160"/>
      </w:pPr>
      <w:r>
        <w:rPr>
          <w:b/>
          <w:bCs/>
          <w:sz w:val="20"/>
          <w:szCs w:val="20"/>
        </w:rPr>
        <w:t xml:space="preserve">S1a. Concept blocks (Boolean master query, as run in Amass BiomedCore AM01)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Block</w:t>
            </w:r>
          </w:p>
        </w:tc>
        <w:tc>
          <w:tcPr>
            <w:tcW w:type="dxa" w:w="7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Terms</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C1 – LLM / chatbot</w:t>
            </w:r>
          </w:p>
        </w:tc>
        <w:tc>
          <w:tcPr>
            <w:tcW w:type="dxa" w:w="7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ChatGPT OR "large language model" OR chatbot OR "generative AI" OR GPT-4 OR Gemini OR Bard OR Copilot OR Claude OR DeepSeek OR Llama OR Perplexity</w:t>
            </w:r>
          </w:p>
        </w:tc>
      </w:tr>
      <w:tr>
        <w:trPr>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C2 – Dentistry</w:t>
            </w:r>
          </w:p>
        </w:tc>
        <w:tc>
          <w:tcPr>
            <w:tcW w:type="dxa" w:w="7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dental OR dentistry OR dentist OR "oral health" OR orthodontic OR endodontic OR periodontal OR prosthodontic OR "oral surgery" OR maxillofacial OR "dental implant" OR "pediatric dentistry" OR caries OR teeth</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AM02 (focused)</w:t>
            </w:r>
          </w:p>
        </w:tc>
        <w:tc>
          <w:tcPr>
            <w:tcW w:type="dxa" w:w="7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(ChatGPT OR "large language model" OR chatbot) AND (dental OR oral) AND (patient OR accuracy OR reliability OR readability OR quality OR safety OR misinformation)</w:t>
            </w:r>
          </w:p>
        </w:tc>
      </w:tr>
    </w:tbl>
    <w:p>
      <w:pPr>
        <w:spacing w:after="80" w:before="160"/>
      </w:pPr>
      <w:r>
        <w:rPr>
          <w:b/>
          <w:bCs/>
          <w:sz w:val="20"/>
          <w:szCs w:val="20"/>
        </w:rPr>
        <w:t xml:space="preserve">S1b. Database-specific searches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5200"/>
        <w:gridCol w:w="900"/>
      </w:tblGrid>
      <w:tr>
        <w:trPr>
          <w:tblHeader/>
        </w:trPr>
        <w:tc>
          <w:tcPr>
            <w:tcW w:type="dxa" w:w="2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Source</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Search ID</w:t>
            </w:r>
          </w:p>
        </w:tc>
        <w:tc>
          <w:tcPr>
            <w:tcW w:type="dxa" w:w="5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Strategy</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Records</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PubMed/MEDLINE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PM-01</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C1 AND C2 in [tiab]/MeSH; 2022/01/01:2026/10/02[dp]. Reconstructed logic: (ChatGPT OR "large language model" OR chatbot OR "generative AI" OR GPT-4 OR Gemini OR Bard OR Copilot OR Claude OR DeepSeek OR Llama OR Perplexity)[tiab] AND (dental OR dentistry OR dentist OR "oral health" OR orthodontic OR endodontic OR periodontal OR prosthodontic OR "oral surgery" OR maxillofacial OR "dental implant" OR "pediatric dentistry" OR caries OR teeth)[tiab] – verify verbatim string</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1315</w:t>
            </w:r>
          </w:p>
        </w:tc>
      </w:tr>
      <w:tr>
        <w:trPr>
          <w:tblHeader w:val="false"/>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Europe PMC (+ preprints)</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EP-01</w:t>
            </w:r>
          </w:p>
        </w:tc>
        <w:tc>
          <w:tcPr>
            <w:tcW w:type="dxa" w:w="5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C1 AND C2 (TITLE_ABS/KW); FIRST_PDATE:[2022-01-01 TO 2026-10-02]; SRC incl. PPR</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1400</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Semantic Scholar</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S2-01</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C1 AND C2 (title/abstract), year 2022–2026</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1903</w:t>
            </w:r>
          </w:p>
        </w:tc>
      </w:tr>
      <w:tr>
        <w:trPr>
          <w:tblHeader w:val="false"/>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Crossref</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CR-01..CR-120</w:t>
            </w:r>
          </w:p>
        </w:tc>
        <w:tc>
          <w:tcPr>
            <w:tcW w:type="dxa" w:w="5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120 pairwise C1 term × C2 term queries (query.bibliographic), from-pub-date 2022-01-01; local filter C1∧C2 in title/abstract/keywords</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694</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DOAJ</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DJ-01</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C1 AND C2 (bibjson.title/abstract/keywords), 2022–2026</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1018</w:t>
            </w:r>
          </w:p>
        </w:tc>
      </w:tr>
      <w:tr>
        <w:trPr>
          <w:tblHeader w:val="false"/>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arXiv</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AX-01</w:t>
            </w:r>
          </w:p>
        </w:tc>
        <w:tc>
          <w:tcPr>
            <w:tcW w:type="dxa" w:w="5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all: C1 AND C2, submittedDate 2022–2026</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54</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Amass BiomedCore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AM01, AM02, Q01–Q15</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AM01: (ChatGPT OR "large language model" OR chatbot OR "generative AI" OR GPT-4 OR Gemini OR Bard OR Copilot OR Claude OR DeepSeek OR Llama OR Perplexity) AND (dental OR dentistry OR dentist OR "oral health" OR orthodontic OR endodontic OR periodontal OR prosthodontic OR "oral surgery" OR maxillofacial OR "dental implant" OR "pediatric dentistry" OR caries OR teeth); AM02 focused (see S1a); Q01–Q15 natural language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850</w:t>
            </w:r>
          </w:p>
        </w:tc>
      </w:tr>
      <w:tr>
        <w:trPr>
          <w:tblHeader w:val="false"/>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Wiley Scholar Gateway</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Q01–Q15</w:t>
            </w:r>
          </w:p>
        </w:tc>
        <w:tc>
          <w:tcPr>
            <w:tcW w:type="dxa" w:w="5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Natural-language full-text queries (S1c); passages mapped to articles</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300</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Consensus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Q01–Q20</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Natural-language queries (S1c); first author only, matched by title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200</w:t>
            </w:r>
          </w:p>
        </w:tc>
      </w:tr>
      <w:tr>
        <w:trPr>
          <w:tblHeader w:val="false"/>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Elicit</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w:t>
            </w:r>
          </w:p>
        </w:tc>
        <w:tc>
          <w:tcPr>
            <w:tcW w:type="dxa" w:w="5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Q01–Q20 attempted; refused (no API access)</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0</w:t>
            </w:r>
          </w:p>
        </w:tc>
      </w:tr>
    </w:tbl>
    <w:p>
      <w:pPr>
        <w:pBdr>
          <w:left w:val="single" w:color="2E75B6" w:sz="12" w:space="6"/>
        </w:pBdr>
        <w:shd w:fill="EAF1FB" w:color="auto" w:val="clear"/>
        <w:spacing w:after="120"/>
      </w:pPr>
      <w:r>
        <w:rPr>
          <w:i/>
          <w:iCs/>
          <w:color w:val="1F4E79"/>
          <w:sz w:val="20"/>
          <w:szCs w:val="20"/>
        </w:rPr>
        <w:t xml:space="preserve">Verbatim database syntax (field tags, truncation, MeSH) for PM-01, EP-01, S2-01, CR-01..120, DJ-01 and AX-01 is stored in sheet Search_Strategy of LLM_Dental_SR_Search_Results_2026-10-02.xlsx and must be pasted here verbatim before submission (PRISMA-S item 8). The PubMed line above is the reconstructed C1 AND C2 logic for documentation and peer review of the search (PRESS).</w:t>
      </w:r>
    </w:p>
    <w:p>
      <w:pPr>
        <w:spacing w:after="80" w:before="160"/>
      </w:pPr>
      <w:r>
        <w:rPr>
          <w:b/>
          <w:bCs/>
          <w:sz w:val="20"/>
          <w:szCs w:val="20"/>
        </w:rPr>
        <w:t xml:space="preserve">S1c. Natural-language queries for semantic connectors (Q01–Q20)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6300"/>
        <w:gridCol w:w="2200"/>
      </w:tblGrid>
      <w:tr>
        <w:trPr>
          <w:tblHeader/>
        </w:trPr>
        <w:tc>
          <w:tcPr>
            <w:tcW w:type="dxa" w:w="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ID</w:t>
            </w:r>
          </w:p>
        </w:tc>
        <w:tc>
          <w:tcPr>
            <w:tcW w:type="dxa" w:w="6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Query</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Connectors</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Q01</w:t>
            </w:r>
          </w:p>
        </w:tc>
        <w:tc>
          <w:tcPr>
            <w:tcW w:type="dxa" w:w="6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accuracy of ChatGPT responses to dental patient questions</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Consensus; Amass; Wiley</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Q02</w:t>
            </w:r>
          </w:p>
        </w:tc>
        <w:tc>
          <w:tcPr>
            <w:tcW w:type="dxa" w:w="6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large language model chatbots patient information dentistry accuracy and safety</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Consensus; Amass; Wiley</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Q03</w:t>
            </w:r>
          </w:p>
        </w:tc>
        <w:tc>
          <w:tcPr>
            <w:tcW w:type="dxa" w:w="6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ChatGPT orthodontics patient questions accuracy</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Consensus; Amass; Wiley</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Q04</w:t>
            </w:r>
          </w:p>
        </w:tc>
        <w:tc>
          <w:tcPr>
            <w:tcW w:type="dxa" w:w="6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chatbot endodontics root canal treatment patient information quality</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Consensus; Amass; Wiley</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Q05</w:t>
            </w:r>
          </w:p>
        </w:tc>
        <w:tc>
          <w:tcPr>
            <w:tcW w:type="dxa" w:w="6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large language model periodontology periodontal disease patient education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Consensus; Amass; Wiley</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Q06</w:t>
            </w:r>
          </w:p>
        </w:tc>
        <w:tc>
          <w:tcPr>
            <w:tcW w:type="dxa" w:w="6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ChatGPT oral and maxillofacial surgery third molar extraction patient information</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Consensus; Amass; Wiley</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Q07</w:t>
            </w:r>
          </w:p>
        </w:tc>
        <w:tc>
          <w:tcPr>
            <w:tcW w:type="dxa" w:w="6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chatbot pediatric dentistry parents questions accuracy</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Consensus; Amass; Wiley</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Q08</w:t>
            </w:r>
          </w:p>
        </w:tc>
        <w:tc>
          <w:tcPr>
            <w:tcW w:type="dxa" w:w="6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large language model dental implants patient questions</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Consensus; Amass; Wiley</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Q09</w:t>
            </w:r>
          </w:p>
        </w:tc>
        <w:tc>
          <w:tcPr>
            <w:tcW w:type="dxa" w:w="6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ChatGPT prosthodontics dentures patient information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Consensus; Amass; Wiley</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Q10</w:t>
            </w:r>
          </w:p>
        </w:tc>
        <w:tc>
          <w:tcPr>
            <w:tcW w:type="dxa" w:w="6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Gemini Bard Copilot chatbots comparison dental questions</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Consensus; Amass; Wiley</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Q11</w:t>
            </w:r>
          </w:p>
        </w:tc>
        <w:tc>
          <w:tcPr>
            <w:tcW w:type="dxa" w:w="6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readability and reliability of AI chatbot responses about oral health</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Consensus; Amass; Wiley</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Q12</w:t>
            </w:r>
          </w:p>
        </w:tc>
        <w:tc>
          <w:tcPr>
            <w:tcW w:type="dxa" w:w="6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chatbot misinformation hallucination errors dentistry</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Consensus; Amass; Wiley</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Q13</w:t>
            </w:r>
          </w:p>
        </w:tc>
        <w:tc>
          <w:tcPr>
            <w:tcW w:type="dxa" w:w="6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ChatGPT oral cancer oral medicine oral lesions patient information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Consensus; Amass; Wiley</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Q14</w:t>
            </w:r>
          </w:p>
        </w:tc>
        <w:tc>
          <w:tcPr>
            <w:tcW w:type="dxa" w:w="6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large language model temporomandibular disorders patient information</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Consensus; Amass; Wiley</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Q15</w:t>
            </w:r>
          </w:p>
        </w:tc>
        <w:tc>
          <w:tcPr>
            <w:tcW w:type="dxa" w:w="6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chatbot dental trauma avulsion emergency advice accuracy</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Consensus; Amass; Wiley</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Q16</w:t>
            </w:r>
          </w:p>
        </w:tc>
        <w:tc>
          <w:tcPr>
            <w:tcW w:type="dxa" w:w="6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AI chatbot dental caries prevention oral hygiene information quality</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Consensus</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Q17</w:t>
            </w:r>
          </w:p>
        </w:tc>
        <w:tc>
          <w:tcPr>
            <w:tcW w:type="dxa" w:w="6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DeepSeek ChatGPT Claude dental patient questions evaluation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Consensus</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Q18</w:t>
            </w:r>
          </w:p>
        </w:tc>
        <w:tc>
          <w:tcPr>
            <w:tcW w:type="dxa" w:w="6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generative AI chatbot dental anxiety patient communication</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Consensus</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Q19</w:t>
            </w:r>
          </w:p>
        </w:tc>
        <w:tc>
          <w:tcPr>
            <w:tcW w:type="dxa" w:w="6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ChatGPT restorative dentistry tooth whitening patient information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Consensus</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Q20</w:t>
            </w:r>
          </w:p>
        </w:tc>
        <w:tc>
          <w:tcPr>
            <w:tcW w:type="dxa" w:w="6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large language model cleft lip palate patient information</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Consensus</w:t>
            </w:r>
          </w:p>
        </w:tc>
      </w:tr>
    </w:tbl>
    <w:p>
      <w:pPr>
        <w:pStyle w:val="Heading1"/>
        <w:spacing w:after="160" w:before="300"/>
      </w:pPr>
      <w:r>
        <w:t xml:space="preserve">Table S2. Definitions, categories and examples for data extraction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00"/>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Characteristic</w:t>
            </w:r>
          </w:p>
        </w:tc>
        <w:tc>
          <w:tcPr>
            <w:tcW w:type="dxa" w:w="3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Categories / definition</w:t>
            </w:r>
          </w:p>
        </w:tc>
        <w:tc>
          <w:tcPr>
            <w:tcW w:type="dxa" w:w="3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Examples / explanation</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Dental specialty</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A-priori categories (OMFS; orthodontics; endodontics; periodontology; prosthodontics; implantology; paediatric dentistry; restorative/cariology; oral medicine/pathology/oral cancer; TMD/orofacial pain; dental trauma; preventive/community; oral radiology; cleft; dental sleep medicine; multi-specialty)</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Assign primary specialty by question content; multi-specialty if &gt;1 specialty with ≥20% of questions each</w:t>
            </w:r>
          </w:p>
        </w:tc>
      </w:tr>
      <w:tr>
        <w:trPr>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Task type</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T1 answering patient questions/FAQ; T2 generating patient education material/instructions; T3 lay scenario/symptom/emergency advice</w:t>
            </w:r>
          </w:p>
        </w:tc>
        <w:tc>
          <w:tcPr>
            <w:tcW w:type="dxa" w:w="3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T2: 'write post-operative instructions after third molar removal'</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Source of questions</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Websites/FAQ (Google 'People also ask', society FAQ pages, forums); clinician-written; real patient queries; LLM-generated; guideline/textbook-derived; mixed</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FAQ page of a national orthodontic society</w:t>
            </w:r>
          </w:p>
        </w:tc>
      </w:tr>
      <w:tr>
        <w:trPr>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Question collection date</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Date or period of question collection</w:t>
            </w:r>
          </w:p>
        </w:tc>
        <w:tc>
          <w:tcPr>
            <w:tcW w:type="dxa" w:w="3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Questions collected from Google Trends Jan–Mar 2024</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Query language</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Language(s) used to query the chatbot; translation procedures</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English; Turkish; Arabic; Chinese translated to English</w:t>
            </w:r>
          </w:p>
        </w:tc>
      </w:tr>
      <w:tr>
        <w:trPr>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Number / type of questions</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Total number; open-ended vs closed (true/false, MCQ); difficulty strata</w:t>
            </w:r>
          </w:p>
        </w:tc>
        <w:tc>
          <w:tcPr>
            <w:tcW w:type="dxa" w:w="3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60 open-ended questions in 3 difficulty levels</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Chatbot / version</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Product, developer, exact version or model ID; model family/generation; open vs closed weights</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ChatGPT-4o (OpenAI, May 2024 release); Gemini 1.5 Pro</w:t>
            </w:r>
          </w:p>
        </w:tc>
      </w:tr>
      <w:tr>
        <w:trPr>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Access</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Date(s) of inquiry; interface (web/app/API); subscription tier; settings (temperature); browsing/retrieval enabled</w:t>
            </w:r>
          </w:p>
        </w:tc>
        <w:tc>
          <w:tcPr>
            <w:tcW w:type="dxa" w:w="3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Web interface, 12–14 March 2025, free tier</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Prompt</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Verbatim prompt; none/role/structured; persona (patient vs professional)</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'Answer as if speaking to a patient'</w:t>
            </w:r>
          </w:p>
        </w:tc>
      </w:tr>
      <w:tr>
        <w:trPr>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Conversation</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New chat per question (yes/no); single vs multi-turn; repetitions (n)</w:t>
            </w:r>
          </w:p>
        </w:tc>
        <w:tc>
          <w:tcPr>
            <w:tcW w:type="dxa" w:w="3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Each question asked 3× in new sessions</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Evaluators</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Number, specialty, experience, calibration; blinding to model/source</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3 orthodontists &gt;10 years, blinded</w:t>
            </w:r>
          </w:p>
        </w:tc>
      </w:tr>
      <w:tr>
        <w:trPr>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Reference standard</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Guidelines, textbooks, systematic reviews, expert consensus, none stated</w:t>
            </w:r>
          </w:p>
        </w:tc>
        <w:tc>
          <w:tcPr>
            <w:tcW w:type="dxa" w:w="3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AAPD guidelines 2024</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Rating instrument</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Likert (points, anchors), GQS, DISCERN, EQIP, custom; dichotomisation threshold</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5-point accuracy Likert, ≥4 = accurate</w:t>
            </w:r>
          </w:p>
        </w:tc>
      </w:tr>
      <w:tr>
        <w:trPr>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Accuracy (primary)</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Categorical: n accurate/N responses; continuous: mean (SD) or median (IQR) and scale range</w:t>
            </w:r>
          </w:p>
        </w:tc>
        <w:tc>
          <w:tcPr>
            <w:tcW w:type="dxa" w:w="3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52/60 accurate; 4.2 (0.7) on 1–5</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Potentially harmful errors (primary)</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n responses judged potentially harmful/N; definition; severity</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4/60 potentially harmful (moderate)</w:t>
            </w:r>
          </w:p>
        </w:tc>
      </w:tr>
      <w:tr>
        <w:trPr>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Safety-relevant omissions (primary)</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n responses with omission/N; type (S5–S7)</w:t>
            </w:r>
          </w:p>
        </w:tc>
        <w:tc>
          <w:tcPr>
            <w:tcW w:type="dxa" w:w="3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No advice to seek immediate care after avulsion</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Safety taxonomy</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S1–S9 (Table 5) with verbatim example</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S4: ibuprofen dose exceeding maximum daily dose</w:t>
            </w:r>
          </w:p>
        </w:tc>
      </w:tr>
      <w:tr>
        <w:trPr>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Secondary outcomes</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Completeness, quality, readability (FRE, FKGL, SMOG), PEMAT-U/A, consistency, empathy, referral/disclaimer frequency</w:t>
            </w:r>
          </w:p>
        </w:tc>
        <w:tc>
          <w:tcPr>
            <w:tcW w:type="dxa" w:w="3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FKGL 11.2 (1.5)</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Inter-rater reliability</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Statistic (κ, ICC, Kendall's W) and value</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ICC 0.82</w:t>
            </w:r>
          </w:p>
        </w:tc>
      </w:tr>
      <w:tr>
        <w:trPr>
          <w:tblHeader w:val="false"/>
        </w:trPr>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Comparator results</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Human experts / other sources, same metrics</w:t>
            </w:r>
          </w:p>
        </w:tc>
        <w:tc>
          <w:tcPr>
            <w:tcW w:type="dxa" w:w="3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Specialist answers 4.6 (0.4)</w:t>
            </w:r>
          </w:p>
        </w:tc>
      </w:tr>
    </w:tbl>
    <w:p>
      <w:pPr>
        <w:pStyle w:val="Heading1"/>
        <w:spacing w:after="160" w:before="300"/>
      </w:pPr>
      <w:r>
        <w:t xml:space="preserve">Table S3. Characteristics of included studies (template)</w:t>
      </w:r>
    </w:p>
    <w:tbl>
      <w:tblPr>
        <w:tblW w:type="dxa" w:w="9295"/>
        <w:tblBorders>
          <w:top w:val="single" w:color="auto" w:sz="4"/>
          <w:left w:val="single" w:color="auto" w:sz="4"/>
          <w:bottom w:val="single" w:color="auto" w:sz="4"/>
          <w:right w:val="single" w:color="auto" w:sz="4"/>
          <w:insideH w:val="single" w:color="auto" w:sz="4"/>
          <w:insideV w:val="single" w:color="auto" w:sz="4"/>
        </w:tblBorders>
      </w:tblPr>
      <w:tblGrid>
        <w:gridCol w:w="845"/>
        <w:gridCol w:w="845"/>
        <w:gridCol w:w="845"/>
        <w:gridCol w:w="845"/>
        <w:gridCol w:w="845"/>
        <w:gridCol w:w="845"/>
        <w:gridCol w:w="845"/>
        <w:gridCol w:w="845"/>
        <w:gridCol w:w="845"/>
        <w:gridCol w:w="845"/>
        <w:gridCol w:w="845"/>
      </w:tblGrid>
      <w:tr>
        <w:trPr>
          <w:tblHeader/>
        </w:trPr>
        <w:tc>
          <w:tcPr>
            <w:tcW w:type="dxa" w:w="84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4"/>
                <w:szCs w:val="14"/>
              </w:rPr>
              <w:t xml:space="preserve">Study</w:t>
            </w:r>
          </w:p>
        </w:tc>
        <w:tc>
          <w:tcPr>
            <w:tcW w:type="dxa" w:w="84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4"/>
                <w:szCs w:val="14"/>
              </w:rPr>
              <w:t xml:space="preserve">Specialty</w:t>
            </w:r>
          </w:p>
        </w:tc>
        <w:tc>
          <w:tcPr>
            <w:tcW w:type="dxa" w:w="84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4"/>
                <w:szCs w:val="14"/>
              </w:rPr>
              <w:t xml:space="preserve">Task</w:t>
            </w:r>
          </w:p>
        </w:tc>
        <w:tc>
          <w:tcPr>
            <w:tcW w:type="dxa" w:w="84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4"/>
                <w:szCs w:val="14"/>
              </w:rPr>
              <w:t xml:space="preserve">Question source</w:t>
            </w:r>
          </w:p>
        </w:tc>
        <w:tc>
          <w:tcPr>
            <w:tcW w:type="dxa" w:w="84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4"/>
                <w:szCs w:val="14"/>
              </w:rPr>
              <w:t xml:space="preserve">Language</w:t>
            </w:r>
          </w:p>
        </w:tc>
        <w:tc>
          <w:tcPr>
            <w:tcW w:type="dxa" w:w="84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4"/>
                <w:szCs w:val="14"/>
              </w:rPr>
              <w:t xml:space="preserve">n questions</w:t>
            </w:r>
          </w:p>
        </w:tc>
        <w:tc>
          <w:tcPr>
            <w:tcW w:type="dxa" w:w="84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4"/>
                <w:szCs w:val="14"/>
              </w:rPr>
              <w:t xml:space="preserve">Type of questions</w:t>
            </w:r>
          </w:p>
        </w:tc>
        <w:tc>
          <w:tcPr>
            <w:tcW w:type="dxa" w:w="84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4"/>
                <w:szCs w:val="14"/>
              </w:rPr>
              <w:t xml:space="preserve">LLM / version</w:t>
            </w:r>
          </w:p>
        </w:tc>
        <w:tc>
          <w:tcPr>
            <w:tcW w:type="dxa" w:w="84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4"/>
                <w:szCs w:val="14"/>
              </w:rPr>
              <w:t xml:space="preserve">Evaluation type</w:t>
            </w:r>
          </w:p>
        </w:tc>
        <w:tc>
          <w:tcPr>
            <w:tcW w:type="dxa" w:w="84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4"/>
                <w:szCs w:val="14"/>
              </w:rPr>
              <w:t xml:space="preserve">Evaluator</w:t>
            </w:r>
          </w:p>
        </w:tc>
        <w:tc>
          <w:tcPr>
            <w:tcW w:type="dxa" w:w="84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4"/>
                <w:szCs w:val="14"/>
              </w:rPr>
              <w:t xml:space="preserve">Metrics</w:t>
            </w:r>
          </w:p>
        </w:tc>
      </w:tr>
      <w:tr>
        <w:trPr>
          <w:tblHeader w:val="false"/>
        </w:trPr>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r>
      <w:tr>
        <w:trPr>
          <w:tblHeader w:val="false"/>
        </w:trPr>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r>
      <w:tr>
        <w:trPr>
          <w:tblHeader w:val="false"/>
        </w:trPr>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c>
          <w:tcPr>
            <w:tcW w:type="dxa" w:w="8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4"/>
                <w:szCs w:val="14"/>
                <w:highlight w:val="yellow"/>
                <w:highlightCs w:val="yellow"/>
              </w:rPr>
              <w:t xml:space="preserve">[ ]</w:t>
            </w:r>
          </w:p>
        </w:tc>
      </w:tr>
    </w:tbl>
    <w:p>
      <w:pPr>
        <w:pStyle w:val="Heading1"/>
        <w:spacing w:after="160" w:before="300"/>
      </w:pPr>
      <w:r>
        <w:t xml:space="preserve">S4. Title/abstract screening guide (v1.1) and reviewer agent instructions</w:t>
      </w:r>
    </w:p>
    <w:p>
      <w:pPr>
        <w:pStyle w:val="Heading3"/>
        <w:spacing w:after="100" w:before="160"/>
      </w:pPr>
      <w:r>
        <w:t xml:space="preserve">Title/Abstract Screening Guide (v1.1 – after calibration round, κ = 1.00 on 60 records)</w:t>
      </w:r>
    </w:p>
    <w:p>
      <w:pPr>
        <w:spacing w:after="120" w:line="300"/>
        <w:jc w:val="both"/>
      </w:pPr>
      <w:r>
        <w:t xml:space="preserve">Review: </w:t>
      </w:r>
      <w:r>
        <w:rPr>
          <w:b/>
          <w:bCs/>
        </w:rPr>
        <w:t xml:space="preserve">Accuracy and Safety-Related Limitations of General-Purpose LLM Chatbots for Dental Patient Information: A Systematic Review Across Specialties</w:t>
      </w:r>
    </w:p>
    <w:p>
      <w:pPr>
        <w:spacing w:after="120" w:line="300"/>
        <w:jc w:val="both"/>
      </w:pPr>
      <w:r>
        <w:t xml:space="preserve">Primary question: How accurate is patient-facing dental health information generated by general-purpose large language model (LLM) chatbots, and what potentially harmful errors or safety-relevant omissions are reported across dental specialties?</w:t>
      </w:r>
    </w:p>
    <w:p>
      <w:pPr>
        <w:spacing w:after="120" w:line="300"/>
        <w:jc w:val="both"/>
      </w:pPr>
      <w:r>
        <w:t xml:space="preserve">Secondary question: To what extent do accuracy and safety outcomes differ across dental specialties, and how are these differences associated with model version, task characteristics and evaluation methods?</w:t>
      </w:r>
    </w:p>
    <w:p>
      <w:pPr>
        <w:pStyle w:val="Heading3"/>
        <w:spacing w:after="100" w:before="160"/>
      </w:pPr>
      <w:r>
        <w:t xml:space="preserve">PICOS eligibility (all must be plausibly met to INCLUDE)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Element</w:t>
            </w:r>
          </w:p>
        </w:tc>
        <w:tc>
          <w:tcPr>
            <w:tcW w:type="dxa" w:w="3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Include</w:t>
            </w:r>
          </w:p>
        </w:tc>
        <w:tc>
          <w:tcPr>
            <w:tcW w:type="dxa" w:w="3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Exclude</w:t>
            </w:r>
          </w:p>
        </w:tc>
      </w:tr>
      <w:tr>
        <w:trPr>
          <w:tblHeader w:val="false"/>
        </w:trPr>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b/>
                <w:bCs/>
                <w:sz w:val="16"/>
                <w:szCs w:val="16"/>
              </w:rPr>
              <w:t xml:space="preserve">P – Population / information need</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Dental, oral or maxillofacial health information needs of </w:t>
            </w:r>
            <w:r>
              <w:rPr>
                <w:b/>
                <w:bCs/>
                <w:sz w:val="16"/>
                <w:szCs w:val="16"/>
              </w:rPr>
              <w:t xml:space="preserve">patients, parents/caregivers or the lay public</w:t>
            </w:r>
            <w:r>
              <w:rPr>
                <w:sz w:val="16"/>
                <w:szCs w:val="16"/>
              </w:rPr>
              <w:t xml:space="preserve"> (any dental specialty: oral &amp; maxillofacial surgery, orthodontics, endodontics, periodontology, prosthodontics, implantology, paediatric dentistry, restorative/cariology, oral medicine/pathology, oral cancer, TMD/orofacial pain, dental trauma, preventive/community oral health, oral radiology, cleft lip/palate, dental anxiety, dental sleep medicine with oral appliances, etc.). Patient FAQs, patient-style questions, patient scenarios written in lay terms, patient education topics.</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Non-dental medical topics (e.g. general ENT, laryngeal cancer, dermatology) unless the oral cavity/dental care is a defined part. Information needs of dental </w:t>
            </w:r>
            <w:r>
              <w:rPr>
                <w:b/>
                <w:bCs/>
                <w:sz w:val="16"/>
                <w:szCs w:val="16"/>
              </w:rPr>
              <w:t xml:space="preserve">professionals or students</w:t>
            </w:r>
            <w:r>
              <w:rPr>
                <w:sz w:val="16"/>
                <w:szCs w:val="16"/>
              </w:rPr>
              <w:t xml:space="preserve"> only (exam/board questions, MCQs, clinical decision support, treatment planning for clinicians, guideline knowledge tests for dentists, research/academic writing).</w:t>
            </w:r>
          </w:p>
        </w:tc>
      </w:tr>
      <w:tr>
        <w:trPr>
          <w:tblHeader w:val="false"/>
        </w:trPr>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b/>
                <w:bCs/>
                <w:sz w:val="16"/>
                <w:szCs w:val="16"/>
              </w:rPr>
              <w:t xml:space="preserve">I – Index technology</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b/>
                <w:bCs/>
                <w:sz w:val="16"/>
                <w:szCs w:val="16"/>
              </w:rPr>
              <w:t xml:space="preserve">General-purpose LLM chatbots</w:t>
            </w:r>
            <w:r>
              <w:rPr>
                <w:sz w:val="16"/>
                <w:szCs w:val="16"/>
              </w:rPr>
              <w:t xml:space="preserve"> used as released to the public: ChatGPT/GPT-3.5/GPT-4/4o/o1/o3/GPT-5, Gemini/Bard, Microsoft Copilot/Bing Chat, Claude, Llama/Meta AI, Perplexity, DeepSeek, Mistral/Le Chat, Grok, ERNIE Bot, Qwen, Kimi, Doubao, etc., via web interface or API. Studies that ALSO test custom GPTs, RAG or fine-tuned models are eligible if at least one general-purpose chatbot is evaluated.</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Non-LLM AI (CNN image analysis, radiograph detection, ML prediction models, rule-based chatbots, VR/AR). Studies evaluating ONLY dental-specific fine-tuned / proprietary / RAG systems with no general-purpose LLM arm. LLMs used only as a research tool (screening literature, writing papers, coding).</w:t>
            </w:r>
          </w:p>
        </w:tc>
      </w:tr>
      <w:tr>
        <w:trPr>
          <w:tblHeader w:val="false"/>
        </w:trPr>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b/>
                <w:bCs/>
                <w:sz w:val="16"/>
                <w:szCs w:val="16"/>
              </w:rPr>
              <w:t xml:space="preserve">C – Comparator</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Not required. Any comparator acceptable (other LLMs/versions, dentists/specialists, websites, guidelines, search engines).</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w:t>
            </w:r>
          </w:p>
        </w:tc>
      </w:tr>
      <w:tr>
        <w:trPr>
          <w:tblHeader w:val="false"/>
        </w:trPr>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b/>
                <w:bCs/>
                <w:sz w:val="16"/>
                <w:szCs w:val="16"/>
              </w:rPr>
              <w:t xml:space="preserve">O – Outcomes</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Expert or structured evaluation of the </w:t>
            </w:r>
            <w:r>
              <w:rPr>
                <w:b/>
                <w:bCs/>
                <w:sz w:val="16"/>
                <w:szCs w:val="16"/>
              </w:rPr>
              <w:t xml:space="preserve">content</w:t>
            </w:r>
            <w:r>
              <w:rPr>
                <w:sz w:val="16"/>
                <w:szCs w:val="16"/>
              </w:rPr>
              <w:t xml:space="preserve"> of LLM output, with at least one of: accuracy/correctness/appropriateness, scientific/clinical quality (e.g. GQS, DISCERN, modified scales), completeness, guideline concordance, errors/hallucinations/misinformation, harm/safety/potentially dangerous advice, omissions. Readability, reliability/consistency, empathy, understandability (PEMAT) are secondary outcomes and acceptable only </w:t>
            </w:r>
            <w:r>
              <w:rPr>
                <w:b/>
                <w:bCs/>
                <w:sz w:val="16"/>
                <w:szCs w:val="16"/>
              </w:rPr>
              <w:t xml:space="preserve">in addition</w:t>
            </w:r>
            <w:r>
              <w:rPr>
                <w:sz w:val="16"/>
                <w:szCs w:val="16"/>
              </w:rPr>
              <w:t xml:space="preserve"> to a content evaluation. At title/abstract stage: if the abstract says responses were "evaluated/rated/assessed" by experts or for "quality/performance", treat O as plausibly met.</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Only readability metrics with no content evaluation; only usage statistics, user acceptance or attitudes; only text-similarity/NLP metrics without any correctness judgement.</w:t>
            </w:r>
          </w:p>
        </w:tc>
      </w:tr>
      <w:tr>
        <w:trPr>
          <w:tblHeader w:val="false"/>
        </w:trPr>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b/>
                <w:bCs/>
                <w:sz w:val="16"/>
                <w:szCs w:val="16"/>
              </w:rPr>
              <w:t xml:space="preserve">S – Study design / publication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Primary empirical studies (cross-sectional/in-silico evaluation studies, comparative evaluations, observational or experimental studies with original data), including short communications/research letters </w:t>
            </w:r>
            <w:r>
              <w:rPr>
                <w:b/>
                <w:bCs/>
                <w:sz w:val="16"/>
                <w:szCs w:val="16"/>
              </w:rPr>
              <w:t xml:space="preserve">with original data</w:t>
            </w:r>
            <w:r>
              <w:rPr>
                <w:sz w:val="16"/>
                <w:szCs w:val="16"/>
              </w:rPr>
              <w:t xml:space="preserve">, preprints (flag), and full articles without abstract where the title indicates an eligible evaluation.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Narrative/systematic/scoping reviews, meta-analyses, bibliometric analyses, editorials, commentaries, opinion pieces, letters/replies </w:t>
            </w:r>
            <w:r>
              <w:rPr>
                <w:b/>
                <w:bCs/>
                <w:sz w:val="16"/>
                <w:szCs w:val="16"/>
              </w:rPr>
              <w:t xml:space="preserve">without</w:t>
            </w:r>
            <w:r>
              <w:rPr>
                <w:sz w:val="16"/>
                <w:szCs w:val="16"/>
              </w:rPr>
              <w:t xml:space="preserve"> original evaluation data, study protocols, conference abstracts (flag as "conf. abstract"), book chapters, errata/corrections, retraction notices, peer-review reports. Questionnaire surveys of patients/dentists/students about their perceptions or use of ChatGPT.</w:t>
            </w:r>
          </w:p>
        </w:tc>
      </w:tr>
      <w:tr>
        <w:trPr>
          <w:tblHeader w:val="false"/>
        </w:trPr>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b/>
                <w:bCs/>
                <w:sz w:val="16"/>
                <w:szCs w:val="16"/>
              </w:rPr>
              <w:t xml:space="preserve">Time / language</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Published ≥ 2022 (de facto ≥ Nov 2022). Any language of the chatbot query. Records in any language are screened if title/abstract can be understood.</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w:t>
            </w:r>
          </w:p>
        </w:tc>
      </w:tr>
    </w:tbl>
    <w:p>
      <w:pPr>
        <w:pStyle w:val="Heading3"/>
        <w:spacing w:after="100" w:before="160"/>
      </w:pPr>
      <w:r>
        <w:t xml:space="preserve">Task types that ARE patient-facing (include if other criteria met)</w:t>
      </w:r>
    </w:p>
    <w:p>
      <w:pPr>
        <w:spacing w:after="120" w:line="300"/>
        <w:ind w:left="360" w:hanging="300"/>
        <w:jc w:val="both"/>
      </w:pPr>
      <w:r>
        <w:t xml:space="preserve">1. Answering patient/caregiver questions or FAQs (from websites, forums, clinics, Google "People also ask", professional society FAQ pages, LLM-generated patient questions, clinician-written patient questions).</w:t>
      </w:r>
    </w:p>
    <w:p>
      <w:pPr>
        <w:spacing w:after="120" w:line="300"/>
        <w:ind w:left="360" w:hanging="300"/>
        <w:jc w:val="both"/>
      </w:pPr>
      <w:r>
        <w:t xml:space="preserve">2. Generating patient education material, leaflets, post-operative / home-care instructions, consent information or explanations for patients.</w:t>
      </w:r>
    </w:p>
    <w:p>
      <w:pPr>
        <w:spacing w:after="120" w:line="300"/>
        <w:ind w:left="360" w:hanging="300"/>
        <w:jc w:val="both"/>
      </w:pPr>
      <w:r>
        <w:t xml:space="preserve">3. Lay-perspective symptom/scenario advice (e.g. "my tooth was knocked out, what do I do?", dental emergency/trauma first aid, self-triage) written as a patient would ask.</w:t>
      </w:r>
    </w:p>
    <w:p>
      <w:pPr>
        <w:pStyle w:val="Heading3"/>
        <w:spacing w:after="100" w:before="160"/>
      </w:pPr>
      <w:r>
        <w:t xml:space="preserve">Task types that are NOT patient-facing (exclude, code E3)</w:t>
      </w:r>
    </w:p>
    <w:p>
      <w:pPr>
        <w:spacing w:after="120" w:line="300"/>
        <w:jc w:val="both"/>
      </w:pPr>
      <w:r>
        <w:t xml:space="preserve">Dental exam/board/licensing questions, MCQs for students, clinical vignettes requiring a diagnosis or treatment plan for clinicians, guideline-knowledge tests aimed at dentists, prescribing/antibiotic decision support for dentists, radiograph/photo/image interpretation, clinical documentation, chart notes, referral letters, academic writing, education/curriculum use, dental-student tutoring.</w:t>
      </w:r>
    </w:p>
    <w:p>
      <w:pPr>
        <w:spacing w:after="120" w:line="300"/>
        <w:jc w:val="both"/>
      </w:pPr>
      <w:r>
        <w:rPr>
          <w:b/>
          <w:bCs/>
        </w:rPr>
        <w:t xml:space="preserve">Borderline rule:</w:t>
      </w:r>
      <w:r>
        <w:t xml:space="preserve"> if an abstract mixes patient FAQs AND professional questions, INCLUDE (patient subset can be extracted at full text). If it is unclear whether questions are patient-oriented (e.g. "frequently asked questions about dental implants" without saying by whom), INCLUDE (FAQ wording suggests patient-facing). If the evaluation is of "clinical questions" posed by/for dentists, EXCLUDE (E3). Multimodal studies where patients' photos are diagnosed → E3 (diagnostic task).</w:t>
      </w:r>
    </w:p>
    <w:p>
      <w:pPr>
        <w:pStyle w:val="Heading3"/>
        <w:spacing w:after="100" w:before="160"/>
      </w:pPr>
      <w:r>
        <w:t xml:space="preserve">Decision categories</w:t>
      </w:r>
    </w:p>
    <w:p>
      <w:pPr>
        <w:pStyle w:val="ListParagraph"/>
        <w:numPr>
          <w:ilvl w:val="0"/>
          <w:numId w:val="2"/>
        </w:numPr>
        <w:spacing w:after="60" w:line="280"/>
      </w:pPr>
      <w:r>
        <w:rPr>
          <w:b/>
          <w:bCs/>
        </w:rPr>
        <w:t xml:space="preserve">INCLUDE</w:t>
      </w:r>
      <w:r>
        <w:t xml:space="preserve"> – meets or plausibly meets all PICOS criteria → full-text assessment.</w:t>
      </w:r>
    </w:p>
    <w:p>
      <w:pPr>
        <w:pStyle w:val="ListParagraph"/>
        <w:numPr>
          <w:ilvl w:val="0"/>
          <w:numId w:val="2"/>
        </w:numPr>
        <w:spacing w:after="60" w:line="280"/>
      </w:pPr>
      <w:r>
        <w:rPr>
          <w:b/>
          <w:bCs/>
        </w:rPr>
        <w:t xml:space="preserve">EXCLUDE</w:t>
      </w:r>
      <w:r>
        <w:t xml:space="preserve"> – clearly fails ≥ 1 criterion. Give the FIRST applicable code in this hierarchy:</w:t>
      </w:r>
    </w:p>
    <w:p>
      <w:pPr>
        <w:pStyle w:val="ListParagraph"/>
        <w:numPr>
          <w:ilvl w:val="1"/>
          <w:numId w:val="2"/>
        </w:numPr>
        <w:spacing w:after="60" w:line="280"/>
      </w:pPr>
      <w:r>
        <w:rPr>
          <w:b/>
          <w:bCs/>
        </w:rPr>
        <w:t xml:space="preserve">E1</w:t>
      </w:r>
      <w:r>
        <w:t xml:space="preserve"> Not dental/oral/maxillofacial topic</w:t>
      </w:r>
    </w:p>
    <w:p>
      <w:pPr>
        <w:pStyle w:val="ListParagraph"/>
        <w:numPr>
          <w:ilvl w:val="1"/>
          <w:numId w:val="2"/>
        </w:numPr>
        <w:spacing w:after="60" w:line="280"/>
      </w:pPr>
      <w:r>
        <w:rPr>
          <w:b/>
          <w:bCs/>
        </w:rPr>
        <w:t xml:space="preserve">E2</w:t>
      </w:r>
      <w:r>
        <w:t xml:space="preserve"> Not a general-purpose LLM chatbot (other AI/technology or only domain-specific model)</w:t>
      </w:r>
    </w:p>
    <w:p>
      <w:pPr>
        <w:pStyle w:val="ListParagraph"/>
        <w:numPr>
          <w:ilvl w:val="1"/>
          <w:numId w:val="2"/>
        </w:numPr>
        <w:spacing w:after="60" w:line="280"/>
      </w:pPr>
      <w:r>
        <w:rPr>
          <w:b/>
          <w:bCs/>
        </w:rPr>
        <w:t xml:space="preserve">E3</w:t>
      </w:r>
      <w:r>
        <w:t xml:space="preserve"> Not patient-facing information (professional/exam/education/diagnostic/research use)</w:t>
      </w:r>
    </w:p>
    <w:p>
      <w:pPr>
        <w:pStyle w:val="ListParagraph"/>
        <w:numPr>
          <w:ilvl w:val="1"/>
          <w:numId w:val="2"/>
        </w:numPr>
        <w:spacing w:after="60" w:line="280"/>
      </w:pPr>
      <w:r>
        <w:rPr>
          <w:b/>
          <w:bCs/>
        </w:rPr>
        <w:t xml:space="preserve">E4</w:t>
      </w:r>
      <w:r>
        <w:t xml:space="preserve"> No content evaluation of LLM output (e.g. readability only, perceptions survey, no outcome)</w:t>
      </w:r>
    </w:p>
    <w:p>
      <w:pPr>
        <w:pStyle w:val="ListParagraph"/>
        <w:numPr>
          <w:ilvl w:val="1"/>
          <w:numId w:val="2"/>
        </w:numPr>
        <w:spacing w:after="60" w:line="280"/>
      </w:pPr>
      <w:r>
        <w:rPr>
          <w:b/>
          <w:bCs/>
        </w:rPr>
        <w:t xml:space="preserve">E5</w:t>
      </w:r>
      <w:r>
        <w:t xml:space="preserve"> Ineligible publication type (review, SR, editorial, letter/comment without data, protocol, conference abstract, chapter, erratum, bibliometric)</w:t>
      </w:r>
    </w:p>
    <w:p>
      <w:pPr>
        <w:pStyle w:val="ListParagraph"/>
        <w:numPr>
          <w:ilvl w:val="0"/>
          <w:numId w:val="2"/>
        </w:numPr>
        <w:spacing w:after="60" w:line="280"/>
      </w:pPr>
      <w:r>
        <w:rPr>
          <w:b/>
          <w:bCs/>
        </w:rPr>
        <w:t xml:space="preserve">UNSURE</w:t>
      </w:r>
      <w:r>
        <w:t xml:space="preserve"> – information insufficient to decide (e.g. no abstract and ambiguous title). UNSURE records go to the third reviewer.</w:t>
      </w:r>
    </w:p>
    <w:p>
      <w:pPr>
        <w:spacing w:after="120" w:line="300"/>
        <w:jc w:val="both"/>
      </w:pPr>
      <w:r>
        <w:t xml:space="preserve">When in doubt between INCLUDE and EXCLUDE at this stage, prefer INCLUDE (over-inclusive title/abstract screening, Cochrane Handbook ch. 4). Do NOT exclude for missing abstract alone; judge from title, journal and publication type.</w:t>
      </w:r>
    </w:p>
    <w:p>
      <w:pPr>
        <w:pStyle w:val="Heading3"/>
        <w:spacing w:after="100" w:before="160"/>
      </w:pPr>
      <w:r>
        <w:t xml:space="preserve">Output format (CSV, one line per record, no header repetition)</w:t>
      </w:r>
    </w:p>
    <w:p>
      <w:pPr>
        <w:spacing w:after="120" w:line="300"/>
        <w:jc w:val="both"/>
      </w:pPr>
      <w:r>
        <w:t xml:space="preserve">record_id,decision,reason_code,note</w:t>
      </w:r>
    </w:p>
    <w:p>
      <w:pPr>
        <w:pStyle w:val="ListParagraph"/>
        <w:numPr>
          <w:ilvl w:val="0"/>
          <w:numId w:val="2"/>
        </w:numPr>
        <w:spacing w:after="60" w:line="280"/>
      </w:pPr>
      <w:r>
        <w:t xml:space="preserve">decision ∈ {INCLUDE, EXCLUDE, UNSURE}</w:t>
      </w:r>
    </w:p>
    <w:p>
      <w:pPr>
        <w:pStyle w:val="ListParagraph"/>
        <w:numPr>
          <w:ilvl w:val="0"/>
          <w:numId w:val="2"/>
        </w:numPr>
        <w:spacing w:after="60" w:line="280"/>
      </w:pPr>
      <w:r>
        <w:t xml:space="preserve">reason_code ∈ {E1,E2,E3,E4,E5} for EXCLUDE; - otherwise</w:t>
      </w:r>
    </w:p>
    <w:p>
      <w:pPr>
        <w:pStyle w:val="ListParagraph"/>
        <w:numPr>
          <w:ilvl w:val="0"/>
          <w:numId w:val="2"/>
        </w:numPr>
        <w:spacing w:after="60" w:line="280"/>
      </w:pPr>
      <w:r>
        <w:t xml:space="preserve">note: ≤ 15 words, no commas (use semicolons), e.g. patient FAQs implants; GPT-4 vs Gemini; accuracy Likert</w:t>
      </w:r>
    </w:p>
    <w:p>
      <w:pPr>
        <w:pStyle w:val="Heading3"/>
        <w:spacing w:after="100" w:before="160"/>
      </w:pPr>
      <w:r>
        <w:t xml:space="preserve">Clarifications added after calibration (v1.1)</w:t>
      </w:r>
    </w:p>
    <w:p>
      <w:pPr>
        <w:spacing w:after="120" w:line="300"/>
        <w:ind w:left="360" w:hanging="300"/>
        <w:jc w:val="both"/>
      </w:pPr>
      <w:r>
        <w:t xml:space="preserve">1. </w:t>
      </w:r>
      <w:r>
        <w:rPr>
          <w:b/>
          <w:bCs/>
        </w:rPr>
        <w:t xml:space="preserve">Reason-code convention:</w:t>
      </w:r>
      <w:r>
        <w:t xml:space="preserve"> if the record is clearly a non-primary publication (review of any kind, editorial, commentary, letter/reply without own data, erratum, protocol, conference abstract, book chapter, bibliometric analysis), code </w:t>
      </w:r>
      <w:r>
        <w:rPr>
          <w:b/>
          <w:bCs/>
        </w:rPr>
        <w:t xml:space="preserve">E5 first</w:t>
      </w:r>
      <w:r>
        <w:t xml:space="preserve">, regardless of topic. For primary studies apply E1 → E4 in that order.</w:t>
      </w:r>
    </w:p>
    <w:p>
      <w:pPr>
        <w:spacing w:after="120" w:line="300"/>
        <w:ind w:left="360" w:hanging="300"/>
        <w:jc w:val="both"/>
      </w:pPr>
      <w:r>
        <w:t xml:space="preserve">2. </w:t>
      </w:r>
      <w:r>
        <w:rPr>
          <w:b/>
          <w:bCs/>
        </w:rPr>
        <w:t xml:space="preserve">Benchmarks / knowledge tests:</w:t>
      </w:r>
      <w:r>
        <w:t xml:space="preserve"> large dental Q&amp;A benchmarks, textbook- or guideline-derived question sets and MCQ tests → E3, UNLESS the abstract explicitly mentions patient consultation / patient questions as a subset (then INCLUDE).</w:t>
      </w:r>
    </w:p>
    <w:p>
      <w:pPr>
        <w:spacing w:after="120" w:line="300"/>
        <w:ind w:left="360" w:hanging="300"/>
        <w:jc w:val="both"/>
      </w:pPr>
      <w:r>
        <w:t xml:space="preserve">3. </w:t>
      </w:r>
      <w:r>
        <w:rPr>
          <w:b/>
          <w:bCs/>
        </w:rPr>
        <w:t xml:space="preserve">Expert-written questions on patient-relevant topics</w:t>
      </w:r>
      <w:r>
        <w:t xml:space="preserve"> (e.g. "questions prepared by orthodontists about procedure X", rated for accuracy/comprehensibility) with unclear audience → INCLUDE (audience verified at full text).</w:t>
      </w:r>
    </w:p>
    <w:p>
      <w:pPr>
        <w:spacing w:after="120" w:line="300"/>
        <w:ind w:left="360" w:hanging="300"/>
        <w:jc w:val="both"/>
      </w:pPr>
      <w:r>
        <w:t xml:space="preserve">4. </w:t>
      </w:r>
      <w:r>
        <w:rPr>
          <w:b/>
          <w:bCs/>
        </w:rPr>
        <w:t xml:space="preserve">Content-quality instruments</w:t>
      </w:r>
      <w:r>
        <w:t xml:space="preserve"> (GQS, DISCERN, EQIP, modified DISCERN, JAMA benchmark, Likert "quality") count as content evaluation at title/abstract stage (O plausibly met).</w:t>
      </w:r>
    </w:p>
    <w:p>
      <w:pPr>
        <w:spacing w:after="120" w:line="300"/>
        <w:ind w:left="360" w:hanging="300"/>
        <w:jc w:val="both"/>
      </w:pPr>
      <w:r>
        <w:t xml:space="preserve">5. </w:t>
      </w:r>
      <w:r>
        <w:rPr>
          <w:b/>
          <w:bCs/>
        </w:rPr>
        <w:t xml:space="preserve">LLM used only as a baseline</w:t>
      </w:r>
      <w:r>
        <w:t xml:space="preserve"> in a non-patient task (e.g. image diagnosis, segmentation, exam) → E3.</w:t>
      </w:r>
    </w:p>
    <w:p>
      <w:pPr>
        <w:spacing w:after="120" w:line="300"/>
        <w:ind w:left="360" w:hanging="300"/>
        <w:jc w:val="both"/>
      </w:pPr>
      <w:r>
        <w:t xml:space="preserve">6. </w:t>
      </w:r>
      <w:r>
        <w:rPr>
          <w:b/>
          <w:bCs/>
        </w:rPr>
        <w:t xml:space="preserve">Chatbots of unclear architecture</w:t>
      </w:r>
      <w:r>
        <w:t xml:space="preserve"> (named dental apps/triage bots without evidence of a general-purpose LLM) → E2, unless the abstract states it is built on / compared with ChatGPT etc. (then INCLUDE).</w:t>
      </w:r>
    </w:p>
    <w:p>
      <w:pPr>
        <w:pStyle w:val="Heading2"/>
        <w:spacing w:after="120" w:before="220"/>
      </w:pPr>
      <w:r>
        <w:t xml:space="preserve">Reviewer roles and agent set-up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200"/>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Role</w:t>
            </w:r>
          </w:p>
        </w:tc>
        <w:tc>
          <w:tcPr>
            <w:tcW w:type="dxa" w:w="4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Reviewer profile (dental background)</w:t>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Task</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Reviewer 1 (R1)</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Oral and maxillofacial surgeon (DMD, MD); dentoalveolar and implant surgery, oral oncology, TMJ; research on patient information and informed consent</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Independent title/abstract screening of all records (calibration + main round)</w:t>
            </w:r>
          </w:p>
        </w:tc>
      </w:tr>
      <w:tr>
        <w:trPr>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Reviewer 2 (R2)</w:t>
            </w:r>
          </w:p>
        </w:tc>
        <w:tc>
          <w:tcPr>
            <w:tcW w:type="dxa" w:w="4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Orthodontist and paediatric dentist (DDS, MSc) with postgraduate training in dental public health; research on oral-health literacy, readability and quality of online patient information (DISCERN, PEMAT)</w:t>
            </w:r>
          </w:p>
        </w:tc>
        <w:tc>
          <w:tcPr>
            <w:tcW w:type="dxa" w:w="3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Independent title/abstract screening of all records (calibration + main round)</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Reviewer 3 (R3)</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Periodontist and restorative dentist; senior evidence-based-dentistry methodologist (systematic review and GRADE experience)</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Arbitration of all conflicts and UNSURE records; safety re-check of records flagged by the ASReview quality control</w:t>
            </w:r>
          </w:p>
        </w:tc>
      </w:tr>
    </w:tbl>
    <w:p>
      <w:pPr>
        <w:spacing w:after="120" w:line="300"/>
        <w:jc w:val="both"/>
      </w:pPr>
      <w:r>
        <w:t xml:space="preserve">Each reviewer role was executed by one persistent LLM-based agent (Claude, Anthropic) initialised with (i) its professional profile, (ii) the screening guide and (iii) the instruction to screen independently without access to other reviewers' folders. Records were presented in random order (seed 20261008) in a calibration set of 60 records and 18 batches of 116–117 records, each with title, year, publication type, journal, language and abstract (truncated at 1,800 characters; truncation affected 952 records). Agents re-read the guide at the start of each batch. Decisions were written to CSV files (record_id, decision, reason code, note) after every reading chunk and validated for completeness (unique IDs, one decision per record). R3 received all discordant and UNSURE records with both decisions and notes.</w:t>
      </w:r>
    </w:p>
    <w:p>
      <w:pPr>
        <w:pStyle w:val="Heading1"/>
        <w:spacing w:after="160" w:before="300"/>
      </w:pPr>
      <w:r>
        <w:t xml:space="preserve">Table S5. Benchmark validation against the studies included by Zhang et al. (2025)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100"/>
        <w:gridCol w:w="900"/>
        <w:gridCol w:w="900"/>
        <w:gridCol w:w="1200"/>
        <w:gridCol w:w="2300"/>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5"/>
                <w:szCs w:val="15"/>
              </w:rPr>
              <w:t xml:space="preserve">Benchmark study</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5"/>
                <w:szCs w:val="15"/>
              </w:rPr>
              <w:t xml:space="preserve">Record ID(s) in our dataset</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5"/>
                <w:szCs w:val="15"/>
              </w:rPr>
              <w:t xml:space="preserve">Retrieved / screened</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5"/>
                <w:szCs w:val="15"/>
              </w:rPr>
              <w:t xml:space="preserve">R1</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5"/>
                <w:szCs w:val="15"/>
              </w:rPr>
              <w:t xml:space="preserve">R2</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5"/>
                <w:szCs w:val="15"/>
              </w:rPr>
              <w:t xml:space="preserve">Final TA decision</w:t>
            </w:r>
          </w:p>
        </w:tc>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5"/>
                <w:szCs w:val="15"/>
              </w:rPr>
              <w:t xml:space="preserve">Comment</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Brozovic 2024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LLMDENT-1705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Assessing the performance of Bing Chat artificial intelligence: Dental exams, clinical gui – Bing Chat exams guidelines and patient FAQs subset; accuracy VAS</w:t>
            </w:r>
          </w:p>
        </w:tc>
      </w:tr>
      <w:tr>
        <w:trPr>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Hatia 2024</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LLMDENT-1775</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EXCLUDE E3</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EXCLUDE E3</w:t>
            </w:r>
          </w:p>
        </w:tc>
        <w:tc>
          <w:tcPr>
            <w:tcW w:type="dxa" w:w="1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EXCLUDE E3</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Accuracy and Completeness of ChatGPT-Generated Information on Interceptive Orthodontics: A – clinical questions and cases interceptive orthodontics for clinicians</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Abu Arqub 2024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LLMDENT-1666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Content analysis of AI-generated (ChatGPT) responses concerning orthodontic clear aligners – clear aligner questions by orthodontists; ChatGPT accuracy; false claims</w:t>
            </w:r>
          </w:p>
        </w:tc>
      </w:tr>
      <w:tr>
        <w:trPr>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Acar 2023</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LLMDENT-1667</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Can natural language processing serve as a consultant in oral surgery? – oral surgeon-posed implant extraction questions; 3 chatbots; Likert GQS; audience unclear</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Alan 2023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LLMDENT-1975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Utilizing ChatGPT-4 for Providing Information on Periodontal Disease to Patients: A DISCER – periodontal disease patient-style questions from Google Trends; ChatGPT-4; DISCERN</w:t>
            </w:r>
          </w:p>
        </w:tc>
      </w:tr>
      <w:tr>
        <w:trPr>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Alkhamees 2024</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LLMDENT-1678</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Evaluation of Artificial Intelligence as a Search Tool for Patients: Can ChatGPT-4 Provide – common orthodontic questions for patients; ChatGPT-4; Likert quality</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Babayigit 2023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LLMDENT-1985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Potential Use of ChatGPT for Patient Information in Periodontology: A Descriptive Pilot St – periodontal patient FAQs; ChatGPT; accuracy completeness Likert</w:t>
            </w:r>
          </w:p>
        </w:tc>
      </w:tr>
      <w:tr>
        <w:trPr>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Balel 2023</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LLMDENT-1989</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Can ChatGPT be used in oral and maxillofacial surgery? – OMFS patient questions plus technical; ChatGPT; modified GQS by surgeons</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Batool 2024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LLMDENT-1693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Leveraging Large Language Models in the delivery of post-operative dental care: a comparis – post-operative patient questions; embedded GPT vs ChatGPT-3.5; accuracy by experts</w:t>
            </w:r>
          </w:p>
        </w:tc>
      </w:tr>
      <w:tr>
        <w:trPr>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Buldur 2024</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LLMDENT-1706</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Evaluating the accuracy of Chat Generative Pre-trained Transformer version 4 (ChatGPT-4) r – FDA amalgam FAQs; GPT-4 vs FDA content comparison</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Cai 2024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LLMDENT-1708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Exploring the use of ChatGPT/GPT-4 for patient follow-up after oral surgeries. – post-oral surgery follow-up patient questions; ChatGPT-4; accuracy</w:t>
            </w:r>
          </w:p>
        </w:tc>
      </w:tr>
      <w:tr>
        <w:trPr>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Cheong 2024</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No</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w:t>
            </w:r>
          </w:p>
        </w:tc>
        <w:tc>
          <w:tcPr>
            <w:tcW w:type="dxa" w:w="1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Not retrieved: ENT topic (obstructive sleep apnoea, Eur Arch Otorhinolaryngol) – outside C2 dental terms; also outside our dental scope (E1)</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Daraqel 2024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LLMDENT-1727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The performance of artificial intelligence models in generating responses to general ortho – specialist-written general orthodontic questions; ChatGPT vs Bard; accuracy completeness</w:t>
            </w:r>
          </w:p>
        </w:tc>
      </w:tr>
      <w:tr>
        <w:trPr>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Hassona 2024</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LLMDENT-1774</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How good is ChatGPT at answering patients' questions related to early detection of oral (m – patient-oriented oral cancer early detection questions; ChatGPT; GQS misinformation</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Jacobs 2024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LLMDENT-1784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Is ChatGPT an Accurate and Readable Patient Aid for Third Molar Extractions? – patient third molar questions; ChatGPT; accuracy vs AAOMS</w:t>
            </w:r>
          </w:p>
        </w:tc>
      </w:tr>
      <w:tr>
        <w:trPr>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Kilinc 2024</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LLMDENT-1812</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Examination of the reliability and readability of Chatbot Generative Pretrained Transforme – lay orthodontic FAQs; ChatGPT versions; DISCERN reliability</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Kuscu 2023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No</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Retrieved by a connector but removed by automated C1∧C2 filter (head and neck cancer, no dental term) – outside our dental scope (E1)</w:t>
            </w:r>
          </w:p>
        </w:tc>
      </w:tr>
      <w:tr>
        <w:trPr>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Lv 2024</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LLMDENT-1817</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Leveraging Large Language Models for Improved Patient Access and Self-Management: Assessor – patient survey-derived oral health questions; Bard ChatGPT vs experts; appropriateness harmlessness</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Maniyar 2024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LLMDENT-1821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ChatGPT Conversations on Oral Cancer: Unveiling ChatGPT's Potential and Pitfalls – oral cancer questions from diverse sources; ChatGPT; accuracy; audience unclear</w:t>
            </w:r>
          </w:p>
        </w:tc>
      </w:tr>
      <w:tr>
        <w:trPr>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Mohammad-Rahimi 2024</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LLMDENT-1831</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Validity and reliability of artificial intelligence chatbots as public sources of informat – endodontic FAQs public sources; 3 chatbots; mGQS validity</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Praveen 2024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LLMDENT-1864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ChatGPT as a Tool for Oral Health Education: A Systematic Evaluation of ChatGPT Responses  – real patient oral health queries; ChatGPT; accuracy by public health experts</w:t>
            </w:r>
          </w:p>
        </w:tc>
      </w:tr>
      <w:tr>
        <w:trPr>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Rokhshad 2024</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LLMDENT-1879</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EXCLUDE E3</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EXCLUDE E3</w:t>
            </w:r>
          </w:p>
        </w:tc>
        <w:tc>
          <w:tcPr>
            <w:tcW w:type="dxa" w:w="1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EXCLUDE E3</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Accuracy and consistency of chatbots versus clinicians for answering pediatric dentistry q – expert true/false pediatric knowledge test; chatbots vs clinicians</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Sybil 2023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LLMDENT-2091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Performance of ChatGPT in Dentistry: Multi-specialty and multi-centric study – expert questions 9 specialties; ChatGPT accuracy completeness; audience unclear; preprint</w:t>
            </w:r>
          </w:p>
        </w:tc>
      </w:tr>
      <w:tr>
        <w:trPr>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Tanaka 2023</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LLMDENT-2094</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Assessing the reliability of ChatGPT: a content analysis of self-generated and self-answer – ChatGPT self-generated orthodontic Q&amp;A; orthodontist quality rating; patient interaction framing</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Yurdakurban 2023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LLMDENT-1980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Yes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Integrating artificial intelligence in orthognathic surgery: A case study of ChatGPT's rol – orthognathic patient consultation questions; GPT-4; accuracy clarity</w:t>
            </w:r>
          </w:p>
        </w:tc>
      </w:tr>
    </w:tbl>
    <w:p>
      <w:pPr>
        <w:pStyle w:val="Heading1"/>
        <w:spacing w:after="160" w:before="300"/>
      </w:pPr>
      <w:r>
        <w:t xml:space="preserve">Table S6. Studies excluded at full-text stage with reasons (template)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500"/>
        <w:gridCol w:w="2300"/>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Record ID</w:t>
            </w:r>
          </w:p>
        </w:tc>
        <w:tc>
          <w:tcPr>
            <w:tcW w:type="dxa" w:w="4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Reference</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Reason (FT1–FT8)</w:t>
            </w:r>
          </w:p>
        </w:tc>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Explanation</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r>
    </w:tbl>
    <w:p>
      <w:pPr>
        <w:pStyle w:val="Heading1"/>
        <w:spacing w:after="160" w:before="300"/>
      </w:pPr>
      <w:r>
        <w:t xml:space="preserve">Table S7. PRISMA 2020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4300"/>
        <w:gridCol w:w="2800"/>
      </w:tblGrid>
      <w:tr>
        <w:trPr>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5"/>
                <w:szCs w:val="15"/>
              </w:rPr>
              <w:t xml:space="preserve">Section / item</w:t>
            </w:r>
          </w:p>
        </w:tc>
        <w:tc>
          <w:tcPr>
            <w:tcW w:type="dxa" w:w="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5"/>
                <w:szCs w:val="15"/>
              </w:rPr>
              <w:t xml:space="preserve">#</w:t>
            </w:r>
          </w:p>
        </w:tc>
        <w:tc>
          <w:tcPr>
            <w:tcW w:type="dxa" w:w="4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5"/>
                <w:szCs w:val="15"/>
              </w:rPr>
              <w:t xml:space="preserve">Checklist item (abridged)</w:t>
            </w:r>
          </w:p>
        </w:tc>
        <w:tc>
          <w:tcPr>
            <w:tcW w:type="dxa" w:w="2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5"/>
                <w:szCs w:val="15"/>
              </w:rPr>
              <w:t xml:space="preserve">Location in manuscript / supplement</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Title</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1</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Identify the report as a systematic review</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Title page</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Abstract</w:t>
            </w: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2</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PRISMA 2020 for Abstracts checklist</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Abstract</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Rationale</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3</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Rationale in context of existing knowledge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Introduction, paragraphs 1–3</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Objectives</w:t>
            </w: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4</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Explicit statement of objectives/questions</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Introduction, last paragraph</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Eligibility criteria</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5</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Inclusion/exclusion criteria and grouping for syntheses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Methods 2.2; Table 1; 2.8</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Information sources</w:t>
            </w: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6</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All sources and date last searched</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Methods 2.3; Table 2; Table S1</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Search strategy</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7</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Full search strategies incl. filters and limits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Table S1 (+ search workbook)</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Selection process</w:t>
            </w: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8</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Reviewers, independence, automation tools</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Methods 2.5; Table 3; S4; S8</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Data collection process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9</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Methods of data collection, reviewers, automation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Methods 2.6</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Data items</w:t>
            </w: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10a</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Outcomes and definitions</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Methods 2.6 (outcome definitions); Table 4</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10b</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Other variables; assumptions for missing data</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Methods 2.6; Table S2</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Study risk of bias</w:t>
            </w: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11</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Tool, reviewers, independence</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Methods 2.7; Table 6</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Effect measures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12</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Effect measures per outcome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Methods 2.8</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Synthesis methods</w:t>
            </w: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13a</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Eligibility for each synthesis</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Methods 2.8</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13b</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Data preparation / conversions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Methods 2.8 (POMP, dichotomisation)</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13c</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Tabulation / visual display</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Methods 2.8; Tables 7–10; Figures 3–5</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13d</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Synthesis methods, models, heterogeneity, software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Methods 2.8</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13e</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Exploring heterogeneity</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Methods 2.8 (subgroups, meta-regression)</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13f</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Sensitivity analyses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Methods 2.8</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Reporting bias assessment</w:t>
            </w: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14</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Risk of bias due to missing results</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Methods 2.8</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Certainty assessment</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15</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Certainty of evidence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Methods 2.8 (GRADE)</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Study selection</w:t>
            </w: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16a</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Search and selection results, flow diagram</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Results 3.1; Figure 1</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16b</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Excluded studies that appear eligible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Table S6 [pending]</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Study characteristics</w:t>
            </w: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17</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Characteristics of each study</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Results 3.2; Table 7; Table S3 [pending]</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Risk of bias in studies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18</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RoB per study</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Results 3.3; Figure 2 [pending]</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Results of individual studies</w:t>
            </w: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19</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Summary statistics and estimates per study</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Forest plots Figures 3–4 [pending]</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Results of syntheses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20a</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Characteristics and RoB of contributing studies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Results 3.4–3.7 [pending]</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20b</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Pooled estimates, precision, heterogeneity</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Results 3.4–3.5 [pending]</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20c</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Investigations of heterogeneity</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Results 3.6–3.7; Table 9 [pending]</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20d</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Sensitivity analyses</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Results 3.9 [pending]</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Reporting biases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21</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Risk of bias due to missing results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Results 3.9 [pending]</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Certainty of evidence</w:t>
            </w: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22</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Certainty per outcome</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Results 3.9; Table 10 [pending]</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Discussion</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23a</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Interpretation in context of other evidence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Discussion 4.1–4.5</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23b</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Limitations of evidence</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Discussion 4.6, 4.8</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23c</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Limitations of review processes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Discussion 4.8</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23d</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Implications for practice, policy, research</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Discussion 4.7</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Registration and protocol</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24a</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Registration information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Methods 2.1; title page</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24b</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Protocol access</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Methods 2.1; Supplementary File 1 (protocol)</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24c</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Amendments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Protocol – amendment log</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Support</w:t>
            </w: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25</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Funding sources and role of funders</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Declarations</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Competing interests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26</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Competing interests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5"/>
                <w:szCs w:val="15"/>
              </w:rPr>
              <w:t xml:space="preserve">Declarations</w:t>
            </w:r>
          </w:p>
        </w:tc>
      </w:tr>
      <w:tr>
        <w:trPr>
          <w:tblHeader w:val="false"/>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Availability of data, code, materials</w:t>
            </w:r>
          </w:p>
        </w:tc>
        <w:tc>
          <w:tcPr>
            <w:tcW w:type="dxa" w:w="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27</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Public availability of forms, data, code</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5"/>
                <w:szCs w:val="15"/>
              </w:rPr>
              <w:t xml:space="preserve">Declarations – data availability; workbook</w:t>
            </w:r>
          </w:p>
        </w:tc>
      </w:tr>
    </w:tbl>
    <w:p>
      <w:pPr>
        <w:pStyle w:val="Heading1"/>
        <w:spacing w:after="160" w:before="300"/>
      </w:pPr>
      <w:r>
        <w:t xml:space="preserve">S8. ASReview quality control of title/abstract screening</w:t>
      </w:r>
    </w:p>
    <w:p>
      <w:pPr>
        <w:spacing w:after="120" w:line="300"/>
        <w:jc w:val="both"/>
      </w:pPr>
      <w:r>
        <w:t xml:space="preserve">An ELAS u4 model (TF-IDF uni/bigrams, sublinear tf, max_df 0.95; linear SVM C = 0.11; balanced sampling ratio 9.8) from the ASReview repository was trained on the final title/abstract labels (349 relevant, 1815 irrelevant before QC rescue) in stratified 10-fold cross-validation. The out-of-fold ROC AUC was 0.96. Excluded records were ranked by their out-of-fold score; 100 records (scores ≥ 10th percentile of included records, bounded 50–100) were re-screened by Reviewer 3, of which 0 were reclassified as potentially eligible. A simulation with ASReview (TopDown prior of 1 relevant + 1 irrelevant random record, then Max querier, batch size 5; 3 seeds) found 95% of relevant records after 726 records on average (WSS@95 = 61.5%).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0"/>
        <w:gridCol w:w="4300"/>
      </w:tblGrid>
      <w:tr>
        <w:trPr>
          <w:tblHeader/>
        </w:trPr>
        <w:tc>
          <w:tcPr>
            <w:tcW w:type="dxa" w:w="5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Metric</w:t>
            </w:r>
          </w:p>
        </w:tc>
        <w:tc>
          <w:tcPr>
            <w:tcW w:type="dxa" w:w="4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Value</w:t>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Out-of-fold ROC AUC (ELAS u4)</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0.96</w:t>
            </w:r>
          </w:p>
        </w:tc>
      </w:tr>
      <w:tr>
        <w:trPr>
          <w:tblHeader w:val="false"/>
        </w:trPr>
        <w:tc>
          <w:tcPr>
            <w:tcW w:type="dxa" w:w="5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Score threshold (10th percentile of included)</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0.486</w:t>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Records flagged and re-screened by R3</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100</w:t>
            </w:r>
          </w:p>
        </w:tc>
      </w:tr>
      <w:tr>
        <w:trPr>
          <w:tblHeader w:val="false"/>
        </w:trPr>
        <w:tc>
          <w:tcPr>
            <w:tcW w:type="dxa" w:w="5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Reclassified to INCLUDE</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0</w:t>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Simulation seed 0: records to 95% / 100% recall</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727 / 1475 (WSS@95 61.4%, WSS@100 31.8%)</w:t>
            </w:r>
          </w:p>
        </w:tc>
      </w:tr>
      <w:tr>
        <w:trPr>
          <w:tblHeader w:val="false"/>
        </w:trPr>
        <w:tc>
          <w:tcPr>
            <w:tcW w:type="dxa" w:w="5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Simulation seed 1: records to 95% / 100% recall</w:t>
            </w:r>
          </w:p>
        </w:tc>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728 / 1481 (WSS@95 61.4%, WSS@100 31.6%)</w:t>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Simulation seed 2: records to 95% / 100% recall</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722 / 1480 (WSS@95 61.6%, WSS@100 31.6%)</w:t>
            </w:r>
          </w:p>
        </w:tc>
      </w:tr>
    </w:tbl>
    <w:p>
      <w:pPr>
        <w:pStyle w:val="Heading1"/>
        <w:spacing w:after="160" w:before="300"/>
      </w:pPr>
      <w:r>
        <w:t xml:space="preserve">Table S9. Inter-reviewer agreement by screening batch</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160"/>
        <w:gridCol w:w="1160"/>
        <w:gridCol w:w="1160"/>
        <w:gridCol w:w="1160"/>
        <w:gridCol w:w="1160"/>
        <w:gridCol w:w="1160"/>
        <w:gridCol w:w="1160"/>
        <w:gridCol w:w="1160"/>
      </w:tblGrid>
      <w:tr>
        <w:trPr>
          <w:tblHeader/>
        </w:trPr>
        <w:tc>
          <w:tcPr>
            <w:tcW w:type="dxa" w:w="116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Batch</w:t>
            </w:r>
          </w:p>
        </w:tc>
        <w:tc>
          <w:tcPr>
            <w:tcW w:type="dxa" w:w="116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Records</w:t>
            </w:r>
          </w:p>
        </w:tc>
        <w:tc>
          <w:tcPr>
            <w:tcW w:type="dxa" w:w="116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Both include</w:t>
            </w:r>
          </w:p>
        </w:tc>
        <w:tc>
          <w:tcPr>
            <w:tcW w:type="dxa" w:w="116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Both exclude</w:t>
            </w:r>
          </w:p>
        </w:tc>
        <w:tc>
          <w:tcPr>
            <w:tcW w:type="dxa" w:w="116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Discordant</w:t>
            </w:r>
          </w:p>
        </w:tc>
        <w:tc>
          <w:tcPr>
            <w:tcW w:type="dxa" w:w="116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UNSURE (any)</w:t>
            </w:r>
          </w:p>
        </w:tc>
        <w:tc>
          <w:tcPr>
            <w:tcW w:type="dxa" w:w="116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Agreement %</w:t>
            </w:r>
          </w:p>
        </w:tc>
        <w:tc>
          <w:tcPr>
            <w:tcW w:type="dxa" w:w="116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Cohen's κ</w:t>
            </w:r>
          </w:p>
        </w:tc>
      </w:tr>
      <w:tr>
        <w:trPr>
          <w:tblHeader w:val="false"/>
        </w:trPr>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batch_01</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22</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93</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2</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98.3</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0.946</w:t>
            </w:r>
          </w:p>
        </w:tc>
      </w:tr>
      <w:tr>
        <w:trPr>
          <w:tblHeader w:val="false"/>
        </w:trPr>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batch_02</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25</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90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2</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100.0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1.000</w:t>
            </w:r>
          </w:p>
        </w:tc>
      </w:tr>
      <w:tr>
        <w:trPr>
          <w:tblHeader w:val="false"/>
        </w:trPr>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batch_03</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20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97</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100.0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1.000</w:t>
            </w:r>
          </w:p>
        </w:tc>
      </w:tr>
      <w:tr>
        <w:trPr>
          <w:tblHeader w:val="false"/>
        </w:trPr>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batch_04</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15</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101</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100.0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1.000</w:t>
            </w:r>
          </w:p>
        </w:tc>
      </w:tr>
      <w:tr>
        <w:trPr>
          <w:tblHeader w:val="false"/>
        </w:trPr>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batch_05</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21</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95</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99.1</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0.972</w:t>
            </w:r>
          </w:p>
        </w:tc>
      </w:tr>
      <w:tr>
        <w:trPr>
          <w:tblHeader w:val="false"/>
        </w:trPr>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batch_06</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16</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99.1</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0.965</w:t>
            </w:r>
          </w:p>
        </w:tc>
      </w:tr>
      <w:tr>
        <w:trPr>
          <w:tblHeader w:val="false"/>
        </w:trPr>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batch_07</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18</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97</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2</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2</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99.1</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0.969</w:t>
            </w:r>
          </w:p>
        </w:tc>
      </w:tr>
      <w:tr>
        <w:trPr>
          <w:tblHeader w:val="false"/>
        </w:trPr>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batch_08</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14</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101</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2</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98.3</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0.924</w:t>
            </w:r>
          </w:p>
        </w:tc>
      </w:tr>
      <w:tr>
        <w:trPr>
          <w:tblHeader w:val="false"/>
        </w:trPr>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batch_09</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24</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92</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99.1</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0.974</w:t>
            </w:r>
          </w:p>
        </w:tc>
      </w:tr>
      <w:tr>
        <w:trPr>
          <w:tblHeader w:val="false"/>
        </w:trPr>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batch_10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16</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100.0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1.000</w:t>
            </w:r>
          </w:p>
        </w:tc>
      </w:tr>
      <w:tr>
        <w:trPr>
          <w:tblHeader w:val="false"/>
        </w:trPr>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batch_11</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20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96</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99.1</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0.970</w:t>
            </w:r>
          </w:p>
        </w:tc>
      </w:tr>
      <w:tr>
        <w:trPr>
          <w:tblHeader w:val="false"/>
        </w:trPr>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batch_12</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14</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103</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100.0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1.000</w:t>
            </w:r>
          </w:p>
        </w:tc>
      </w:tr>
      <w:tr>
        <w:trPr>
          <w:tblHeader w:val="false"/>
        </w:trPr>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batch_13</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14</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102</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100.0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1.000</w:t>
            </w:r>
          </w:p>
        </w:tc>
      </w:tr>
      <w:tr>
        <w:trPr>
          <w:tblHeader w:val="false"/>
        </w:trPr>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batch_14</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17</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100.0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1.000</w:t>
            </w:r>
          </w:p>
        </w:tc>
      </w:tr>
      <w:tr>
        <w:trPr>
          <w:tblHeader w:val="false"/>
        </w:trPr>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batch_15</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18</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96</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3</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97.4</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0.908</w:t>
            </w:r>
          </w:p>
        </w:tc>
      </w:tr>
      <w:tr>
        <w:trPr>
          <w:tblHeader w:val="false"/>
        </w:trPr>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batch_16</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117</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14</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103</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100.0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1.000</w:t>
            </w:r>
          </w:p>
        </w:tc>
      </w:tr>
      <w:tr>
        <w:trPr>
          <w:tblHeader w:val="false"/>
        </w:trPr>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batch_17</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116</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19</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93</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4</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2</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96.6</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0.884</w:t>
            </w:r>
          </w:p>
        </w:tc>
      </w:tr>
      <w:tr>
        <w:trPr>
          <w:tblHeader w:val="false"/>
        </w:trPr>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batch_18</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116</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17</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98</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1</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99.1</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0.966</w:t>
            </w:r>
          </w:p>
        </w:tc>
      </w:tr>
      <w:tr>
        <w:trPr>
          <w:tblHeader w:val="false"/>
        </w:trPr>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calibration</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60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13</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47</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100.0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rPr>
              <w:t xml:space="preserve">1.000</w:t>
            </w:r>
          </w:p>
        </w:tc>
      </w:tr>
      <w:tr>
        <w:trPr>
          <w:tblHeader w:val="false"/>
        </w:trPr>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All (main round)</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2104</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99.2</w:t>
            </w:r>
          </w:p>
        </w:tc>
        <w:tc>
          <w:tcPr>
            <w:tcW w:type="dxa" w:w="11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6"/>
                <w:szCs w:val="16"/>
              </w:rPr>
              <w:t xml:space="preserve">0.97</w:t>
            </w:r>
          </w:p>
        </w:tc>
      </w:tr>
    </w:tbl>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Supplementary material – LLM chatbots for dental patient information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460" w:hanging="4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100" w:before="160"/>
      <w:outlineLvl w:val="2"/>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 LLM chatbots for dental patient information</dc:title>
  <dc:creator>LLM-Dental SR team</dc:creator>
  <cp:lastModifiedBy>Un-named</cp:lastModifiedBy>
  <cp:revision>1</cp:revision>
  <dcterms:created xsi:type="dcterms:W3CDTF">2026-10-08T21:06:12.042Z</dcterms:created>
  <dcterms:modified xsi:type="dcterms:W3CDTF">2026-10-08T21:06:12.042Z</dcterms:modified>
</cp:coreProperties>
</file>

<file path=docProps/custom.xml><?xml version="1.0" encoding="utf-8"?>
<Properties xmlns="http://schemas.openxmlformats.org/officeDocument/2006/custom-properties" xmlns:vt="http://schemas.openxmlformats.org/officeDocument/2006/docPropsVTypes"/>
</file>