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pPr>
      <w:r>
        <w:rPr>
          <w:rFonts w:ascii="Arial" w:hAnsi="Arial" w:eastAsia="Arial"/>
          <w:b/>
          <w:i w:val="0"/>
          <w:sz w:val="26"/>
        </w:rPr>
        <w:t>COS30018 Intelligent Systems – Lab 8: RNN, LSTM and Attention</w:t>
      </w:r>
    </w:p>
    <w:p>
      <w:pPr>
        <w:spacing w:before="0" w:after="120" w:line="240" w:lineRule="auto"/>
      </w:pPr>
      <w:r>
        <w:rPr>
          <w:rFonts w:ascii="Arial" w:hAnsi="Arial" w:eastAsia="Arial"/>
          <w:b w:val="0"/>
          <w:i w:val="0"/>
          <w:color w:val="404040"/>
          <w:sz w:val="18"/>
        </w:rPr>
        <w:t xml:space="preserve">One-page summary · Anas Al Azad · Student ID: </w:t>
      </w:r>
      <w:r>
        <w:rPr>
          <w:rFonts w:ascii="Arial" w:hAnsi="Arial" w:eastAsia="Arial"/>
          <w:b w:val="0"/>
          <w:i w:val="0"/>
          <w:sz w:val="18"/>
        </w:rPr>
        <w:t>________</w:t>
      </w:r>
      <w:r>
        <w:rPr>
          <w:rFonts w:ascii="Arial" w:hAnsi="Arial" w:eastAsia="Arial"/>
          <w:b w:val="0"/>
          <w:i w:val="0"/>
          <w:color w:val="404040"/>
          <w:sz w:val="18"/>
        </w:rPr>
        <w:t xml:space="preserve"> · Notebook: Lab8_RNN_LSTM_Attention.ipynb</w:t>
      </w:r>
    </w:p>
    <w:p>
      <w:pPr>
        <w:spacing w:before="40" w:after="40" w:line="240" w:lineRule="auto"/>
      </w:pPr>
      <w:r>
        <w:rPr>
          <w:rFonts w:ascii="Arial" w:hAnsi="Arial" w:eastAsia="Arial"/>
          <w:b/>
          <w:i w:val="0"/>
          <w:sz w:val="21"/>
        </w:rPr>
        <w:t>Results (Parts 2 and 3)</w:t>
      </w:r>
      <w:r>
        <w:rPr>
          <w:rFonts w:ascii="Arial" w:hAnsi="Arial" w:eastAsia="Arial"/>
          <w:b w:val="0"/>
          <w:i/>
          <w:sz w:val="17"/>
        </w:rPr>
        <w:t xml:space="preserve">  – mean test accuracy over 3 seeds; task = recall the first of T random digits; chance = 0.10</w:t>
      </w:r>
    </w:p>
    <w:tbl>
      <w:tblPr>
        <w:tblStyle w:val="TableGrid"/>
        <w:tblW w:type="auto" w:w="0"/>
        <w:jc w:val="center"/>
        <w:tblLayout w:type="fixed"/>
        <w:tblLook w:firstColumn="1" w:firstRow="1" w:lastColumn="0" w:lastRow="0" w:noHBand="0" w:noVBand="1" w:val="04A0"/>
        <w:tblLayout w:type="fixed"/>
      </w:tblPr>
      <w:tblGrid>
        <w:gridCol w:w="2834"/>
        <w:gridCol w:w="1247"/>
        <w:gridCol w:w="1247"/>
        <w:gridCol w:w="1247"/>
        <w:gridCol w:w="1247"/>
        <w:gridCol w:w="1247"/>
      </w:tblGrid>
      <w:tr>
        <w:tc>
          <w:tcPr>
            <w:tcW w:type="dxa" w:w="2835"/>
            <w:shd w:val="clear" w:color="auto" w:fill="DEEAF6"/>
          </w:tcPr>
          <w:p>
            <w:pPr>
              <w:spacing w:before="10" w:after="10"/>
              <w:jc w:val="center"/>
            </w:pPr>
            <w:r>
              <w:rPr>
                <w:rFonts w:ascii="Arial" w:hAnsi="Arial" w:eastAsia="Arial"/>
                <w:b/>
                <w:i w:val="0"/>
                <w:sz w:val="18"/>
              </w:rPr>
              <w:t>Model</w:t>
            </w:r>
          </w:p>
        </w:tc>
        <w:tc>
          <w:tcPr>
            <w:tcW w:type="dxa" w:w="1247"/>
            <w:shd w:val="clear" w:color="auto" w:fill="DEEAF6"/>
          </w:tcPr>
          <w:p>
            <w:pPr>
              <w:spacing w:before="10" w:after="10"/>
              <w:jc w:val="center"/>
            </w:pPr>
            <w:r>
              <w:rPr>
                <w:rFonts w:ascii="Arial" w:hAnsi="Arial" w:eastAsia="Arial"/>
                <w:b/>
                <w:i w:val="0"/>
                <w:sz w:val="18"/>
              </w:rPr>
              <w:t>T = 5</w:t>
            </w:r>
          </w:p>
        </w:tc>
        <w:tc>
          <w:tcPr>
            <w:tcW w:type="dxa" w:w="1247"/>
            <w:shd w:val="clear" w:color="auto" w:fill="DEEAF6"/>
          </w:tcPr>
          <w:p>
            <w:pPr>
              <w:spacing w:before="10" w:after="10"/>
              <w:jc w:val="center"/>
            </w:pPr>
            <w:r>
              <w:rPr>
                <w:rFonts w:ascii="Arial" w:hAnsi="Arial" w:eastAsia="Arial"/>
                <w:b/>
                <w:i w:val="0"/>
                <w:sz w:val="18"/>
              </w:rPr>
              <w:t>T = 10</w:t>
            </w:r>
          </w:p>
        </w:tc>
        <w:tc>
          <w:tcPr>
            <w:tcW w:type="dxa" w:w="1247"/>
            <w:shd w:val="clear" w:color="auto" w:fill="DEEAF6"/>
          </w:tcPr>
          <w:p>
            <w:pPr>
              <w:spacing w:before="10" w:after="10"/>
              <w:jc w:val="center"/>
            </w:pPr>
            <w:r>
              <w:rPr>
                <w:rFonts w:ascii="Arial" w:hAnsi="Arial" w:eastAsia="Arial"/>
                <w:b/>
                <w:i w:val="0"/>
                <w:sz w:val="18"/>
              </w:rPr>
              <w:t>T = 20</w:t>
            </w:r>
          </w:p>
        </w:tc>
        <w:tc>
          <w:tcPr>
            <w:tcW w:type="dxa" w:w="1247"/>
            <w:shd w:val="clear" w:color="auto" w:fill="DEEAF6"/>
          </w:tcPr>
          <w:p>
            <w:pPr>
              <w:spacing w:before="10" w:after="10"/>
              <w:jc w:val="center"/>
            </w:pPr>
            <w:r>
              <w:rPr>
                <w:rFonts w:ascii="Arial" w:hAnsi="Arial" w:eastAsia="Arial"/>
                <w:b/>
                <w:i w:val="0"/>
                <w:sz w:val="18"/>
              </w:rPr>
              <w:t>T = 30</w:t>
            </w:r>
          </w:p>
        </w:tc>
        <w:tc>
          <w:tcPr>
            <w:tcW w:type="dxa" w:w="1247"/>
            <w:shd w:val="clear" w:color="auto" w:fill="DEEAF6"/>
          </w:tcPr>
          <w:p>
            <w:pPr>
              <w:spacing w:before="10" w:after="10"/>
              <w:jc w:val="center"/>
            </w:pPr>
            <w:r>
              <w:rPr>
                <w:rFonts w:ascii="Arial" w:hAnsi="Arial" w:eastAsia="Arial"/>
                <w:b/>
                <w:i w:val="0"/>
                <w:sz w:val="18"/>
              </w:rPr>
              <w:t>T = 60</w:t>
            </w:r>
          </w:p>
        </w:tc>
      </w:tr>
      <w:tr>
        <w:tc>
          <w:tcPr>
            <w:tcW w:type="dxa" w:w="2835"/>
          </w:tcPr>
          <w:p>
            <w:pPr>
              <w:spacing w:before="10" w:after="10"/>
            </w:pPr>
            <w:r>
              <w:rPr>
                <w:rFonts w:ascii="Arial" w:hAnsi="Arial" w:eastAsia="Arial"/>
                <w:b w:val="0"/>
                <w:i w:val="0"/>
                <w:sz w:val="18"/>
              </w:rPr>
              <w:t>RNN</w:t>
            </w:r>
          </w:p>
        </w:tc>
        <w:tc>
          <w:tcPr>
            <w:tcW w:type="dxa" w:w="1247"/>
          </w:tcPr>
          <w:p>
            <w:pPr>
              <w:spacing w:before="10" w:after="10"/>
              <w:jc w:val="center"/>
            </w:pPr>
            <w:r>
              <w:rPr>
                <w:rFonts w:ascii="Arial" w:hAnsi="Arial" w:eastAsia="Arial"/>
                <w:b/>
                <w:i w:val="0"/>
                <w:color w:val="1E7B34"/>
                <w:sz w:val="18"/>
              </w:rPr>
              <w:t>1.00</w:t>
            </w:r>
          </w:p>
        </w:tc>
        <w:tc>
          <w:tcPr>
            <w:tcW w:type="dxa" w:w="1247"/>
          </w:tcPr>
          <w:p>
            <w:pPr>
              <w:spacing w:before="10" w:after="10"/>
              <w:jc w:val="center"/>
            </w:pPr>
            <w:r>
              <w:rPr>
                <w:rFonts w:ascii="Arial" w:hAnsi="Arial" w:eastAsia="Arial"/>
                <w:b w:val="0"/>
                <w:i w:val="0"/>
                <w:sz w:val="18"/>
              </w:rPr>
              <w:t>0.66</w:t>
            </w:r>
          </w:p>
        </w:tc>
        <w:tc>
          <w:tcPr>
            <w:tcW w:type="dxa" w:w="1247"/>
          </w:tcPr>
          <w:p>
            <w:pPr>
              <w:spacing w:before="10" w:after="10"/>
              <w:jc w:val="center"/>
            </w:pPr>
            <w:r>
              <w:rPr>
                <w:rFonts w:ascii="Arial" w:hAnsi="Arial" w:eastAsia="Arial"/>
                <w:b w:val="0"/>
                <w:i w:val="0"/>
                <w:color w:val="B01E1E"/>
                <w:sz w:val="18"/>
              </w:rPr>
              <w:t>0.10</w:t>
            </w:r>
          </w:p>
        </w:tc>
        <w:tc>
          <w:tcPr>
            <w:tcW w:type="dxa" w:w="1247"/>
          </w:tcPr>
          <w:p>
            <w:pPr>
              <w:spacing w:before="10" w:after="10"/>
              <w:jc w:val="center"/>
            </w:pPr>
            <w:r>
              <w:rPr>
                <w:rFonts w:ascii="Arial" w:hAnsi="Arial" w:eastAsia="Arial"/>
                <w:b w:val="0"/>
                <w:i w:val="0"/>
                <w:color w:val="999999"/>
                <w:sz w:val="17"/>
              </w:rPr>
              <w:t>–</w:t>
            </w:r>
          </w:p>
        </w:tc>
        <w:tc>
          <w:tcPr>
            <w:tcW w:type="dxa" w:w="1247"/>
          </w:tcPr>
          <w:p>
            <w:pPr>
              <w:spacing w:before="10" w:after="10"/>
              <w:jc w:val="center"/>
            </w:pPr>
            <w:r>
              <w:rPr>
                <w:rFonts w:ascii="Arial" w:hAnsi="Arial" w:eastAsia="Arial"/>
                <w:b w:val="0"/>
                <w:i w:val="0"/>
                <w:color w:val="B01E1E"/>
                <w:sz w:val="18"/>
              </w:rPr>
              <w:t>0.10</w:t>
            </w:r>
          </w:p>
        </w:tc>
      </w:tr>
      <w:tr>
        <w:tc>
          <w:tcPr>
            <w:tcW w:type="dxa" w:w="2835"/>
          </w:tcPr>
          <w:p>
            <w:pPr>
              <w:spacing w:before="10" w:after="10"/>
            </w:pPr>
            <w:r>
              <w:rPr>
                <w:rFonts w:ascii="Arial" w:hAnsi="Arial" w:eastAsia="Arial"/>
                <w:b w:val="0"/>
                <w:i w:val="0"/>
                <w:sz w:val="18"/>
              </w:rPr>
              <w:t>LSTM</w:t>
            </w:r>
          </w:p>
        </w:tc>
        <w:tc>
          <w:tcPr>
            <w:tcW w:type="dxa" w:w="1247"/>
          </w:tcPr>
          <w:p>
            <w:pPr>
              <w:spacing w:before="10" w:after="10"/>
              <w:jc w:val="center"/>
            </w:pPr>
            <w:r>
              <w:rPr>
                <w:rFonts w:ascii="Arial" w:hAnsi="Arial" w:eastAsia="Arial"/>
                <w:b/>
                <w:i w:val="0"/>
                <w:color w:val="1E7B34"/>
                <w:sz w:val="18"/>
              </w:rPr>
              <w:t>1.00</w:t>
            </w:r>
          </w:p>
        </w:tc>
        <w:tc>
          <w:tcPr>
            <w:tcW w:type="dxa" w:w="1247"/>
          </w:tcPr>
          <w:p>
            <w:pPr>
              <w:spacing w:before="10" w:after="10"/>
              <w:jc w:val="center"/>
            </w:pPr>
            <w:r>
              <w:rPr>
                <w:rFonts w:ascii="Arial" w:hAnsi="Arial" w:eastAsia="Arial"/>
                <w:b/>
                <w:i w:val="0"/>
                <w:color w:val="1E7B34"/>
                <w:sz w:val="18"/>
              </w:rPr>
              <w:t>0.96</w:t>
            </w:r>
          </w:p>
        </w:tc>
        <w:tc>
          <w:tcPr>
            <w:tcW w:type="dxa" w:w="1247"/>
          </w:tcPr>
          <w:p>
            <w:pPr>
              <w:spacing w:before="10" w:after="10"/>
              <w:jc w:val="center"/>
            </w:pPr>
            <w:r>
              <w:rPr>
                <w:rFonts w:ascii="Arial" w:hAnsi="Arial" w:eastAsia="Arial"/>
                <w:b w:val="0"/>
                <w:i w:val="0"/>
                <w:sz w:val="18"/>
              </w:rPr>
              <w:t>0.47</w:t>
            </w:r>
          </w:p>
        </w:tc>
        <w:tc>
          <w:tcPr>
            <w:tcW w:type="dxa" w:w="1247"/>
          </w:tcPr>
          <w:p>
            <w:pPr>
              <w:spacing w:before="10" w:after="10"/>
              <w:jc w:val="center"/>
            </w:pPr>
            <w:r>
              <w:rPr>
                <w:rFonts w:ascii="Arial" w:hAnsi="Arial" w:eastAsia="Arial"/>
                <w:b w:val="0"/>
                <w:i w:val="0"/>
                <w:color w:val="999999"/>
                <w:sz w:val="17"/>
              </w:rPr>
              <w:t>–</w:t>
            </w:r>
          </w:p>
        </w:tc>
        <w:tc>
          <w:tcPr>
            <w:tcW w:type="dxa" w:w="1247"/>
          </w:tcPr>
          <w:p>
            <w:pPr>
              <w:spacing w:before="10" w:after="10"/>
              <w:jc w:val="center"/>
            </w:pPr>
            <w:r>
              <w:rPr>
                <w:rFonts w:ascii="Arial" w:hAnsi="Arial" w:eastAsia="Arial"/>
                <w:b w:val="0"/>
                <w:i w:val="0"/>
                <w:color w:val="B01E1E"/>
                <w:sz w:val="18"/>
              </w:rPr>
              <w:t>0.09</w:t>
            </w:r>
          </w:p>
        </w:tc>
      </w:tr>
      <w:tr>
        <w:tc>
          <w:tcPr>
            <w:tcW w:type="dxa" w:w="2835"/>
          </w:tcPr>
          <w:p>
            <w:pPr>
              <w:spacing w:before="10" w:after="10"/>
            </w:pPr>
            <w:r>
              <w:rPr>
                <w:rFonts w:ascii="Arial" w:hAnsi="Arial" w:eastAsia="Arial"/>
                <w:b w:val="0"/>
                <w:i w:val="0"/>
                <w:sz w:val="18"/>
              </w:rPr>
              <w:t>GRU</w:t>
            </w:r>
          </w:p>
        </w:tc>
        <w:tc>
          <w:tcPr>
            <w:tcW w:type="dxa" w:w="1247"/>
          </w:tcPr>
          <w:p>
            <w:pPr>
              <w:spacing w:before="10" w:after="10"/>
              <w:jc w:val="center"/>
            </w:pPr>
            <w:r>
              <w:rPr>
                <w:rFonts w:ascii="Arial" w:hAnsi="Arial" w:eastAsia="Arial"/>
                <w:b/>
                <w:i w:val="0"/>
                <w:color w:val="1E7B34"/>
                <w:sz w:val="18"/>
              </w:rPr>
              <w:t>1.00</w:t>
            </w:r>
          </w:p>
        </w:tc>
        <w:tc>
          <w:tcPr>
            <w:tcW w:type="dxa" w:w="1247"/>
          </w:tcPr>
          <w:p>
            <w:pPr>
              <w:spacing w:before="10" w:after="10"/>
              <w:jc w:val="center"/>
            </w:pPr>
            <w:r>
              <w:rPr>
                <w:rFonts w:ascii="Arial" w:hAnsi="Arial" w:eastAsia="Arial"/>
                <w:b/>
                <w:i w:val="0"/>
                <w:color w:val="1E7B34"/>
                <w:sz w:val="18"/>
              </w:rPr>
              <w:t>1.00</w:t>
            </w:r>
          </w:p>
        </w:tc>
        <w:tc>
          <w:tcPr>
            <w:tcW w:type="dxa" w:w="1247"/>
          </w:tcPr>
          <w:p>
            <w:pPr>
              <w:spacing w:before="10" w:after="10"/>
              <w:jc w:val="center"/>
            </w:pPr>
            <w:r>
              <w:rPr>
                <w:rFonts w:ascii="Arial" w:hAnsi="Arial" w:eastAsia="Arial"/>
                <w:b w:val="0"/>
                <w:i w:val="0"/>
                <w:color w:val="B01E1E"/>
                <w:sz w:val="18"/>
              </w:rPr>
              <w:t>0.10</w:t>
            </w:r>
          </w:p>
        </w:tc>
        <w:tc>
          <w:tcPr>
            <w:tcW w:type="dxa" w:w="1247"/>
          </w:tcPr>
          <w:p>
            <w:pPr>
              <w:spacing w:before="10" w:after="10"/>
              <w:jc w:val="center"/>
            </w:pPr>
            <w:r>
              <w:rPr>
                <w:rFonts w:ascii="Arial" w:hAnsi="Arial" w:eastAsia="Arial"/>
                <w:b w:val="0"/>
                <w:i w:val="0"/>
                <w:color w:val="999999"/>
                <w:sz w:val="17"/>
              </w:rPr>
              <w:t>–</w:t>
            </w:r>
          </w:p>
        </w:tc>
        <w:tc>
          <w:tcPr>
            <w:tcW w:type="dxa" w:w="1247"/>
          </w:tcPr>
          <w:p>
            <w:pPr>
              <w:spacing w:before="10" w:after="10"/>
              <w:jc w:val="center"/>
            </w:pPr>
            <w:r>
              <w:rPr>
                <w:rFonts w:ascii="Arial" w:hAnsi="Arial" w:eastAsia="Arial"/>
                <w:b w:val="0"/>
                <w:i w:val="0"/>
                <w:color w:val="B01E1E"/>
                <w:sz w:val="18"/>
              </w:rPr>
              <w:t>0.09</w:t>
            </w:r>
          </w:p>
        </w:tc>
      </w:tr>
      <w:tr>
        <w:tc>
          <w:tcPr>
            <w:tcW w:type="dxa" w:w="2835"/>
          </w:tcPr>
          <w:p>
            <w:pPr>
              <w:spacing w:before="10" w:after="10"/>
            </w:pPr>
            <w:r>
              <w:rPr>
                <w:rFonts w:ascii="Arial" w:hAnsi="Arial" w:eastAsia="Arial"/>
                <w:b w:val="0"/>
                <w:i w:val="0"/>
                <w:sz w:val="18"/>
              </w:rPr>
              <w:t>RNN, 128 units</w:t>
            </w:r>
          </w:p>
        </w:tc>
        <w:tc>
          <w:tcPr>
            <w:tcW w:type="dxa" w:w="1247"/>
          </w:tcPr>
          <w:p>
            <w:pPr>
              <w:spacing w:before="10" w:after="10"/>
              <w:jc w:val="center"/>
            </w:pPr>
            <w:r>
              <w:rPr>
                <w:rFonts w:ascii="Arial" w:hAnsi="Arial" w:eastAsia="Arial"/>
                <w:b w:val="0"/>
                <w:i w:val="0"/>
                <w:color w:val="999999"/>
                <w:sz w:val="17"/>
              </w:rPr>
              <w:t>–</w:t>
            </w:r>
          </w:p>
        </w:tc>
        <w:tc>
          <w:tcPr>
            <w:tcW w:type="dxa" w:w="1247"/>
          </w:tcPr>
          <w:p>
            <w:pPr>
              <w:spacing w:before="10" w:after="10"/>
              <w:jc w:val="center"/>
            </w:pPr>
            <w:r>
              <w:rPr>
                <w:rFonts w:ascii="Arial" w:hAnsi="Arial" w:eastAsia="Arial"/>
                <w:b w:val="0"/>
                <w:i w:val="0"/>
                <w:color w:val="999999"/>
                <w:sz w:val="17"/>
              </w:rPr>
              <w:t>–</w:t>
            </w:r>
          </w:p>
        </w:tc>
        <w:tc>
          <w:tcPr>
            <w:tcW w:type="dxa" w:w="1247"/>
          </w:tcPr>
          <w:p>
            <w:pPr>
              <w:spacing w:before="10" w:after="10"/>
              <w:jc w:val="center"/>
            </w:pPr>
            <w:r>
              <w:rPr>
                <w:rFonts w:ascii="Arial" w:hAnsi="Arial" w:eastAsia="Arial"/>
                <w:b w:val="0"/>
                <w:i w:val="0"/>
                <w:sz w:val="18"/>
              </w:rPr>
              <w:t>0.77</w:t>
            </w:r>
          </w:p>
        </w:tc>
        <w:tc>
          <w:tcPr>
            <w:tcW w:type="dxa" w:w="1247"/>
          </w:tcPr>
          <w:p>
            <w:pPr>
              <w:spacing w:before="10" w:after="10"/>
              <w:jc w:val="center"/>
            </w:pPr>
            <w:r>
              <w:rPr>
                <w:rFonts w:ascii="Arial" w:hAnsi="Arial" w:eastAsia="Arial"/>
                <w:b w:val="0"/>
                <w:i w:val="0"/>
                <w:color w:val="999999"/>
                <w:sz w:val="17"/>
              </w:rPr>
              <w:t>–</w:t>
            </w:r>
          </w:p>
        </w:tc>
        <w:tc>
          <w:tcPr>
            <w:tcW w:type="dxa" w:w="1247"/>
          </w:tcPr>
          <w:p>
            <w:pPr>
              <w:spacing w:before="10" w:after="10"/>
              <w:jc w:val="center"/>
            </w:pPr>
            <w:r>
              <w:rPr>
                <w:rFonts w:ascii="Arial" w:hAnsi="Arial" w:eastAsia="Arial"/>
                <w:b w:val="0"/>
                <w:i w:val="0"/>
                <w:color w:val="999999"/>
                <w:sz w:val="17"/>
              </w:rPr>
              <w:t>–</w:t>
            </w:r>
          </w:p>
        </w:tc>
      </w:tr>
      <w:tr>
        <w:tc>
          <w:tcPr>
            <w:tcW w:type="dxa" w:w="2835"/>
          </w:tcPr>
          <w:p>
            <w:pPr>
              <w:spacing w:before="10" w:after="10"/>
            </w:pPr>
            <w:r>
              <w:rPr>
                <w:rFonts w:ascii="Arial" w:hAnsi="Arial" w:eastAsia="Arial"/>
                <w:b w:val="0"/>
                <w:i w:val="0"/>
                <w:sz w:val="18"/>
              </w:rPr>
              <w:t>LSTM, 128 units</w:t>
            </w:r>
          </w:p>
        </w:tc>
        <w:tc>
          <w:tcPr>
            <w:tcW w:type="dxa" w:w="1247"/>
          </w:tcPr>
          <w:p>
            <w:pPr>
              <w:spacing w:before="10" w:after="10"/>
              <w:jc w:val="center"/>
            </w:pPr>
            <w:r>
              <w:rPr>
                <w:rFonts w:ascii="Arial" w:hAnsi="Arial" w:eastAsia="Arial"/>
                <w:b w:val="0"/>
                <w:i w:val="0"/>
                <w:color w:val="999999"/>
                <w:sz w:val="17"/>
              </w:rPr>
              <w:t>–</w:t>
            </w:r>
          </w:p>
        </w:tc>
        <w:tc>
          <w:tcPr>
            <w:tcW w:type="dxa" w:w="1247"/>
          </w:tcPr>
          <w:p>
            <w:pPr>
              <w:spacing w:before="10" w:after="10"/>
              <w:jc w:val="center"/>
            </w:pPr>
            <w:r>
              <w:rPr>
                <w:rFonts w:ascii="Arial" w:hAnsi="Arial" w:eastAsia="Arial"/>
                <w:b w:val="0"/>
                <w:i w:val="0"/>
                <w:color w:val="999999"/>
                <w:sz w:val="17"/>
              </w:rPr>
              <w:t>–</w:t>
            </w:r>
          </w:p>
        </w:tc>
        <w:tc>
          <w:tcPr>
            <w:tcW w:type="dxa" w:w="1247"/>
          </w:tcPr>
          <w:p>
            <w:pPr>
              <w:spacing w:before="10" w:after="10"/>
              <w:jc w:val="center"/>
            </w:pPr>
            <w:r>
              <w:rPr>
                <w:rFonts w:ascii="Arial" w:hAnsi="Arial" w:eastAsia="Arial"/>
                <w:b w:val="0"/>
                <w:i w:val="0"/>
                <w:sz w:val="18"/>
              </w:rPr>
              <w:t>0.59</w:t>
            </w:r>
          </w:p>
        </w:tc>
        <w:tc>
          <w:tcPr>
            <w:tcW w:type="dxa" w:w="1247"/>
          </w:tcPr>
          <w:p>
            <w:pPr>
              <w:spacing w:before="10" w:after="10"/>
              <w:jc w:val="center"/>
            </w:pPr>
            <w:r>
              <w:rPr>
                <w:rFonts w:ascii="Arial" w:hAnsi="Arial" w:eastAsia="Arial"/>
                <w:b w:val="0"/>
                <w:i w:val="0"/>
                <w:color w:val="999999"/>
                <w:sz w:val="17"/>
              </w:rPr>
              <w:t>–</w:t>
            </w:r>
          </w:p>
        </w:tc>
        <w:tc>
          <w:tcPr>
            <w:tcW w:type="dxa" w:w="1247"/>
          </w:tcPr>
          <w:p>
            <w:pPr>
              <w:spacing w:before="10" w:after="10"/>
              <w:jc w:val="center"/>
            </w:pPr>
            <w:r>
              <w:rPr>
                <w:rFonts w:ascii="Arial" w:hAnsi="Arial" w:eastAsia="Arial"/>
                <w:b w:val="0"/>
                <w:i w:val="0"/>
                <w:color w:val="999999"/>
                <w:sz w:val="17"/>
              </w:rPr>
              <w:t>–</w:t>
            </w:r>
          </w:p>
        </w:tc>
      </w:tr>
      <w:tr>
        <w:tc>
          <w:tcPr>
            <w:tcW w:type="dxa" w:w="2835"/>
          </w:tcPr>
          <w:p>
            <w:pPr>
              <w:spacing w:before="10" w:after="10"/>
            </w:pPr>
            <w:r>
              <w:rPr>
                <w:rFonts w:ascii="Arial" w:hAnsi="Arial" w:eastAsia="Arial"/>
                <w:b w:val="0"/>
                <w:i w:val="0"/>
                <w:sz w:val="18"/>
              </w:rPr>
              <w:t>GRU, 128 units</w:t>
            </w:r>
          </w:p>
        </w:tc>
        <w:tc>
          <w:tcPr>
            <w:tcW w:type="dxa" w:w="1247"/>
          </w:tcPr>
          <w:p>
            <w:pPr>
              <w:spacing w:before="10" w:after="10"/>
              <w:jc w:val="center"/>
            </w:pPr>
            <w:r>
              <w:rPr>
                <w:rFonts w:ascii="Arial" w:hAnsi="Arial" w:eastAsia="Arial"/>
                <w:b w:val="0"/>
                <w:i w:val="0"/>
                <w:color w:val="999999"/>
                <w:sz w:val="17"/>
              </w:rPr>
              <w:t>–</w:t>
            </w:r>
          </w:p>
        </w:tc>
        <w:tc>
          <w:tcPr>
            <w:tcW w:type="dxa" w:w="1247"/>
          </w:tcPr>
          <w:p>
            <w:pPr>
              <w:spacing w:before="10" w:after="10"/>
              <w:jc w:val="center"/>
            </w:pPr>
            <w:r>
              <w:rPr>
                <w:rFonts w:ascii="Arial" w:hAnsi="Arial" w:eastAsia="Arial"/>
                <w:b w:val="0"/>
                <w:i w:val="0"/>
                <w:color w:val="999999"/>
                <w:sz w:val="17"/>
              </w:rPr>
              <w:t>–</w:t>
            </w:r>
          </w:p>
        </w:tc>
        <w:tc>
          <w:tcPr>
            <w:tcW w:type="dxa" w:w="1247"/>
          </w:tcPr>
          <w:p>
            <w:pPr>
              <w:spacing w:before="10" w:after="10"/>
              <w:jc w:val="center"/>
            </w:pPr>
            <w:r>
              <w:rPr>
                <w:rFonts w:ascii="Arial" w:hAnsi="Arial" w:eastAsia="Arial"/>
                <w:b/>
                <w:i w:val="0"/>
                <w:color w:val="1E7B34"/>
                <w:sz w:val="18"/>
              </w:rPr>
              <w:t>1.00</w:t>
            </w:r>
          </w:p>
        </w:tc>
        <w:tc>
          <w:tcPr>
            <w:tcW w:type="dxa" w:w="1247"/>
          </w:tcPr>
          <w:p>
            <w:pPr>
              <w:spacing w:before="10" w:after="10"/>
              <w:jc w:val="center"/>
            </w:pPr>
            <w:r>
              <w:rPr>
                <w:rFonts w:ascii="Arial" w:hAnsi="Arial" w:eastAsia="Arial"/>
                <w:b w:val="0"/>
                <w:i w:val="0"/>
                <w:color w:val="999999"/>
                <w:sz w:val="17"/>
              </w:rPr>
              <w:t>–</w:t>
            </w:r>
          </w:p>
        </w:tc>
        <w:tc>
          <w:tcPr>
            <w:tcW w:type="dxa" w:w="1247"/>
          </w:tcPr>
          <w:p>
            <w:pPr>
              <w:spacing w:before="10" w:after="10"/>
              <w:jc w:val="center"/>
            </w:pPr>
            <w:r>
              <w:rPr>
                <w:rFonts w:ascii="Arial" w:hAnsi="Arial" w:eastAsia="Arial"/>
                <w:b w:val="0"/>
                <w:i w:val="0"/>
                <w:color w:val="999999"/>
                <w:sz w:val="17"/>
              </w:rPr>
              <w:t>–</w:t>
            </w:r>
          </w:p>
        </w:tc>
      </w:tr>
      <w:tr>
        <w:tc>
          <w:tcPr>
            <w:tcW w:type="dxa" w:w="2835"/>
          </w:tcPr>
          <w:p>
            <w:pPr>
              <w:spacing w:before="10" w:after="10"/>
            </w:pPr>
            <w:r>
              <w:rPr>
                <w:rFonts w:ascii="Arial" w:hAnsi="Arial" w:eastAsia="Arial"/>
                <w:b/>
                <w:i w:val="0"/>
                <w:sz w:val="18"/>
              </w:rPr>
              <w:t>Self-attention</w:t>
            </w:r>
          </w:p>
        </w:tc>
        <w:tc>
          <w:tcPr>
            <w:tcW w:type="dxa" w:w="1247"/>
          </w:tcPr>
          <w:p>
            <w:pPr>
              <w:spacing w:before="10" w:after="10"/>
              <w:jc w:val="center"/>
            </w:pPr>
            <w:r>
              <w:rPr>
                <w:rFonts w:ascii="Arial" w:hAnsi="Arial" w:eastAsia="Arial"/>
                <w:b w:val="0"/>
                <w:i w:val="0"/>
                <w:color w:val="999999"/>
                <w:sz w:val="17"/>
              </w:rPr>
              <w:t>–</w:t>
            </w:r>
          </w:p>
        </w:tc>
        <w:tc>
          <w:tcPr>
            <w:tcW w:type="dxa" w:w="1247"/>
          </w:tcPr>
          <w:p>
            <w:pPr>
              <w:spacing w:before="10" w:after="10"/>
              <w:jc w:val="center"/>
            </w:pPr>
            <w:r>
              <w:rPr>
                <w:rFonts w:ascii="Arial" w:hAnsi="Arial" w:eastAsia="Arial"/>
                <w:b/>
                <w:i w:val="0"/>
                <w:color w:val="1E7B34"/>
                <w:sz w:val="18"/>
              </w:rPr>
              <w:t>1.00</w:t>
            </w:r>
          </w:p>
        </w:tc>
        <w:tc>
          <w:tcPr>
            <w:tcW w:type="dxa" w:w="1247"/>
          </w:tcPr>
          <w:p>
            <w:pPr>
              <w:spacing w:before="10" w:after="10"/>
              <w:jc w:val="center"/>
            </w:pPr>
            <w:r>
              <w:rPr>
                <w:rFonts w:ascii="Arial" w:hAnsi="Arial" w:eastAsia="Arial"/>
                <w:b/>
                <w:i w:val="0"/>
                <w:color w:val="1E7B34"/>
                <w:sz w:val="18"/>
              </w:rPr>
              <w:t>1.00</w:t>
            </w:r>
          </w:p>
        </w:tc>
        <w:tc>
          <w:tcPr>
            <w:tcW w:type="dxa" w:w="1247"/>
          </w:tcPr>
          <w:p>
            <w:pPr>
              <w:spacing w:before="10" w:after="10"/>
              <w:jc w:val="center"/>
            </w:pPr>
            <w:r>
              <w:rPr>
                <w:rFonts w:ascii="Arial" w:hAnsi="Arial" w:eastAsia="Arial"/>
                <w:b w:val="0"/>
                <w:i w:val="0"/>
                <w:color w:val="999999"/>
                <w:sz w:val="17"/>
              </w:rPr>
              <w:t>–</w:t>
            </w:r>
          </w:p>
        </w:tc>
        <w:tc>
          <w:tcPr>
            <w:tcW w:type="dxa" w:w="1247"/>
          </w:tcPr>
          <w:p>
            <w:pPr>
              <w:spacing w:before="10" w:after="10"/>
              <w:jc w:val="center"/>
            </w:pPr>
            <w:r>
              <w:rPr>
                <w:rFonts w:ascii="Arial" w:hAnsi="Arial" w:eastAsia="Arial"/>
                <w:b/>
                <w:i w:val="0"/>
                <w:color w:val="1E7B34"/>
                <w:sz w:val="18"/>
              </w:rPr>
              <w:t>1.00</w:t>
            </w:r>
          </w:p>
        </w:tc>
      </w:tr>
      <w:tr>
        <w:tc>
          <w:tcPr>
            <w:tcW w:type="dxa" w:w="2835"/>
          </w:tcPr>
          <w:p>
            <w:pPr>
              <w:spacing w:before="10" w:after="10"/>
            </w:pPr>
            <w:r>
              <w:rPr>
                <w:rFonts w:ascii="Arial" w:hAnsi="Arial" w:eastAsia="Arial"/>
                <w:b w:val="0"/>
                <w:i w:val="0"/>
                <w:sz w:val="18"/>
              </w:rPr>
              <w:t>Attention, no pos. enc.</w:t>
            </w:r>
          </w:p>
        </w:tc>
        <w:tc>
          <w:tcPr>
            <w:tcW w:type="dxa" w:w="1247"/>
          </w:tcPr>
          <w:p>
            <w:pPr>
              <w:spacing w:before="10" w:after="10"/>
              <w:jc w:val="center"/>
            </w:pPr>
            <w:r>
              <w:rPr>
                <w:rFonts w:ascii="Arial" w:hAnsi="Arial" w:eastAsia="Arial"/>
                <w:b w:val="0"/>
                <w:i w:val="0"/>
                <w:color w:val="999999"/>
                <w:sz w:val="17"/>
              </w:rPr>
              <w:t>–</w:t>
            </w:r>
          </w:p>
        </w:tc>
        <w:tc>
          <w:tcPr>
            <w:tcW w:type="dxa" w:w="1247"/>
          </w:tcPr>
          <w:p>
            <w:pPr>
              <w:spacing w:before="10" w:after="10"/>
              <w:jc w:val="center"/>
            </w:pPr>
            <w:r>
              <w:rPr>
                <w:rFonts w:ascii="Arial" w:hAnsi="Arial" w:eastAsia="Arial"/>
                <w:b w:val="0"/>
                <w:i w:val="0"/>
                <w:sz w:val="18"/>
              </w:rPr>
              <w:t>0.26</w:t>
            </w:r>
          </w:p>
        </w:tc>
        <w:tc>
          <w:tcPr>
            <w:tcW w:type="dxa" w:w="1247"/>
          </w:tcPr>
          <w:p>
            <w:pPr>
              <w:spacing w:before="10" w:after="10"/>
              <w:jc w:val="center"/>
            </w:pPr>
            <w:r>
              <w:rPr>
                <w:rFonts w:ascii="Arial" w:hAnsi="Arial" w:eastAsia="Arial"/>
                <w:b w:val="0"/>
                <w:i w:val="0"/>
                <w:color w:val="999999"/>
                <w:sz w:val="17"/>
              </w:rPr>
              <w:t>–</w:t>
            </w:r>
          </w:p>
        </w:tc>
        <w:tc>
          <w:tcPr>
            <w:tcW w:type="dxa" w:w="1247"/>
          </w:tcPr>
          <w:p>
            <w:pPr>
              <w:spacing w:before="10" w:after="10"/>
              <w:jc w:val="center"/>
            </w:pPr>
            <w:r>
              <w:rPr>
                <w:rFonts w:ascii="Arial" w:hAnsi="Arial" w:eastAsia="Arial"/>
                <w:b w:val="0"/>
                <w:i w:val="0"/>
                <w:color w:val="B01E1E"/>
                <w:sz w:val="18"/>
              </w:rPr>
              <w:t>0.18</w:t>
            </w:r>
          </w:p>
        </w:tc>
        <w:tc>
          <w:tcPr>
            <w:tcW w:type="dxa" w:w="1247"/>
          </w:tcPr>
          <w:p>
            <w:pPr>
              <w:spacing w:before="10" w:after="10"/>
              <w:jc w:val="center"/>
            </w:pPr>
            <w:r>
              <w:rPr>
                <w:rFonts w:ascii="Arial" w:hAnsi="Arial" w:eastAsia="Arial"/>
                <w:b w:val="0"/>
                <w:i w:val="0"/>
                <w:color w:val="999999"/>
                <w:sz w:val="17"/>
              </w:rPr>
              <w:t>–</w:t>
            </w:r>
          </w:p>
        </w:tc>
      </w:tr>
    </w:tbl>
    <w:p>
      <w:pPr>
        <w:spacing w:before="40" w:after="80" w:line="240" w:lineRule="auto"/>
      </w:pPr>
      <w:r>
        <w:rPr>
          <w:rFonts w:ascii="Arial" w:hAnsi="Arial" w:eastAsia="Arial"/>
          <w:b w:val="0"/>
          <w:i/>
          <w:color w:val="555555"/>
          <w:sz w:val="15"/>
        </w:rPr>
        <w:t>Experiment (32 → 128 hidden units, T = 20) and the ablation (no positional encoding) are the extra rows. Green = ≥ 0.90, red = ≤ 0.20 (about chance).</w:t>
      </w:r>
    </w:p>
    <w:p>
      <w:pPr>
        <w:spacing w:before="40" w:after="40" w:line="240" w:lineRule="auto"/>
      </w:pPr>
      <w:r>
        <w:rPr>
          <w:rFonts w:ascii="Arial" w:hAnsi="Arial" w:eastAsia="Arial"/>
          <w:b/>
          <w:i w:val="0"/>
          <w:sz w:val="21"/>
        </w:rPr>
        <w:t>Gradient plot (Part 1) and attention plot (Part 3)</w:t>
      </w:r>
    </w:p>
    <w:tbl>
      <w:tblPr>
        <w:tblW w:type="auto" w:w="0"/>
        <w:jc w:val="center"/>
        <w:tblLayout w:type="fixed"/>
        <w:tblLook w:firstColumn="1" w:firstRow="1" w:lastColumn="0" w:lastRow="0" w:noHBand="0" w:noVBand="1" w:val="04A0"/>
        <w:tblLayout w:type="fixed"/>
      </w:tblPr>
      <w:tblGrid>
        <w:gridCol w:w="4104"/>
        <w:gridCol w:w="5688"/>
      </w:tblGrid>
      <w:tr>
        <w:tc>
          <w:tcPr>
            <w:tcW w:type="dxa" w:w="4104"/>
          </w:tcPr>
          <w:p>
            <w:pPr>
              <w:jc w:val="center"/>
            </w:pPr>
            <w:r>
              <w:drawing>
                <wp:inline xmlns:a="http://schemas.openxmlformats.org/drawingml/2006/main" xmlns:pic="http://schemas.openxmlformats.org/drawingml/2006/picture">
                  <wp:extent cx="2450592" cy="1429512"/>
                  <wp:docPr id="1" name="Picture 1"/>
                  <wp:cNvGraphicFramePr>
                    <a:graphicFrameLocks noChangeAspect="1"/>
                  </wp:cNvGraphicFramePr>
                  <a:graphic>
                    <a:graphicData uri="http://schemas.openxmlformats.org/drawingml/2006/picture">
                      <pic:pic>
                        <pic:nvPicPr>
                          <pic:cNvPr id="0" name="8_1_gradient_plot.png"/>
                          <pic:cNvPicPr/>
                        </pic:nvPicPr>
                        <pic:blipFill>
                          <a:blip r:embed="rId9"/>
                          <a:stretch>
                            <a:fillRect/>
                          </a:stretch>
                        </pic:blipFill>
                        <pic:spPr>
                          <a:xfrm>
                            <a:off x="0" y="0"/>
                            <a:ext cx="2450592" cy="1429512"/>
                          </a:xfrm>
                          <a:prstGeom prst="rect"/>
                        </pic:spPr>
                      </pic:pic>
                    </a:graphicData>
                  </a:graphic>
                </wp:inline>
              </w:drawing>
            </w:r>
          </w:p>
        </w:tc>
        <w:tc>
          <w:tcPr>
            <w:tcW w:type="dxa" w:w="5688"/>
          </w:tcPr>
          <w:p>
            <w:pPr>
              <w:jc w:val="center"/>
            </w:pPr>
            <w:r>
              <w:drawing>
                <wp:inline xmlns:a="http://schemas.openxmlformats.org/drawingml/2006/main" xmlns:pic="http://schemas.openxmlformats.org/drawingml/2006/picture">
                  <wp:extent cx="3401568" cy="1190549"/>
                  <wp:docPr id="2" name="Picture 2"/>
                  <wp:cNvGraphicFramePr>
                    <a:graphicFrameLocks noChangeAspect="1"/>
                  </wp:cNvGraphicFramePr>
                  <a:graphic>
                    <a:graphicData uri="http://schemas.openxmlformats.org/drawingml/2006/picture">
                      <pic:pic>
                        <pic:nvPicPr>
                          <pic:cNvPr id="0" name="8_2_attention_plot.png"/>
                          <pic:cNvPicPr/>
                        </pic:nvPicPr>
                        <pic:blipFill>
                          <a:blip r:embed="rId10"/>
                          <a:stretch>
                            <a:fillRect/>
                          </a:stretch>
                        </pic:blipFill>
                        <pic:spPr>
                          <a:xfrm>
                            <a:off x="0" y="0"/>
                            <a:ext cx="3401568" cy="1190549"/>
                          </a:xfrm>
                          <a:prstGeom prst="rect"/>
                        </pic:spPr>
                      </pic:pic>
                    </a:graphicData>
                  </a:graphic>
                </wp:inline>
              </w:drawing>
            </w:r>
          </w:p>
        </w:tc>
      </w:tr>
    </w:tbl>
    <w:p>
      <w:pPr>
        <w:spacing w:before="20" w:after="80" w:line="240" w:lineRule="auto"/>
        <w:jc w:val="center"/>
      </w:pPr>
      <w:r>
        <w:rPr>
          <w:rFonts w:ascii="Arial" w:hAnsi="Arial" w:eastAsia="Arial"/>
          <w:b w:val="0"/>
          <w:i/>
          <w:color w:val="555555"/>
          <w:sz w:val="15"/>
        </w:rPr>
        <w:t>Left: gradient size at each of 50 input steps (log scale) – last/first ratio RNN 1.5×10¹³, LSTM 7.8×10¹⁰, GRU 2.8×10¹⁰.  Right: attention of the last position at T = 20, averaged over 200 sequences – weight on position 0: head 0 = 0.95, head 1 = 0.80.</w:t>
      </w:r>
    </w:p>
    <w:p>
      <w:pPr>
        <w:spacing w:before="40" w:after="40" w:line="240" w:lineRule="auto"/>
      </w:pPr>
      <w:r>
        <w:rPr>
          <w:rFonts w:ascii="Arial" w:hAnsi="Arial" w:eastAsia="Arial"/>
          <w:b/>
          <w:i w:val="0"/>
          <w:sz w:val="21"/>
        </w:rPr>
        <w:t>Checkpoint questions</w:t>
      </w:r>
    </w:p>
    <w:p>
      <w:pPr>
        <w:spacing w:before="40" w:after="0" w:line="240" w:lineRule="auto"/>
      </w:pPr>
      <w:r>
        <w:rPr>
          <w:rFonts w:ascii="Arial" w:hAnsi="Arial" w:eastAsia="Arial"/>
          <w:b/>
          <w:i w:val="0"/>
          <w:sz w:val="20"/>
        </w:rPr>
        <w:t>1. In Part 1, which input step has the smallest gradient? What does this mean for learning the first digit?</w:t>
      </w:r>
    </w:p>
    <w:p>
      <w:pPr>
        <w:spacing w:before="0" w:after="80" w:line="240" w:lineRule="auto"/>
        <w:jc w:val="both"/>
      </w:pPr>
      <w:r>
        <w:rPr>
          <w:rFonts w:ascii="Arial" w:hAnsi="Arial" w:eastAsia="Arial"/>
          <w:b w:val="0"/>
          <w:i w:val="0"/>
          <w:sz w:val="20"/>
        </w:rPr>
        <w:t>Step 0 – the very first input – has the smallest gradient for all three layers: the gradient at the last step is about 1.5×10¹³ times bigger for the RNN, 7.8×10¹⁰ for the LSTM and 2.8×10¹⁰ for the GRU. But the first digit is exactly what the label is, so the weights get almost no training signal about how to store it. That's why the plain RNN drops to chance (0.10) from T = 20, while the gated LSTM/GRU hold on a bit longer (fine at T = 10).</w:t>
      </w:r>
    </w:p>
    <w:p>
      <w:pPr>
        <w:spacing w:before="40" w:after="0" w:line="240" w:lineRule="auto"/>
      </w:pPr>
      <w:r>
        <w:rPr>
          <w:rFonts w:ascii="Arial" w:hAnsi="Arial" w:eastAsia="Arial"/>
          <w:b/>
          <w:i w:val="0"/>
          <w:sz w:val="20"/>
        </w:rPr>
        <w:t>2. In Part 2, runs with the same settings give different accuracy. What does this tell you about training RNNs on long sequences?</w:t>
      </w:r>
    </w:p>
    <w:p>
      <w:pPr>
        <w:spacing w:before="0" w:after="80" w:line="240" w:lineRule="auto"/>
        <w:jc w:val="both"/>
      </w:pPr>
      <w:r>
        <w:rPr>
          <w:rFonts w:ascii="Arial" w:hAnsi="Arial" w:eastAsia="Arial"/>
          <w:b w:val="0"/>
          <w:i w:val="0"/>
          <w:sz w:val="20"/>
        </w:rPr>
        <w:t>Only the seed changes (initial weights + data order), yet the results jump around a lot: the RNN at T = 10 got 0.79 / 1.00 / 0.19 and the LSTM at T = 20 got 0.32 / 0.18 / 0.90. Because the gradient from the early steps is so tiny, whether a run ever finds the link between step 1 and the label is basically luck. So training RNNs on long sequences is unstable – you need several seeds and should look at the spread, not just one number.</w:t>
      </w:r>
    </w:p>
    <w:p>
      <w:pPr>
        <w:spacing w:before="40" w:after="0" w:line="240" w:lineRule="auto"/>
      </w:pPr>
      <w:r>
        <w:rPr>
          <w:rFonts w:ascii="Arial" w:hAnsi="Arial" w:eastAsia="Arial"/>
          <w:b/>
          <w:i w:val="0"/>
          <w:sz w:val="20"/>
        </w:rPr>
        <w:t>3. In Part 3, accuracy drops when you remove positional encoding. Why?</w:t>
      </w:r>
    </w:p>
    <w:p>
      <w:pPr>
        <w:spacing w:before="0" w:after="80" w:line="240" w:lineRule="auto"/>
        <w:jc w:val="both"/>
      </w:pPr>
      <w:r>
        <w:rPr>
          <w:rFonts w:ascii="Arial" w:hAnsi="Arial" w:eastAsia="Arial"/>
          <w:b w:val="0"/>
          <w:i w:val="0"/>
          <w:sz w:val="20"/>
        </w:rPr>
        <w:t>Self-attention on its own doesn't know about order – it compares steps by content only, so without positional encoding the sequence is just a bag of digits and the model can't tell which one came first. The best it can do is guess the most common digit, which I calculated gives ≈0.27 for T = 10 and ≈0.20 for T = 30 – basically the 0.26 and 0.18 I got. With positional encoding every step gets its own sin/cos tag, so the last position looks straight at position 0 (weights 0.95 / 0.80) and gets 1.00.</w:t>
      </w:r>
    </w:p>
    <w:sectPr w:rsidR="00FC693F" w:rsidRPr="0006063C" w:rsidSect="00034616">
      <w:pgSz w:w="11906" w:h="16838"/>
      <w:pgMar w:top="737" w:right="907" w:bottom="737"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