
<file path=[Content_Types].xml><?xml version="1.0" encoding="utf-8"?>
<Types xmlns="http://schemas.openxmlformats.org/package/2006/content-types">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73.png" ContentType="image/png"/>
  <Override PartName="/word/media/rId63.png" ContentType="image/png"/>
  <Override PartName="/word/media/rId66.png" ContentType="image/png"/>
  <Override PartName="/word/media/rId69.png" ContentType="image/png"/>
  <Override PartName="/word/media/rId77.png" ContentType="image/png"/>
  <Override PartName="/word/media/rId50.png" ContentType="image/png"/>
  <Override PartName="/word/media/rId21.png" ContentType="image/png"/>
  <Override PartName="/word/footerPg.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Deployable</w:t>
      </w:r>
      <w:r>
        <w:t xml:space="preserve"> </w:t>
      </w:r>
      <w:r>
        <w:t xml:space="preserve">Conformal</w:t>
      </w:r>
      <w:r>
        <w:t xml:space="preserve"> </w:t>
      </w:r>
      <w:r>
        <w:t xml:space="preserve">Intrusion</w:t>
      </w:r>
      <w:r>
        <w:t xml:space="preserve"> </w:t>
      </w:r>
      <w:r>
        <w:t xml:space="preserve">Detection</w:t>
      </w:r>
      <w:r>
        <w:t xml:space="preserve"> </w:t>
      </w:r>
      <w:r>
        <w:t xml:space="preserve">Undercovers</w:t>
      </w:r>
      <w:r>
        <w:t xml:space="preserve"> </w:t>
      </w:r>
      <w:r>
        <w:t xml:space="preserve">under</w:t>
      </w:r>
      <w:r>
        <w:t xml:space="preserve"> </w:t>
      </w:r>
      <w:r>
        <w:t xml:space="preserve">Distribution</w:t>
      </w:r>
      <w:r>
        <w:t xml:space="preserve"> </w:t>
      </w:r>
      <w:r>
        <w:t xml:space="preserve">Shift:</w:t>
      </w:r>
      <w:r>
        <w:t xml:space="preserve"> </w:t>
      </w:r>
      <w:r>
        <w:t xml:space="preserve">A</w:t>
      </w:r>
      <w:r>
        <w:t xml:space="preserve"> </w:t>
      </w:r>
      <w:r>
        <w:t xml:space="preserve">Preregistered</w:t>
      </w:r>
      <w:r>
        <w:t xml:space="preserve"> </w:t>
      </w:r>
      <w:r>
        <w:t xml:space="preserve">Diagnosis</w:t>
      </w:r>
      <w:r>
        <w:t xml:space="preserve"> </w:t>
      </w:r>
      <w:r>
        <w:t xml:space="preserve">and</w:t>
      </w:r>
      <w:r>
        <w:t xml:space="preserve"> </w:t>
      </w:r>
      <w:r>
        <w:t xml:space="preserve">a</w:t>
      </w:r>
      <w:r>
        <w:t xml:space="preserve"> </w:t>
      </w:r>
      <w:r>
        <w:t xml:space="preserve">Label-Free</w:t>
      </w:r>
      <w:r>
        <w:t xml:space="preserve"> </w:t>
      </w:r>
      <w:r>
        <w:t xml:space="preserve">Failure</w:t>
      </w:r>
      <w:r>
        <w:t xml:space="preserve"> </w:t>
      </w:r>
      <w:r>
        <w:t xml:space="preserve">Monitor</w:t>
      </w:r>
    </w:p>
    <w:p>
      <w:pPr>
        <w:pStyle w:val="Author"/>
      </w:pPr>
      <w:r>
        <w:t xml:space="preserve">Md</w:t>
      </w:r>
      <w:r>
        <w:t xml:space="preserve"> </w:t>
      </w:r>
      <w:r>
        <w:t xml:space="preserve">Anas</w:t>
      </w:r>
      <w:r>
        <w:t xml:space="preserve"> </w:t>
      </w:r>
      <w:r>
        <w:t xml:space="preserve">Biswas</w:t>
      </w:r>
      <w:r>
        <w:rPr>
          <w:vertAlign w:val="superscript"/>
        </w:rPr>
        <w:t xml:space="preserve">1,*</w:t>
      </w:r>
    </w:p>
    <w:p>
      <w:pPr>
        <w:pStyle w:val="Author"/>
      </w:pPr>
      <w:r>
        <w:t xml:space="preserve">[Co-author]</w:t>
      </w:r>
      <w:r>
        <w:rPr>
          <w:vertAlign w:val="superscript"/>
        </w:rPr>
        <w:t xml:space="preserve">1</w:t>
      </w:r>
    </w:p>
    <w:p>
      <w:pPr>
        <w:pStyle w:val="FirstParagraph"/>
      </w:pPr>
      <w:r>
        <w:rPr>
          <w:vertAlign w:val="superscript"/>
        </w:rPr>
        <w:t xml:space="preserve">1</w:t>
      </w:r>
      <w:r>
        <w:t xml:space="preserve">School of Computing, University of Portsmouth, Portsmouth PO1 3HE, United Kingdom</w:t>
      </w:r>
    </w:p>
    <w:p>
      <w:pPr>
        <w:pStyle w:val="BodyText"/>
      </w:pPr>
      <w:r>
        <w:rPr>
          <w:vertAlign w:val="superscript"/>
        </w:rPr>
        <w:t xml:space="preserve">*</w:t>
      </w:r>
      <w:r>
        <w:t xml:space="preserve">Corresponding author. Email: [email]</w:t>
      </w:r>
    </w:p>
    <w:p>
      <w:pPr>
        <w:pStyle w:val="BodyText"/>
      </w:pPr>
      <w:r>
        <w:rPr>
          <w:iCs/>
          <w:i/>
        </w:rPr>
        <w:t xml:space="preserve">Preprint prepared for submission to</w:t>
      </w:r>
      <w:r>
        <w:t xml:space="preserve"> </w:t>
      </w:r>
      <w:r>
        <w:t xml:space="preserve">Computers &amp; Security</w:t>
      </w:r>
      <w:r>
        <w:t xml:space="preserve"> </w:t>
      </w:r>
      <w:r>
        <w:rPr>
          <w:iCs/>
          <w:i/>
        </w:rPr>
        <w:t xml:space="preserve">(Elsevier).</w:t>
      </w:r>
      <w:r>
        <w:t xml:space="preserve"> </w:t>
      </w:r>
      <w:r>
        <w:t xml:space="preserve">Code, preregistration, amendments and derived results: https://github.com/anasbiswas1/calshift-research</w:t>
      </w:r>
    </w:p>
    <w:bookmarkStart w:id="20" w:name="abstract"/>
    <w:p>
      <w:pPr>
        <w:pStyle w:val="Heading2"/>
      </w:pPr>
      <w:r>
        <w:t xml:space="preserve">Abstract</w:t>
      </w:r>
    </w:p>
    <w:p>
      <w:pPr>
        <w:pStyle w:val="FirstParagraph"/>
      </w:pPr>
      <w:r>
        <w:t xml:space="preserve">Conformal prediction offers distribution-free, finite-sample coverage guarantees and is</w:t>
      </w:r>
      <w:r>
        <w:t xml:space="preserve"> </w:t>
      </w:r>
      <w:r>
        <w:t xml:space="preserve">increasingly proposed as a trust layer for machine-learning network intrusion detection.</w:t>
      </w:r>
      <w:r>
        <w:t xml:space="preserve"> </w:t>
      </w:r>
      <w:r>
        <w:t xml:space="preserve">Its guarantee assumes exchangeability between calibration and test data, which deployment</w:t>
      </w:r>
      <w:r>
        <w:t xml:space="preserve"> </w:t>
      </w:r>
      <w:r>
        <w:t xml:space="preserve">violates twice over: a detector is calibrated on past traffic and applied to future,</w:t>
      </w:r>
      <w:r>
        <w:t xml:space="preserve"> </w:t>
      </w:r>
      <w:r>
        <w:t xml:space="preserve">drifted traffic, and the target labels needed to recalibrate are precisely what an</w:t>
      </w:r>
      <w:r>
        <w:t xml:space="preserve"> </w:t>
      </w:r>
      <w:r>
        <w:t xml:space="preserve">operator lacks. The only deployable protocol is therefore source-held-out. We ask, under</w:t>
      </w:r>
      <w:r>
        <w:t xml:space="preserve"> </w:t>
      </w:r>
      <w:r>
        <w:t xml:space="preserve">preregistration, whether it retains class-conditional coverage under shift and, if not,</w:t>
      </w:r>
      <w:r>
        <w:t xml:space="preserve"> </w:t>
      </w:r>
      <w:r>
        <w:t xml:space="preserve">whether its failures can be detected without labels. Across four datasets spanning covariate and support shift, and against negative controls that confirm the pipeline is valid on exchangeable data, the deployable protocol loses class-conditional coverage on every feasible class of three of the four environments, by up to 0.86 relative to the exchangeability-based target, while target-supervised calibration holds. A placebo experiment shows that novelty is not the operative variable: rearranging evaluation mass among subtypes the source has already seen moves coverage 2.6 times more than introducing unseen subtypes does, at zero support shift. A fourth environment isolates support shift on modern IoT traffic and finds no failure at all, confirming that neither aggregate shift measure predicts the outcome. What does predict it is movement of the nonconformity-score distribution: a class undercovers exactly when its scores move past the source-calibrated quantile (Spearman 0.84 across 28 class-level cells spanning four datasets). Building on that mechanism, we propose a label-free monitor of predicted-class</w:t>
      </w:r>
      <w:r>
        <w:t xml:space="preserve"> </w:t>
      </w:r>
      <w:r>
        <w:t xml:space="preserve">score drift that anticipates coverage failure at a pooled AUROC of 0.93, consistently across all three environments, with an explicitly characterised boundary, since it attenuates where a detector confidently</w:t>
      </w:r>
      <w:r>
        <w:t xml:space="preserve"> </w:t>
      </w:r>
      <w:r>
        <w:t xml:space="preserve">misroutes a novel class into a familiar one. Robustness analyses exclude prior shift,</w:t>
      </w:r>
      <w:r>
        <w:t xml:space="preserve"> </w:t>
      </w:r>
      <w:r>
        <w:t xml:space="preserve">level choice, set size, base miscalibration and analytical choice as explanations. All</w:t>
      </w:r>
      <w:r>
        <w:t xml:space="preserve"> </w:t>
      </w:r>
      <w:r>
        <w:t xml:space="preserve">data, code and the preregistration are released.</w:t>
      </w:r>
    </w:p>
    <w:p>
      <w:pPr>
        <w:pStyle w:val="BodyText"/>
      </w:pPr>
      <w:r>
        <w:rPr>
          <w:bCs/>
          <w:b/>
        </w:rPr>
        <w:t xml:space="preserve">Keywords:</w:t>
      </w:r>
      <w:r>
        <w:t xml:space="preserve"> </w:t>
      </w:r>
      <w:r>
        <w:t xml:space="preserve">conformal prediction; network intrusion detection; distribution shift;</w:t>
      </w:r>
      <w:r>
        <w:t xml:space="preserve"> </w:t>
      </w:r>
      <w:r>
        <w:t xml:space="preserve">uncertainty calibration; coverage guarantees; drift detection.</w:t>
      </w:r>
    </w:p>
    <w:p>
      <w:r>
        <w:br w:type="page"/>
      </w:r>
    </w:p>
    <w:bookmarkEnd w:id="20"/>
    <w:bookmarkStart w:id="24" w:name="introduction"/>
    <w:p>
      <w:pPr>
        <w:pStyle w:val="Heading1"/>
      </w:pPr>
      <w:r>
        <w:t xml:space="preserve">1. Introduction</w:t>
      </w:r>
    </w:p>
    <w:p>
      <w:pPr>
        <w:pStyle w:val="FirstParagraph"/>
      </w:pPr>
      <w:r>
        <w:t xml:space="preserve">Machine-learning classifiers are now routine components of network intrusion detection,</w:t>
      </w:r>
      <w:r>
        <w:t xml:space="preserve"> </w:t>
      </w:r>
      <w:r>
        <w:t xml:space="preserve">yet most emit point predictions with no calibrated statement of how far they can be</w:t>
      </w:r>
      <w:r>
        <w:t xml:space="preserve"> </w:t>
      </w:r>
      <w:r>
        <w:t xml:space="preserve">trusted. An operator faced with an alert needs more than a label; they need to know</w:t>
      </w:r>
      <w:r>
        <w:t xml:space="preserve"> </w:t>
      </w:r>
      <w:r>
        <w:t xml:space="preserve">whether the model’s output is reliable for this particular flow, so that scarce analyst</w:t>
      </w:r>
      <w:r>
        <w:t xml:space="preserve"> </w:t>
      </w:r>
      <w:r>
        <w:t xml:space="preserve">attention can be routed to the alerts that warrant it and withheld from those that do</w:t>
      </w:r>
      <w:r>
        <w:t xml:space="preserve"> </w:t>
      </w:r>
      <w:r>
        <w:t xml:space="preserve">not. Conformal prediction is an attractive answer to this need. It wraps any classifier</w:t>
      </w:r>
      <w:r>
        <w:t xml:space="preserve"> </w:t>
      </w:r>
      <w:r>
        <w:t xml:space="preserve">in a procedure that returns prediction sets with a distribution-free, finite-sample</w:t>
      </w:r>
      <w:r>
        <w:t xml:space="preserve"> </w:t>
      </w:r>
      <w:r>
        <w:t xml:space="preserve">guarantee: at miscoverage level alpha, the set contains the true label with probability</w:t>
      </w:r>
      <w:r>
        <w:t xml:space="preserve"> </w:t>
      </w:r>
      <w:r>
        <w:t xml:space="preserve">at least 1 minus alpha (Vovk et al., 2005; Shafer and Vovk, 2008; Angelopoulos and Bates, 2023). Applied per class in the</w:t>
      </w:r>
      <w:r>
        <w:t xml:space="preserve"> </w:t>
      </w:r>
      <w:r>
        <w:t xml:space="preserve">Mondrian manner, it promises a controllable, class-conditional guarantee that is</w:t>
      </w:r>
      <w:r>
        <w:t xml:space="preserve"> </w:t>
      </w:r>
      <w:r>
        <w:t xml:space="preserve">especially appealing for intrusion detection, where the rare classes are the dangerous</w:t>
      </w:r>
      <w:r>
        <w:t xml:space="preserve"> </w:t>
      </w:r>
      <w:r>
        <w:t xml:space="preserve">ones and a marginal guarantee can hide their failure.</w:t>
      </w:r>
    </w:p>
    <w:p>
      <w:pPr>
        <w:pStyle w:val="BodyText"/>
      </w:pPr>
      <w:r>
        <w:t xml:space="preserve">That guarantee, however, rests on exchangeability between the calibration data and the</w:t>
      </w:r>
      <w:r>
        <w:t xml:space="preserve"> </w:t>
      </w:r>
      <w:r>
        <w:t xml:space="preserve">test data, and deployment breaks exchangeability in a way that is structural rather than</w:t>
      </w:r>
      <w:r>
        <w:t xml:space="preserve"> </w:t>
      </w:r>
      <w:r>
        <w:t xml:space="preserve">incidental. Network traffic drifts: the benign baseline shifts with usage, and attacks</w:t>
      </w:r>
      <w:r>
        <w:t xml:space="preserve"> </w:t>
      </w:r>
      <w:r>
        <w:t xml:space="preserve">evolve, so a detector calibrated on one period is applied to a later period whose</w:t>
      </w:r>
      <w:r>
        <w:t xml:space="preserve"> </w:t>
      </w:r>
      <w:r>
        <w:t xml:space="preserve">distribution differs. Worse, the natural fix, recalibrating on the target, is</w:t>
      </w:r>
      <w:r>
        <w:t xml:space="preserve"> </w:t>
      </w:r>
      <w:r>
        <w:t xml:space="preserve">unavailable in operation, because obtaining target labels requires exactly the analyst</w:t>
      </w:r>
      <w:r>
        <w:t xml:space="preserve"> </w:t>
      </w:r>
      <w:r>
        <w:t xml:space="preserve">effort the system is meant to conserve, and novel attacks are unlabelled by definition.</w:t>
      </w:r>
      <w:r>
        <w:t xml:space="preserve"> </w:t>
      </w:r>
      <w:r>
        <w:t xml:space="preserve">The only calibration protocol an operator can actually run is source-held-out</w:t>
      </w:r>
      <w:r>
        <w:t xml:space="preserve"> </w:t>
      </w:r>
      <w:r>
        <w:t xml:space="preserve">calibration: fix the conformal quantile on labelled source data and apply it to the</w:t>
      </w:r>
      <w:r>
        <w:t xml:space="preserve"> </w:t>
      </w:r>
      <w:r>
        <w:t xml:space="preserve">unlabelled, drifted target. Whether the coverage guarantee survives this move is the</w:t>
      </w:r>
      <w:r>
        <w:t xml:space="preserve"> </w:t>
      </w:r>
      <w:r>
        <w:t xml:space="preserve">question on which the practical value of conformal intrusion detection turns, and it is</w:t>
      </w:r>
      <w:r>
        <w:t xml:space="preserve"> </w:t>
      </w:r>
      <w:r>
        <w:t xml:space="preserve">the question we address.</w:t>
      </w:r>
    </w:p>
    <w:p>
      <w:pPr>
        <w:pStyle w:val="BodyText"/>
      </w:pPr>
      <w:r>
        <w:t xml:space="preserve">A body of work restores conformal validity under covariate shift when the shift is</w:t>
      </w:r>
      <w:r>
        <w:t xml:space="preserve"> </w:t>
      </w:r>
      <w:r>
        <w:t xml:space="preserve">benign in a specific sense, for example when the source-to-target density ratio is known</w:t>
      </w:r>
      <w:r>
        <w:t xml:space="preserve"> </w:t>
      </w:r>
      <w:r>
        <w:t xml:space="preserve">or estimable, as in weighted conformal prediction (Tibshirani et al., 2019), or when calibration is</w:t>
      </w:r>
      <w:r>
        <w:t xml:space="preserve"> </w:t>
      </w:r>
      <w:r>
        <w:t xml:space="preserve">adapted online against a stream of labelled feedback, as in adaptive conformal inference</w:t>
      </w:r>
      <w:r>
        <w:t xml:space="preserve"> </w:t>
      </w:r>
      <w:r>
        <w:t xml:space="preserve">(Gibbs and Candès, 2021). Intrusion detection sits outside the comfort of these assumptions. Its</w:t>
      </w:r>
      <w:r>
        <w:t xml:space="preserve"> </w:t>
      </w:r>
      <w:r>
        <w:t xml:space="preserve">shift includes the arrival of novel attack subtypes, a change in the support of the</w:t>
      </w:r>
      <w:r>
        <w:t xml:space="preserve"> </w:t>
      </w:r>
      <w:r>
        <w:t xml:space="preserve">distribution rather than a reweighting of a fixed support, and its operators have no</w:t>
      </w:r>
      <w:r>
        <w:t xml:space="preserve"> </w:t>
      </w:r>
      <w:r>
        <w:t xml:space="preserve">stream of target labels against which to adapt. In this regime the relevant questions</w:t>
      </w:r>
      <w:r>
        <w:t xml:space="preserve"> </w:t>
      </w:r>
      <w:r>
        <w:t xml:space="preserve">for a practitioner are not only whether validity can be restored but, more basically,</w:t>
      </w:r>
      <w:r>
        <w:t xml:space="preserve"> </w:t>
      </w:r>
      <w:r>
        <w:t xml:space="preserve">when and why the deployable protocol fails, whether that failure is visible in aggregate</w:t>
      </w:r>
      <w:r>
        <w:t xml:space="preserve"> </w:t>
      </w:r>
      <w:r>
        <w:t xml:space="preserve">drift statistics, and whether it can be flagged per class without labels.</w:t>
      </w:r>
    </w:p>
    <w:p>
      <w:pPr>
        <w:pStyle w:val="BodyText"/>
      </w:pPr>
      <w:r>
        <w:t xml:space="preserve">We take a deliberately diagnostic and preregistered stance. Rather than propose a method</w:t>
      </w:r>
      <w:r>
        <w:t xml:space="preserve"> </w:t>
      </w:r>
      <w:r>
        <w:t xml:space="preserve">and report that it wins, we fix in advance the datasets, the shift constructions, the</w:t>
      </w:r>
      <w:r>
        <w:t xml:space="preserve"> </w:t>
      </w:r>
      <w:r>
        <w:t xml:space="preserve">focal classes, the protocols, the shift measures and the primary test, and then ask what</w:t>
      </w:r>
      <w:r>
        <w:t xml:space="preserve"> </w:t>
      </w:r>
      <w:r>
        <w:t xml:space="preserve">the deployable protocol does. Preregistration is the instrument that makes a negative or</w:t>
      </w:r>
      <w:r>
        <w:t xml:space="preserve"> </w:t>
      </w:r>
      <w:r>
        <w:t xml:space="preserve">boundary result credible: because the focal classes and analysis plan were committed</w:t>
      </w:r>
      <w:r>
        <w:t xml:space="preserve"> </w:t>
      </w:r>
      <w:r>
        <w:t xml:space="preserve">before any coverage number existed, the failures we report cannot be an artefact of</w:t>
      </w:r>
      <w:r>
        <w:t xml:space="preserve"> </w:t>
      </w:r>
      <w:r>
        <w:t xml:space="preserve">choosing the conditions that produce them, and the one class that survives covariate</w:t>
      </w:r>
      <w:r>
        <w:t xml:space="preserve"> </w:t>
      </w:r>
      <w:r>
        <w:t xml:space="preserve">shift is the class we named in advance, not one selected after the fact. This methodology</w:t>
      </w:r>
      <w:r>
        <w:t xml:space="preserve"> </w:t>
      </w:r>
      <w:r>
        <w:t xml:space="preserve">follows the spirit of temporally and spatially honest evaluation in security machine</w:t>
      </w:r>
      <w:r>
        <w:t xml:space="preserve"> </w:t>
      </w:r>
      <w:r>
        <w:t xml:space="preserve">learning (Pendlebury et al., 2019).</w:t>
      </w:r>
    </w:p>
    <w:p>
      <w:pPr>
        <w:pStyle w:val="BodyText"/>
      </w:pPr>
      <w:r>
        <w:t xml:space="preserve">We find that the deployable protocol does not merely fall short of its nominal level but falls below the band the exchangeability guarantee would imply, on every feasible class of the environments in which it fails, and that the outcome is governed by the movement of each class’s score distribution rather than by the taxonomic category of the shift. The contributions of this paper are: (i) a preregistered, four-dataset, per-class diagnosis establishing that deployable conformal intrusion detection violates its finite-sample coverage guarantee under distribution shift, validated against negative controls and reported as the magnitude of that violation rather than as a shortfall against a target; (ii) a placebo experiment that separates subtype novelty from score position by construction, showing that composition among already-seen subtypes moves coverage 2.6 times more than novelty does at zero support shift; (iii) the discovery, tested rather than observed, that covariate-shift failure is selective, and the complementary finding that support shift on modern IoT traffic produces no failure at all, so that neither aggregate shift measure predicts the outcome; (iv) a mechanistic</w:t>
      </w:r>
      <w:r>
        <w:t xml:space="preserve"> </w:t>
      </w:r>
      <w:r>
        <w:t xml:space="preserve">explanation of the failures through nonconformity-score-distribution movement; (v) a label-free coverage-failure monitor, deployable in the sense that it ranks only classes the operator observes, with consistent per-environment performance and an explicitly demonstrated boundary; and (vi) an open release of all data pipelines, calibrated</w:t>
      </w:r>
      <w:r>
        <w:t xml:space="preserve"> </w:t>
      </w:r>
      <w:r>
        <w:t xml:space="preserve">models, coverage tables, figures and the</w:t>
      </w:r>
      <w:r>
        <w:t xml:space="preserve"> </w:t>
      </w:r>
      <w:r>
        <w:t xml:space="preserve">preregistration, with deterministic seeds and partition fingerprints for independent</w:t>
      </w:r>
      <w:r>
        <w:t xml:space="preserve"> </w:t>
      </w:r>
      <w:r>
        <w:t xml:space="preserve">verification.</w:t>
      </w:r>
    </w:p>
    <w:p>
      <w:pPr>
        <w:pStyle w:val="BodyText"/>
      </w:pPr>
      <w:r>
        <w:t xml:space="preserve">Section 2 positions the contribution, Section 3 describes the datasets, Section 4 the</w:t>
      </w:r>
      <w:r>
        <w:t xml:space="preserve"> </w:t>
      </w:r>
      <w:r>
        <w:t xml:space="preserve">methodology, and Section 5 the results, with the discussion, limitations, future work and</w:t>
      </w:r>
      <w:r>
        <w:t xml:space="preserve"> </w:t>
      </w:r>
      <w:r>
        <w:t xml:space="preserve">conclusion following. Figure 1 gives an overview of the study design.</w:t>
      </w:r>
    </w:p>
    <w:p>
      <w:pPr>
        <w:pStyle w:val="CaptionedFigure"/>
      </w:pPr>
      <w:r>
        <w:drawing>
          <wp:inline>
            <wp:extent cx="5334000" cy="2979772"/>
            <wp:effectExtent b="0" l="0" r="0" t="0"/>
            <wp:docPr descr="Figure 1. Overview of the study. The labelled source is partitioned to train the classifier f, tune it, fit the isotonic calibrator g, and form the source calibration pool. The three conformal calibration protocols differ only in the data that forms the class-conditional quantile: REC on the evaluation set (a transductive oracle), TSC on a labelled target sample (not deployable), and SHC on the source pool (the only deployable protocol). Under distribution shift between source and target, SHC undercovers on the focal class while TSC and REC hold. The label-free monitor compares the predicted-class score distribution on target versus source, requiring no target labels, and flags the classes whose coverage will fail; it catches displacement-type drift but is blind to similarity-type drift, where a novel class is confidently misrouted." title="" id="22" name="Picture"/>
            <a:graphic>
              <a:graphicData uri="http://schemas.openxmlformats.org/drawingml/2006/picture">
                <pic:pic>
                  <pic:nvPicPr>
                    <pic:cNvPr descr="figure1_overview.png" id="23" name="Picture"/>
                    <pic:cNvPicPr>
                      <a:picLocks noChangeArrowheads="1" noChangeAspect="1"/>
                    </pic:cNvPicPr>
                  </pic:nvPicPr>
                  <pic:blipFill>
                    <a:blip r:embed="rId21"/>
                    <a:stretch>
                      <a:fillRect/>
                    </a:stretch>
                  </pic:blipFill>
                  <pic:spPr bwMode="auto">
                    <a:xfrm>
                      <a:off x="0" y="0"/>
                      <a:ext cx="5334000" cy="29797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Overview of the study. The labelled source is partitioned to train the classifier f, tune it, fit the isotonic calibrator g, and form the source calibration pool. The three conformal calibration protocols differ only in the data that forms the class-conditional quantile: REC on the evaluation set (a transductive oracle), TSC on a labelled target sample (not deployable), and SHC on the source pool (the only deployable protocol). Under distribution shift between source and target, SHC undercovers on the focal class while TSC and REC hold. The label-free monitor compares the predicted-class score distribution on target versus source, requiring no target labels, and flags the classes whose coverage will fail; it catches displacement-type drift but is blind to similarity-type drift, where a novel class is confidently misrouted.</w:t>
      </w:r>
    </w:p>
    <w:bookmarkEnd w:id="24"/>
    <w:bookmarkStart w:id="25" w:name="related-work"/>
    <w:p>
      <w:pPr>
        <w:pStyle w:val="Heading1"/>
      </w:pPr>
      <w:r>
        <w:t xml:space="preserve">2. Related work</w:t>
      </w:r>
    </w:p>
    <w:p>
      <w:pPr>
        <w:pStyle w:val="FirstParagraph"/>
      </w:pPr>
      <w:r>
        <w:rPr>
          <w:bCs/>
          <w:b/>
        </w:rPr>
        <w:t xml:space="preserve">Conformal prediction.</w:t>
      </w:r>
      <w:r>
        <w:t xml:space="preserve"> </w:t>
      </w:r>
      <w:r>
        <w:t xml:space="preserve">Conformal prediction produces set-valued predictions with</w:t>
      </w:r>
      <w:r>
        <w:t xml:space="preserve"> </w:t>
      </w:r>
      <w:r>
        <w:t xml:space="preserve">distribution-free, finite-sample coverage under exchangeability (Vovk et al., 2005; Shafer and Vovk, 2008), and</w:t>
      </w:r>
      <w:r>
        <w:t xml:space="preserve"> </w:t>
      </w:r>
      <w:r>
        <w:t xml:space="preserve">recent expositions have made it broadly accessible (Angelopoulos and Bates, 2023). For</w:t>
      </w:r>
      <w:r>
        <w:t xml:space="preserve"> </w:t>
      </w:r>
      <w:r>
        <w:t xml:space="preserve">classification, the adaptive prediction set (APS) score yields sets whose size adapts to</w:t>
      </w:r>
      <w:r>
        <w:t xml:space="preserve"> </w:t>
      </w:r>
      <w:r>
        <w:t xml:space="preserve">instance difficulty and improves conditional coverage (Romano et al., 2020), and class-conditional</w:t>
      </w:r>
      <w:r>
        <w:t xml:space="preserve"> </w:t>
      </w:r>
      <w:r>
        <w:t xml:space="preserve">or Mondrian conditioning provides per-class guarantees (Sadinle et al., 2019; Vovk et al., 2005), which matter in</w:t>
      </w:r>
      <w:r>
        <w:t xml:space="preserve"> </w:t>
      </w:r>
      <w:r>
        <w:t xml:space="preserve">intrusion detection because a marginal guarantee can be satisfied while a rare attack</w:t>
      </w:r>
      <w:r>
        <w:t xml:space="preserve"> </w:t>
      </w:r>
      <w:r>
        <w:t xml:space="preserve">class is badly undercovered. Our study takes APS with Mondrian conditioning as its</w:t>
      </w:r>
      <w:r>
        <w:t xml:space="preserve"> </w:t>
      </w:r>
      <w:r>
        <w:t xml:space="preserve">instrument and asks what happens to the per-class guarantee when exchangeability fails.</w:t>
      </w:r>
    </w:p>
    <w:p>
      <w:pPr>
        <w:pStyle w:val="BodyText"/>
      </w:pPr>
      <w:r>
        <w:rPr>
          <w:bCs/>
          <w:b/>
        </w:rPr>
        <w:t xml:space="preserve">Conformal prediction under distribution shift.</w:t>
      </w:r>
      <w:r>
        <w:t xml:space="preserve"> </w:t>
      </w:r>
      <w:r>
        <w:t xml:space="preserve">The exchangeability assumption has</w:t>
      </w:r>
      <w:r>
        <w:t xml:space="preserve"> </w:t>
      </w:r>
      <w:r>
        <w:t xml:space="preserve">been relaxed along several lines. Weighted conformal prediction restores validity under</w:t>
      </w:r>
      <w:r>
        <w:t xml:space="preserve"> </w:t>
      </w:r>
      <w:r>
        <w:t xml:space="preserve">covariate shift when the source-to-target likelihood ratio is known or can be estimated</w:t>
      </w:r>
      <w:r>
        <w:t xml:space="preserve"> </w:t>
      </w:r>
      <w:r>
        <w:t xml:space="preserve">(Tibshirani et al., 2019). Adaptive conformal inference maintains coverage online by adjusting the</w:t>
      </w:r>
      <w:r>
        <w:t xml:space="preserve"> </w:t>
      </w:r>
      <w:r>
        <w:t xml:space="preserve">level against labelled feedback (Gibbs and Candès, 2021), and more recent analysis characterises</w:t>
      </w:r>
      <w:r>
        <w:t xml:space="preserve"> </w:t>
      </w:r>
      <w:r>
        <w:t xml:space="preserve">conformal behaviour beyond exchangeability in general (Barber et al., 2023). These methods are</w:t>
      </w:r>
      <w:r>
        <w:t xml:space="preserve"> </w:t>
      </w:r>
      <w:r>
        <w:t xml:space="preserve">powerful where their assumptions hold, but they assume either an estimable density ratio</w:t>
      </w:r>
      <w:r>
        <w:t xml:space="preserve"> </w:t>
      </w:r>
      <w:r>
        <w:t xml:space="preserve">over a fixed support or a stream of target labels to adapt against. Network intrusion</w:t>
      </w:r>
      <w:r>
        <w:t xml:space="preserve"> </w:t>
      </w:r>
      <w:r>
        <w:t xml:space="preserve">detection violates both: novel attack subtypes change the support of the distribution,</w:t>
      </w:r>
      <w:r>
        <w:t xml:space="preserve"> </w:t>
      </w:r>
      <w:r>
        <w:t xml:space="preserve">and operational deployment provides no target labels. Our contribution is orthogonal and</w:t>
      </w:r>
      <w:r>
        <w:t xml:space="preserve"> </w:t>
      </w:r>
      <w:r>
        <w:t xml:space="preserve">prior to method design: we diagnose, under these realistic conditions, when and why the</w:t>
      </w:r>
      <w:r>
        <w:t xml:space="preserve"> </w:t>
      </w:r>
      <w:r>
        <w:t xml:space="preserve">deployable protocol fails, and we show that whether a restoration method such as weighted</w:t>
      </w:r>
      <w:r>
        <w:t xml:space="preserve"> </w:t>
      </w:r>
      <w:r>
        <w:t xml:space="preserve">conformal prediction could help is itself governed by the support-versus-covariate</w:t>
      </w:r>
      <w:r>
        <w:t xml:space="preserve"> </w:t>
      </w:r>
      <w:r>
        <w:t xml:space="preserve">distinction we draw.</w:t>
      </w:r>
    </w:p>
    <w:p>
      <w:pPr>
        <w:pStyle w:val="BodyText"/>
      </w:pPr>
      <w:r>
        <w:rPr>
          <w:bCs/>
          <w:b/>
        </w:rPr>
        <w:t xml:space="preserve">Drift and unreliability detection.</w:t>
      </w:r>
      <w:r>
        <w:t xml:space="preserve"> </w:t>
      </w:r>
      <w:r>
        <w:t xml:space="preserve">A separate literature detects distribution or risk</w:t>
      </w:r>
      <w:r>
        <w:t xml:space="preserve"> </w:t>
      </w:r>
      <w:r>
        <w:t xml:space="preserve">shift after deployment. Online exchangeability testing via test martingales flags when</w:t>
      </w:r>
      <w:r>
        <w:t xml:space="preserve"> </w:t>
      </w:r>
      <w:r>
        <w:t xml:space="preserve">the exchangeability assumption is violated (Vovk et al., 2003); risk-tracking methods detect</w:t>
      </w:r>
      <w:r>
        <w:t xml:space="preserve"> </w:t>
      </w:r>
      <w:r>
        <w:t xml:space="preserve">harmful shifts in a deployed model’s error (Podkopaev and Ramdas, 2022); and recent work develops</w:t>
      </w:r>
      <w:r>
        <w:t xml:space="preserve"> </w:t>
      </w:r>
      <w:r>
        <w:t xml:space="preserve">signals for when individual predictions become unreliable under shift. These approaches</w:t>
      </w:r>
      <w:r>
        <w:t xml:space="preserve"> </w:t>
      </w:r>
      <w:r>
        <w:t xml:space="preserve">typically operate at the level of the overall distribution or risk, and several rely on</w:t>
      </w:r>
      <w:r>
        <w:t xml:space="preserve"> </w:t>
      </w:r>
      <w:r>
        <w:t xml:space="preserve">labels or on aggregate signals. We differ in three respects that we state plainly so as</w:t>
      </w:r>
      <w:r>
        <w:t xml:space="preserve"> </w:t>
      </w:r>
      <w:r>
        <w:t xml:space="preserve">not to overclaim. Our monitor is tied specifically to conformal coverage failure rather</w:t>
      </w:r>
      <w:r>
        <w:t xml:space="preserve"> </w:t>
      </w:r>
      <w:r>
        <w:t xml:space="preserve">than to distribution change in general; it is per class and fully label-free, using only</w:t>
      </w:r>
      <w:r>
        <w:t xml:space="preserve"> </w:t>
      </w:r>
      <w:r>
        <w:t xml:space="preserve">the classifier’s own outputs on incoming traffic; and, most importantly, we do not claim</w:t>
      </w:r>
      <w:r>
        <w:t xml:space="preserve"> </w:t>
      </w:r>
      <w:r>
        <w:t xml:space="preserve">a universally reliable signal but instead establish and demonstrate its boundary,</w:t>
      </w:r>
      <w:r>
        <w:t xml:space="preserve"> </w:t>
      </w:r>
      <w:r>
        <w:t xml:space="preserve">identifying the similarity-type regime in which no predicted-class signal can see the</w:t>
      </w:r>
      <w:r>
        <w:t xml:space="preserve"> </w:t>
      </w:r>
      <w:r>
        <w:t xml:space="preserve">failure. The general observation that model reliability can be tracked under shift is</w:t>
      </w:r>
      <w:r>
        <w:t xml:space="preserve"> </w:t>
      </w:r>
      <w:r>
        <w:t xml:space="preserve">therefore partly anticipated by this literature; our specific and, we argue, more useful</w:t>
      </w:r>
      <w:r>
        <w:t xml:space="preserve"> </w:t>
      </w:r>
      <w:r>
        <w:t xml:space="preserve">contribution is the per-class score-movement mechanism, the label-free predicted-class-</w:t>
      </w:r>
      <w:r>
        <w:t xml:space="preserve"> </w:t>
      </w:r>
      <w:r>
        <w:t xml:space="preserve">drift monitor derived from it, and the honest characterisation of where that monitor is</w:t>
      </w:r>
      <w:r>
        <w:t xml:space="preserve"> </w:t>
      </w:r>
      <w:r>
        <w:t xml:space="preserve">blind.</w:t>
      </w:r>
    </w:p>
    <w:p>
      <w:pPr>
        <w:pStyle w:val="BodyText"/>
      </w:pPr>
      <w:r>
        <w:rPr>
          <w:bCs/>
          <w:b/>
        </w:rPr>
        <w:t xml:space="preserve">Calibration and uncertainty.</w:t>
      </w:r>
      <w:r>
        <w:t xml:space="preserve"> </w:t>
      </w:r>
      <w:r>
        <w:t xml:space="preserve">Probability calibration underlies any score-based trust</w:t>
      </w:r>
      <w:r>
        <w:t xml:space="preserve"> </w:t>
      </w:r>
      <w:r>
        <w:t xml:space="preserve">layer. Modern classifiers are often miscalibrated (Guo et al., 2017), and isotonic regression provides</w:t>
      </w:r>
      <w:r>
        <w:t xml:space="preserve"> </w:t>
      </w:r>
      <w:r>
        <w:t xml:space="preserve">a nonparametric remedy (Zadrozny and Elkan, 2002). Calibration is assessed by the Brier score</w:t>
      </w:r>
      <w:r>
        <w:t xml:space="preserve"> </w:t>
      </w:r>
      <w:r>
        <w:t xml:space="preserve">(Brier, 1950) and the expected calibration error (Naeini et al., 2015), the latter sensitive to binning,</w:t>
      </w:r>
      <w:r>
        <w:t xml:space="preserve"> </w:t>
      </w:r>
      <w:r>
        <w:t xml:space="preserve">for which equal-mass schemes reduce bias (Roelofs et al., 2022). We calibrate by one-vs-rest isotonic</w:t>
      </w:r>
      <w:r>
        <w:t xml:space="preserve"> </w:t>
      </w:r>
      <w:r>
        <w:t xml:space="preserve">regression and verify, on held-out in-distribution source data, that the probabilities</w:t>
      </w:r>
      <w:r>
        <w:t xml:space="preserve"> </w:t>
      </w:r>
      <w:r>
        <w:t xml:space="preserve">feeding the conformal layer are well calibrated, so that the coverage failures we report</w:t>
      </w:r>
      <w:r>
        <w:t xml:space="preserve"> </w:t>
      </w:r>
      <w:r>
        <w:t xml:space="preserve">cannot be attributed to base miscalibration.</w:t>
      </w:r>
    </w:p>
    <w:p>
      <w:pPr>
        <w:pStyle w:val="BodyText"/>
      </w:pPr>
      <w:r>
        <w:rPr>
          <w:bCs/>
          <w:b/>
        </w:rPr>
        <w:t xml:space="preserve">Machine learning for intrusion detection and its evaluation.</w:t>
      </w:r>
      <w:r>
        <w:t xml:space="preserve"> </w:t>
      </w:r>
      <w:r>
        <w:t xml:space="preserve">Learned intrusion</w:t>
      </w:r>
      <w:r>
        <w:t xml:space="preserve"> </w:t>
      </w:r>
      <w:r>
        <w:t xml:space="preserve">detectors are commonly benchmarked on NSL-KDD (Tavallaee et al., 2009), CIC-IDS2017 (Sharafaldin et al., 2018) and</w:t>
      </w:r>
      <w:r>
        <w:t xml:space="preserve"> </w:t>
      </w:r>
      <w:r>
        <w:t xml:space="preserve">UGR’16 (Maciá-Fernández et al., 2018), and the community has documented how evaluation can be misled, both by</w:t>
      </w:r>
      <w:r>
        <w:t xml:space="preserve"> </w:t>
      </w:r>
      <w:r>
        <w:t xml:space="preserve">labelling and construction errors in the datasets themselves (Engelen et al., 2021; Liu et al., 2022) and by</w:t>
      </w:r>
      <w:r>
        <w:t xml:space="preserve"> </w:t>
      </w:r>
      <w:r>
        <w:t xml:space="preserve">temporal and spatial bias in experimental design (Pendlebury et al., 2019). Our work inherits this</w:t>
      </w:r>
      <w:r>
        <w:t xml:space="preserve"> </w:t>
      </w:r>
      <w:r>
        <w:t xml:space="preserve">critical posture: we adopt corrected labels where available, audit feature separability</w:t>
      </w:r>
      <w:r>
        <w:t xml:space="preserve"> </w:t>
      </w:r>
      <w:r>
        <w:t xml:space="preserve">to rule out trivial leakage, construct shift explicitly and measure it, and preregister</w:t>
      </w:r>
      <w:r>
        <w:t xml:space="preserve"> </w:t>
      </w:r>
      <w:r>
        <w:t xml:space="preserve">the analysis. To our knowledge, no prior study offers a preregistered, cross-dataset,</w:t>
      </w:r>
      <w:r>
        <w:t xml:space="preserve"> </w:t>
      </w:r>
      <w:r>
        <w:t xml:space="preserve">per-class account of whether deployable conformal intrusion detection retains coverage</w:t>
      </w:r>
      <w:r>
        <w:t xml:space="preserve"> </w:t>
      </w:r>
      <w:r>
        <w:t xml:space="preserve">under distribution shift, together with a label-free monitor for its failures and an</w:t>
      </w:r>
      <w:r>
        <w:t xml:space="preserve"> </w:t>
      </w:r>
      <w:r>
        <w:t xml:space="preserve">explicit characterisation of that monitor’s boundary. That is the gap this paper fills.</w:t>
      </w:r>
    </w:p>
    <w:bookmarkEnd w:id="25"/>
    <w:bookmarkStart w:id="31" w:name="datasets-and-preparation"/>
    <w:p>
      <w:pPr>
        <w:pStyle w:val="Heading1"/>
      </w:pPr>
      <w:r>
        <w:t xml:space="preserve">3. Datasets and preparation</w:t>
      </w:r>
    </w:p>
    <w:p>
      <w:pPr>
        <w:pStyle w:val="FirstParagraph"/>
      </w:pPr>
      <w:r>
        <w:t xml:space="preserve">We evaluate the trust layer of conformal intrusion detection on four network intrusion</w:t>
      </w:r>
      <w:r>
        <w:t xml:space="preserve"> </w:t>
      </w:r>
      <w:r>
        <w:t xml:space="preserve">detection datasets, each chosen to isolate a distinct form of distribution shift between the</w:t>
      </w:r>
      <w:r>
        <w:t xml:space="preserve"> </w:t>
      </w:r>
      <w:r>
        <w:t xml:space="preserve">data on which a detector is calibrated and the data on which it is deployed. NSL-KDD (Tavallaee et al., 2009) and CIC-IDS2017 (Sharafaldin et al., 2018) exercise</w:t>
      </w:r>
      <w:r>
        <w:t xml:space="preserve"> </w:t>
      </w:r>
      <w:r>
        <w:rPr>
          <w:iCs/>
          <w:i/>
        </w:rPr>
        <w:t xml:space="preserve">support shift</w:t>
      </w:r>
      <w:r>
        <w:t xml:space="preserve">, in</w:t>
      </w:r>
      <w:r>
        <w:t xml:space="preserve"> </w:t>
      </w:r>
      <w:r>
        <w:t xml:space="preserve">which the target contains attack behaviour whose fine-grained subtypes were unseen</w:t>
      </w:r>
      <w:r>
        <w:t xml:space="preserve"> </w:t>
      </w:r>
      <w:r>
        <w:t xml:space="preserve">during calibration; UGR’16 (Maciá-Fernández et al., 2018) exercises</w:t>
      </w:r>
      <w:r>
        <w:t xml:space="preserve"> </w:t>
      </w:r>
      <w:r>
        <w:rPr>
          <w:iCs/>
          <w:i/>
        </w:rPr>
        <w:t xml:space="preserve">temporal feature drift at fixed broad-class</w:t>
      </w:r>
      <w:r>
        <w:rPr>
          <w:iCs/>
          <w:i/>
        </w:rPr>
        <w:t xml:space="preserve"> </w:t>
      </w:r>
      <w:r>
        <w:rPr>
          <w:iCs/>
          <w:i/>
        </w:rPr>
        <w:t xml:space="preserve">support</w:t>
      </w:r>
      <w:r>
        <w:t xml:space="preserve">: the same attack families are present in source and target at equal sampled counts</w:t>
      </w:r>
      <w:r>
        <w:t xml:space="preserve"> </w:t>
      </w:r>
      <w:r>
        <w:t xml:space="preserve">and their feature distributions differ across a one-month gap. The data do not establish that</w:t>
      </w:r>
      <w:r>
        <w:t xml:space="preserve"> </w:t>
      </w:r>
      <w:r>
        <w:t xml:space="preserve">the conditional law P(Y | X) is invariant across the two weeks, and the provenance caveats in</w:t>
      </w:r>
      <w:r>
        <w:t xml:space="preserve"> </w:t>
      </w:r>
      <w:r>
        <w:t xml:space="preserve">Section 3.3 make that assumption unattractive, so no claim of covariate shift in the strict</w:t>
      </w:r>
      <w:r>
        <w:t xml:space="preserve"> </w:t>
      </w:r>
      <w:r>
        <w:t xml:space="preserve">sense is made. Table T1 summarises the four environments. All raw</w:t>
      </w:r>
      <w:r>
        <w:t xml:space="preserve"> </w:t>
      </w:r>
      <w:r>
        <w:t xml:space="preserve">sources, cleaned artefacts, partition indices and derived tables are version</w:t>
      </w:r>
      <w:r>
        <w:t xml:space="preserve"> </w:t>
      </w:r>
      <w:r>
        <w:t xml:space="preserve">controlled, and every partition is fingerprinted with a SHA-256 hash so that it can be</w:t>
      </w:r>
      <w:r>
        <w:t xml:space="preserve"> </w:t>
      </w:r>
      <w:r>
        <w:t xml:space="preserve">verified without access to the underlying data.</w:t>
      </w:r>
    </w:p>
    <w:p>
      <w:pPr>
        <w:pStyle w:val="BodyText"/>
      </w:pPr>
      <w:r>
        <w:rPr>
          <w:bCs/>
          <w:b/>
        </w:rPr>
        <w:t xml:space="preserve">Table T1. Study environments.</w:t>
      </w:r>
      <w:r>
        <w:t xml:space="preserve"> </w:t>
      </w:r>
      <w:r>
        <w:t xml:space="preserve">Source and target, shift type, measured shift covariates at</w:t>
      </w:r>
      <w:r>
        <w:t xml:space="preserve"> </w:t>
      </w:r>
      <w:r>
        <w:t xml:space="preserve">the primary configuration, and the preregistered focal class. S_cov is an aggregate</w:t>
      </w:r>
      <w:r>
        <w:t xml:space="preserve"> </w:t>
      </w:r>
      <w:r>
        <w:t xml:space="preserve">domain-classifier statistic over all classes; S_sup,c is class-conditional on the focal class.</w:t>
      </w:r>
      <w:r>
        <w:t xml:space="preserve"> </w:t>
      </w:r>
      <w:r>
        <w:t xml:space="preserve">Section 5.9 shows why an aggregate covariate statistic cannot predict class-conditional</w:t>
      </w:r>
      <w:r>
        <w:t xml:space="preserve"> </w:t>
      </w:r>
      <w:r>
        <w:t xml:space="preserve">outcomes, and the same caution applies to comparing S_cov across rows.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Source → target</w:t>
            </w:r>
          </w:p>
        </w:tc>
        <w:tc>
          <w:tcPr/>
          <w:p>
            <w:pPr>
              <w:pStyle w:val="Compact"/>
              <w:jc w:val="left"/>
            </w:pPr>
            <w:r>
              <w:t xml:space="preserve">Shift type</w:t>
            </w:r>
          </w:p>
        </w:tc>
        <w:tc>
          <w:tcPr/>
          <w:p>
            <w:pPr>
              <w:pStyle w:val="Compact"/>
              <w:jc w:val="left"/>
            </w:pPr>
            <w:r>
              <w:t xml:space="preserve">S_cov</w:t>
            </w:r>
          </w:p>
        </w:tc>
        <w:tc>
          <w:tcPr/>
          <w:p>
            <w:pPr>
              <w:pStyle w:val="Compact"/>
              <w:jc w:val="left"/>
            </w:pPr>
            <w:r>
              <w:t xml:space="preserve">S_lab</w:t>
            </w:r>
          </w:p>
        </w:tc>
        <w:tc>
          <w:tcPr/>
          <w:p>
            <w:pPr>
              <w:pStyle w:val="Compact"/>
              <w:jc w:val="left"/>
            </w:pPr>
            <w:r>
              <w:t xml:space="preserve">S_sup,c (focal)</w:t>
            </w:r>
          </w:p>
        </w:tc>
        <w:tc>
          <w:tcPr/>
          <w:p>
            <w:pPr>
              <w:pStyle w:val="Compact"/>
              <w:jc w:val="left"/>
            </w:pPr>
            <w:r>
              <w:t xml:space="preserve">Focal</w:t>
            </w:r>
          </w:p>
        </w:tc>
      </w:tr>
      <w:tr>
        <w:tc>
          <w:tcPr/>
          <w:p>
            <w:pPr>
              <w:pStyle w:val="Compact"/>
              <w:jc w:val="left"/>
            </w:pPr>
            <w:r>
              <w:t xml:space="preserve">NSL-KDD</w:t>
            </w:r>
          </w:p>
        </w:tc>
        <w:tc>
          <w:tcPr/>
          <w:p>
            <w:pPr>
              <w:pStyle w:val="Compact"/>
              <w:jc w:val="left"/>
            </w:pPr>
            <w:r>
              <w:t xml:space="preserve">KDDTrain+ → KDDTest+, 5-rung unseen-subtype ladder</w:t>
            </w:r>
          </w:p>
        </w:tc>
        <w:tc>
          <w:tcPr/>
          <w:p>
            <w:pPr>
              <w:pStyle w:val="Compact"/>
              <w:jc w:val="left"/>
            </w:pPr>
            <w:r>
              <w:t xml:space="preserve">covariate + support</w:t>
            </w:r>
          </w:p>
        </w:tc>
        <w:tc>
          <w:tcPr/>
          <w:p>
            <w:pPr>
              <w:pStyle w:val="Compact"/>
              <w:jc w:val="left"/>
            </w:pPr>
            <w:r>
              <w:t xml:space="preserve">0.84–0.90</w:t>
            </w:r>
          </w:p>
        </w:tc>
        <w:tc>
          <w:tcPr/>
          <w:p>
            <w:pPr>
              <w:pStyle w:val="Compact"/>
              <w:jc w:val="left"/>
            </w:pPr>
            <w:r>
              <w:t xml:space="preserve">~0.14</w:t>
            </w:r>
          </w:p>
        </w:tc>
        <w:tc>
          <w:tcPr/>
          <w:p>
            <w:pPr>
              <w:pStyle w:val="Compact"/>
              <w:jc w:val="left"/>
            </w:pPr>
            <w:r>
              <w:t xml:space="preserve">0.00–0.46</w:t>
            </w:r>
          </w:p>
        </w:tc>
        <w:tc>
          <w:tcPr/>
          <w:p>
            <w:pPr>
              <w:pStyle w:val="Compact"/>
              <w:jc w:val="left"/>
            </w:pPr>
            <w:r>
              <w:t xml:space="preserve">R2L</w:t>
            </w:r>
          </w:p>
        </w:tc>
      </w:tr>
      <w:tr>
        <w:tc>
          <w:tcPr/>
          <w:p>
            <w:pPr>
              <w:pStyle w:val="Compact"/>
              <w:jc w:val="left"/>
            </w:pPr>
            <w:r>
              <w:t xml:space="preserve">CIC-IDS2017</w:t>
            </w:r>
          </w:p>
        </w:tc>
        <w:tc>
          <w:tcPr/>
          <w:p>
            <w:pPr>
              <w:pStyle w:val="Compact"/>
              <w:jc w:val="left"/>
            </w:pPr>
            <w:r>
              <w:t xml:space="preserve">Wednesday DoS, 5 variant-holdout realisations</w:t>
            </w:r>
          </w:p>
        </w:tc>
        <w:tc>
          <w:tcPr/>
          <w:p>
            <w:pPr>
              <w:pStyle w:val="Compact"/>
              <w:jc w:val="left"/>
            </w:pPr>
            <w:r>
              <w:t xml:space="preserve">support (+prior)</w:t>
            </w:r>
          </w:p>
        </w:tc>
        <w:tc>
          <w:tcPr/>
          <w:p>
            <w:pPr>
              <w:pStyle w:val="Compact"/>
              <w:jc w:val="left"/>
            </w:pPr>
            <w:r>
              <w:t xml:space="preserve">0.76–0.77</w:t>
            </w:r>
          </w:p>
        </w:tc>
        <w:tc>
          <w:tcPr/>
          <w:p>
            <w:pPr>
              <w:pStyle w:val="Compact"/>
              <w:jc w:val="left"/>
            </w:pPr>
            <w:r>
              <w:t xml:space="preserve">0.44–0.52</w:t>
            </w:r>
          </w:p>
        </w:tc>
        <w:tc>
          <w:tcPr/>
          <w:p>
            <w:pPr>
              <w:pStyle w:val="Compact"/>
              <w:jc w:val="left"/>
            </w:pPr>
            <w:r>
              <w:t xml:space="preserve">0.01–0.07</w:t>
            </w:r>
          </w:p>
        </w:tc>
        <w:tc>
          <w:tcPr/>
          <w:p>
            <w:pPr>
              <w:pStyle w:val="Compact"/>
              <w:jc w:val="left"/>
            </w:pPr>
            <w:r>
              <w:t xml:space="preserve">DoS</w:t>
            </w:r>
          </w:p>
        </w:tc>
      </w:tr>
      <w:tr>
        <w:tc>
          <w:tcPr/>
          <w:p>
            <w:pPr>
              <w:pStyle w:val="Compact"/>
              <w:jc w:val="left"/>
            </w:pPr>
            <w:r>
              <w:t xml:space="preserve">UGR’16</w:t>
            </w:r>
          </w:p>
        </w:tc>
        <w:tc>
          <w:tcPr/>
          <w:p>
            <w:pPr>
              <w:pStyle w:val="Compact"/>
              <w:jc w:val="left"/>
            </w:pPr>
            <w:r>
              <w:t xml:space="preserve">July week 5 → August week 1</w:t>
            </w:r>
          </w:p>
        </w:tc>
        <w:tc>
          <w:tcPr/>
          <w:p>
            <w:pPr>
              <w:pStyle w:val="Compact"/>
              <w:jc w:val="left"/>
            </w:pPr>
            <w:r>
              <w:t xml:space="preserve">temporal feature drift, fixed support</w:t>
            </w:r>
          </w:p>
        </w:tc>
        <w:tc>
          <w:tcPr/>
          <w:p>
            <w:pPr>
              <w:pStyle w:val="Compact"/>
              <w:jc w:val="left"/>
            </w:pPr>
            <w:r>
              <w:t xml:space="preserve">0.69</w:t>
            </w:r>
          </w:p>
        </w:tc>
        <w:tc>
          <w:tcPr/>
          <w:p>
            <w:pPr>
              <w:pStyle w:val="Compact"/>
              <w:jc w:val="left"/>
            </w:pPr>
            <w:r>
              <w:t xml:space="preserve">0.00</w:t>
            </w:r>
          </w:p>
        </w:tc>
        <w:tc>
          <w:tcPr/>
          <w:p>
            <w:pPr>
              <w:pStyle w:val="Compact"/>
              <w:jc w:val="left"/>
            </w:pPr>
            <w:r>
              <w:t xml:space="preserve">0.00</w:t>
            </w:r>
          </w:p>
        </w:tc>
        <w:tc>
          <w:tcPr/>
          <w:p>
            <w:pPr>
              <w:pStyle w:val="Compact"/>
              <w:jc w:val="left"/>
            </w:pPr>
            <w:r>
              <w:t xml:space="preserve">nerisbotnet</w:t>
            </w:r>
          </w:p>
        </w:tc>
      </w:tr>
      <w:tr>
        <w:tc>
          <w:tcPr/>
          <w:p>
            <w:pPr>
              <w:pStyle w:val="Compact"/>
              <w:jc w:val="left"/>
            </w:pPr>
            <w:r>
              <w:t xml:space="preserve">CIC-IoT-2023</w:t>
            </w:r>
          </w:p>
        </w:tc>
        <w:tc>
          <w:tcPr/>
          <w:p>
            <w:pPr>
              <w:pStyle w:val="Compact"/>
              <w:jc w:val="left"/>
            </w:pPr>
            <w:r>
              <w:t xml:space="preserve">5-rung novel-subtype ladder, 2 web-attack subtypes withheld</w:t>
            </w:r>
          </w:p>
        </w:tc>
        <w:tc>
          <w:tcPr/>
          <w:p>
            <w:pPr>
              <w:pStyle w:val="Compact"/>
              <w:jc w:val="left"/>
            </w:pPr>
            <w:r>
              <w:t xml:space="preserve">support only</w:t>
            </w:r>
          </w:p>
        </w:tc>
        <w:tc>
          <w:tcPr/>
          <w:p>
            <w:pPr>
              <w:pStyle w:val="Compact"/>
              <w:jc w:val="left"/>
            </w:pPr>
            <w:r>
              <w:t xml:space="preserve">0.50 (null)</w:t>
            </w:r>
          </w:p>
        </w:tc>
        <w:tc>
          <w:tcPr/>
          <w:p>
            <w:pPr>
              <w:pStyle w:val="Compact"/>
              <w:jc w:val="left"/>
            </w:pPr>
            <w:r>
              <w:t xml:space="preserve">~0.01</w:t>
            </w:r>
          </w:p>
        </w:tc>
        <w:tc>
          <w:tcPr/>
          <w:p>
            <w:pPr>
              <w:pStyle w:val="Compact"/>
              <w:jc w:val="left"/>
            </w:pPr>
            <w:r>
              <w:t xml:space="preserve">0.00–0.80</w:t>
            </w:r>
          </w:p>
        </w:tc>
        <w:tc>
          <w:tcPr/>
          <w:p>
            <w:pPr>
              <w:pStyle w:val="Compact"/>
              <w:jc w:val="left"/>
            </w:pPr>
            <w:r>
              <w:t xml:space="preserve">Web</w:t>
            </w:r>
          </w:p>
        </w:tc>
      </w:tr>
    </w:tbl>
    <w:bookmarkStart w:id="26" w:name="nsl-kdd"/>
    <w:p>
      <w:pPr>
        <w:pStyle w:val="Heading2"/>
      </w:pPr>
      <w:r>
        <w:t xml:space="preserve">3.1 NSL-KDD</w:t>
      </w:r>
    </w:p>
    <w:p>
      <w:pPr>
        <w:pStyle w:val="FirstParagraph"/>
      </w:pPr>
      <w:r>
        <w:t xml:space="preserve">NSL-KDD is used with its canonical split: KDDTrain+ (125,973 flows) as the source and</w:t>
      </w:r>
      <w:r>
        <w:t xml:space="preserve"> </w:t>
      </w:r>
      <w:r>
        <w:t xml:space="preserve">KDDTest+ (22,544 flows) as the target, with flows grouped into the five standard</w:t>
      </w:r>
      <w:r>
        <w:t xml:space="preserve"> </w:t>
      </w:r>
      <w:r>
        <w:t xml:space="preserve">classes Normal, DoS, Probe, R2L and U2R. The finer attack subtype label is retained</w:t>
      </w:r>
      <w:r>
        <w:t xml:space="preserve"> </w:t>
      </w:r>
      <w:r>
        <w:t xml:space="preserve">only to construct and characterise the shift, never as a model input. KDDTest+ is well</w:t>
      </w:r>
      <w:r>
        <w:t xml:space="preserve"> </w:t>
      </w:r>
      <w:r>
        <w:t xml:space="preserve">suited to a support-shift study because it deliberately contains attack subtypes absent</w:t>
      </w:r>
      <w:r>
        <w:t xml:space="preserve"> </w:t>
      </w:r>
      <w:r>
        <w:t xml:space="preserve">from KDDTrain+.</w:t>
      </w:r>
    </w:p>
    <w:p>
      <w:pPr>
        <w:pStyle w:val="BodyText"/>
      </w:pPr>
      <w:r>
        <w:t xml:space="preserve">Support shift is introduced through a five-rung novelty ladder. At each rung a fixed</w:t>
      </w:r>
      <w:r>
        <w:t xml:space="preserve"> </w:t>
      </w:r>
      <w:r>
        <w:t xml:space="preserve">fraction f in {0.00, 0.20, 0.40, 0.60, 0.80} of each class’s evaluation quota is drawn</w:t>
      </w:r>
      <w:r>
        <w:t xml:space="preserve"> </w:t>
      </w:r>
      <w:r>
        <w:t xml:space="preserve">from subtypes unseen in the source, the remainder from seen subtypes; the evaluation</w:t>
      </w:r>
      <w:r>
        <w:t xml:space="preserve"> </w:t>
      </w:r>
      <w:r>
        <w:t xml:space="preserve">set at every rung holds 2,340 flows at the natural KDDTest+ prevalence. Twenty</w:t>
      </w:r>
      <w:r>
        <w:t xml:space="preserve"> </w:t>
      </w:r>
      <w:r>
        <w:t xml:space="preserve">realisations are drawn per rung, with the unseen subtypes selected in randomised order</w:t>
      </w:r>
      <w:r>
        <w:t xml:space="preserve"> </w:t>
      </w:r>
      <w:r>
        <w:t xml:space="preserve">so that realisation-to-realisation variation reflects which novel subtypes enter the</w:t>
      </w:r>
      <w:r>
        <w:t xml:space="preserve"> </w:t>
      </w:r>
      <w:r>
        <w:t xml:space="preserve">evaluation set. Normal is exempt from the unseen-fraction constraint (it has no attack</w:t>
      </w:r>
      <w:r>
        <w:t xml:space="preserve"> </w:t>
      </w:r>
      <w:r>
        <w:t xml:space="preserve">subtypes) and U2R is exempt (it is too rare to satisfy the constraint at higher rungs);</w:t>
      </w:r>
      <w:r>
        <w:t xml:space="preserve"> </w:t>
      </w:r>
      <w:r>
        <w:t xml:space="preserve">both exemptions are recorded. Within each realisation the evaluation set and the</w:t>
      </w:r>
      <w:r>
        <w:t xml:space="preserve"> </w:t>
      </w:r>
      <w:r>
        <w:t xml:space="preserve">target-calibration set are drawn to have identical subtype composition, so that the</w:t>
      </w:r>
      <w:r>
        <w:t xml:space="preserve"> </w:t>
      </w:r>
      <w:r>
        <w:t xml:space="preserve">target-supervised protocol is not itself exposed to an uncontrolled shift. The focal</w:t>
      </w:r>
      <w:r>
        <w:t xml:space="preserve"> </w:t>
      </w:r>
      <w:r>
        <w:t xml:space="preserve">class is R2L, fixed before any coverage number was computed as the rarest attack class</w:t>
      </w:r>
      <w:r>
        <w:t xml:space="preserve"> </w:t>
      </w:r>
      <w:r>
        <w:t xml:space="preserve">supporting the paired target-supervised versus source-held-out contrast in the source</w:t>
      </w:r>
      <w:r>
        <w:t xml:space="preserve"> </w:t>
      </w:r>
      <w:r>
        <w:t xml:space="preserve">calibration pool at the primary miscoverage level (Table T2).</w:t>
      </w:r>
    </w:p>
    <w:p>
      <w:pPr>
        <w:pStyle w:val="BodyText"/>
      </w:pPr>
      <w:r>
        <w:rPr>
          <w:bCs/>
          <w:b/>
        </w:rPr>
        <w:t xml:space="preserve">Table T2. NSL-KDD class composition</w:t>
      </w:r>
      <w:r>
        <w:t xml:space="preserve"> </w:t>
      </w:r>
      <w:r>
        <w:t xml:space="preserve">(source KDDTrain+, target KDDTest+).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w:t>
            </w:r>
          </w:p>
        </w:tc>
        <w:tc>
          <w:tcPr/>
          <w:p>
            <w:pPr>
              <w:pStyle w:val="Compact"/>
              <w:jc w:val="left"/>
            </w:pPr>
            <w:r>
              <w:t xml:space="preserve">Source</w:t>
            </w:r>
          </w:p>
        </w:tc>
        <w:tc>
          <w:tcPr/>
          <w:p>
            <w:pPr>
              <w:pStyle w:val="Compact"/>
              <w:jc w:val="left"/>
            </w:pPr>
            <w:r>
              <w:t xml:space="preserve">Target</w:t>
            </w:r>
          </w:p>
        </w:tc>
      </w:tr>
      <w:tr>
        <w:tc>
          <w:tcPr/>
          <w:p>
            <w:pPr>
              <w:pStyle w:val="Compact"/>
              <w:jc w:val="left"/>
            </w:pPr>
            <w:r>
              <w:t xml:space="preserve">Normal</w:t>
            </w:r>
          </w:p>
        </w:tc>
        <w:tc>
          <w:tcPr/>
          <w:p>
            <w:pPr>
              <w:pStyle w:val="Compact"/>
              <w:jc w:val="left"/>
            </w:pPr>
            <w:r>
              <w:t xml:space="preserve">67,343</w:t>
            </w:r>
          </w:p>
        </w:tc>
        <w:tc>
          <w:tcPr/>
          <w:p>
            <w:pPr>
              <w:pStyle w:val="Compact"/>
              <w:jc w:val="left"/>
            </w:pPr>
            <w:r>
              <w:t xml:space="preserve">9,711</w:t>
            </w:r>
          </w:p>
        </w:tc>
      </w:tr>
      <w:tr>
        <w:tc>
          <w:tcPr/>
          <w:p>
            <w:pPr>
              <w:pStyle w:val="Compact"/>
              <w:jc w:val="left"/>
            </w:pPr>
            <w:r>
              <w:t xml:space="preserve">DoS</w:t>
            </w:r>
          </w:p>
        </w:tc>
        <w:tc>
          <w:tcPr/>
          <w:p>
            <w:pPr>
              <w:pStyle w:val="Compact"/>
              <w:jc w:val="left"/>
            </w:pPr>
            <w:r>
              <w:t xml:space="preserve">45,927</w:t>
            </w:r>
          </w:p>
        </w:tc>
        <w:tc>
          <w:tcPr/>
          <w:p>
            <w:pPr>
              <w:pStyle w:val="Compact"/>
              <w:jc w:val="left"/>
            </w:pPr>
            <w:r>
              <w:t xml:space="preserve">7,460</w:t>
            </w:r>
          </w:p>
        </w:tc>
      </w:tr>
      <w:tr>
        <w:tc>
          <w:tcPr/>
          <w:p>
            <w:pPr>
              <w:pStyle w:val="Compact"/>
              <w:jc w:val="left"/>
            </w:pPr>
            <w:r>
              <w:t xml:space="preserve">Probe</w:t>
            </w:r>
          </w:p>
        </w:tc>
        <w:tc>
          <w:tcPr/>
          <w:p>
            <w:pPr>
              <w:pStyle w:val="Compact"/>
              <w:jc w:val="left"/>
            </w:pPr>
            <w:r>
              <w:t xml:space="preserve">11,656</w:t>
            </w:r>
          </w:p>
        </w:tc>
        <w:tc>
          <w:tcPr/>
          <w:p>
            <w:pPr>
              <w:pStyle w:val="Compact"/>
              <w:jc w:val="left"/>
            </w:pPr>
            <w:r>
              <w:t xml:space="preserve">2,421</w:t>
            </w:r>
          </w:p>
        </w:tc>
      </w:tr>
      <w:tr>
        <w:tc>
          <w:tcPr/>
          <w:p>
            <w:pPr>
              <w:pStyle w:val="Compact"/>
              <w:jc w:val="left"/>
            </w:pPr>
            <w:r>
              <w:t xml:space="preserve">R2L (focal)</w:t>
            </w:r>
          </w:p>
        </w:tc>
        <w:tc>
          <w:tcPr/>
          <w:p>
            <w:pPr>
              <w:pStyle w:val="Compact"/>
              <w:jc w:val="left"/>
            </w:pPr>
            <w:r>
              <w:t xml:space="preserve">995</w:t>
            </w:r>
          </w:p>
        </w:tc>
        <w:tc>
          <w:tcPr/>
          <w:p>
            <w:pPr>
              <w:pStyle w:val="Compact"/>
              <w:jc w:val="left"/>
            </w:pPr>
            <w:r>
              <w:t xml:space="preserve">2,885</w:t>
            </w:r>
          </w:p>
        </w:tc>
      </w:tr>
      <w:tr>
        <w:tc>
          <w:tcPr/>
          <w:p>
            <w:pPr>
              <w:pStyle w:val="Compact"/>
              <w:jc w:val="left"/>
            </w:pPr>
            <w:r>
              <w:t xml:space="preserve">U2R</w:t>
            </w:r>
          </w:p>
        </w:tc>
        <w:tc>
          <w:tcPr/>
          <w:p>
            <w:pPr>
              <w:pStyle w:val="Compact"/>
              <w:jc w:val="left"/>
            </w:pPr>
            <w:r>
              <w:t xml:space="preserve">52</w:t>
            </w:r>
          </w:p>
        </w:tc>
        <w:tc>
          <w:tcPr/>
          <w:p>
            <w:pPr>
              <w:pStyle w:val="Compact"/>
              <w:jc w:val="left"/>
            </w:pPr>
            <w:r>
              <w:t xml:space="preserve">67</w:t>
            </w:r>
          </w:p>
        </w:tc>
      </w:tr>
    </w:tbl>
    <w:p>
      <w:pPr>
        <w:pStyle w:val="BodyText"/>
      </w:pPr>
      <w:r>
        <w:t xml:space="preserve">The extreme rarity of R2L and U2R in the source (995 and 52 flows) motivates the focal</w:t>
      </w:r>
      <w:r>
        <w:t xml:space="preserve"> </w:t>
      </w:r>
      <w:r>
        <w:t xml:space="preserve">choice and drives the feasibility floor on class-conditional calibration.</w:t>
      </w:r>
    </w:p>
    <w:bookmarkEnd w:id="26"/>
    <w:bookmarkStart w:id="27" w:name="cic-ids2017"/>
    <w:p>
      <w:pPr>
        <w:pStyle w:val="Heading2"/>
      </w:pPr>
      <w:r>
        <w:t xml:space="preserve">3.2 CIC-IDS2017</w:t>
      </w:r>
    </w:p>
    <w:p>
      <w:pPr>
        <w:pStyle w:val="FirstParagraph"/>
      </w:pPr>
      <w:r>
        <w:t xml:space="preserve">For CIC-IDS2017 we adopt the corrected labelling (Engelen et al., 2021) and a cleaned release as the</w:t>
      </w:r>
      <w:r>
        <w:t xml:space="preserve"> </w:t>
      </w:r>
      <w:r>
        <w:t xml:space="preserve">version of record, using the denial-of-service traffic captured on the Wednesday of the</w:t>
      </w:r>
      <w:r>
        <w:t xml:space="preserve"> </w:t>
      </w:r>
      <w:r>
        <w:t xml:space="preserve">collection week together with benign traffic; the task is binary, Benign versus DoS.</w:t>
      </w:r>
      <w:r>
        <w:t xml:space="preserve"> </w:t>
      </w:r>
      <w:r>
        <w:t xml:space="preserve">Support shift is constructed within the single day by holding out DoS variants: the</w:t>
      </w:r>
      <w:r>
        <w:t xml:space="preserve"> </w:t>
      </w:r>
      <w:r>
        <w:t xml:space="preserve">Hulk variant is always retained in calibration, and five realisations withhold</w:t>
      </w:r>
      <w:r>
        <w:t xml:space="preserve"> </w:t>
      </w:r>
      <w:r>
        <w:t xml:space="preserve">different combinations of the remaining variants (Slowhttptest; Slowloris; GoldenEye;</w:t>
      </w:r>
      <w:r>
        <w:t xml:space="preserve"> </w:t>
      </w:r>
      <w:r>
        <w:t xml:space="preserve">Slowloris with Slowhttptest; GoldenEye with Slowloris) from calibration while requiring</w:t>
      </w:r>
      <w:r>
        <w:t xml:space="preserve"> </w:t>
      </w:r>
      <w:r>
        <w:t xml:space="preserve">them at evaluation (Table T3). Because a detector that trivially separates the classes</w:t>
      </w:r>
      <w:r>
        <w:t xml:space="preserve"> </w:t>
      </w:r>
      <w:r>
        <w:t xml:space="preserve">would make</w:t>
      </w:r>
      <w:r>
        <w:t xml:space="preserve"> </w:t>
      </w:r>
      <w:r>
        <w:t xml:space="preserve">the coverage question vacuous, we audited feature separability: the most discriminative</w:t>
      </w:r>
      <w:r>
        <w:t xml:space="preserve"> </w:t>
      </w:r>
      <w:r>
        <w:t xml:space="preserve">single feature attains an area under the ROC curve of 0.984 and no feature acts as an</w:t>
      </w:r>
      <w:r>
        <w:t xml:space="preserve"> </w:t>
      </w:r>
      <w:r>
        <w:t xml:space="preserve">identifier, so the near-perfect classifier accuracy on this task is genuine rather than</w:t>
      </w:r>
      <w:r>
        <w:t xml:space="preserve"> </w:t>
      </w:r>
      <w:r>
        <w:t xml:space="preserve">a consequence of label leakage. The focal class is DoS.</w:t>
      </w:r>
    </w:p>
    <w:p>
      <w:pPr>
        <w:pStyle w:val="BodyText"/>
      </w:pPr>
      <w:r>
        <w:rPr>
          <w:bCs/>
          <w:b/>
        </w:rPr>
        <w:t xml:space="preserve">Table T3. CIC-IDS2017 Wednesday DoS-variant composition</w:t>
      </w:r>
      <w:r>
        <w:t xml:space="preserve"> </w:t>
      </w:r>
      <w:r>
        <w:t xml:space="preserve">(flows per variant in the source calibration pool versus the target block).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DoS variant</w:t>
            </w:r>
          </w:p>
        </w:tc>
        <w:tc>
          <w:tcPr/>
          <w:p>
            <w:pPr>
              <w:pStyle w:val="Compact"/>
              <w:jc w:val="left"/>
            </w:pPr>
            <w:r>
              <w:t xml:space="preserve">Source pool</w:t>
            </w:r>
          </w:p>
        </w:tc>
        <w:tc>
          <w:tcPr/>
          <w:p>
            <w:pPr>
              <w:pStyle w:val="Compact"/>
              <w:jc w:val="left"/>
            </w:pPr>
            <w:r>
              <w:t xml:space="preserve">Target block</w:t>
            </w:r>
          </w:p>
        </w:tc>
      </w:tr>
      <w:tr>
        <w:tc>
          <w:tcPr/>
          <w:p>
            <w:pPr>
              <w:pStyle w:val="Compact"/>
              <w:jc w:val="left"/>
            </w:pPr>
            <w:r>
              <w:t xml:space="preserve">Hulk</w:t>
            </w:r>
          </w:p>
        </w:tc>
        <w:tc>
          <w:tcPr/>
          <w:p>
            <w:pPr>
              <w:pStyle w:val="Compact"/>
              <w:jc w:val="left"/>
            </w:pPr>
            <w:r>
              <w:t xml:space="preserve">22,808</w:t>
            </w:r>
          </w:p>
        </w:tc>
        <w:tc>
          <w:tcPr/>
          <w:p>
            <w:pPr>
              <w:pStyle w:val="Compact"/>
              <w:jc w:val="left"/>
            </w:pPr>
            <w:r>
              <w:t xml:space="preserve">6,211</w:t>
            </w:r>
          </w:p>
        </w:tc>
      </w:tr>
      <w:tr>
        <w:tc>
          <w:tcPr/>
          <w:p>
            <w:pPr>
              <w:pStyle w:val="Compact"/>
              <w:jc w:val="left"/>
            </w:pPr>
            <w:r>
              <w:t xml:space="preserve">GoldenEye</w:t>
            </w:r>
          </w:p>
        </w:tc>
        <w:tc>
          <w:tcPr/>
          <w:p>
            <w:pPr>
              <w:pStyle w:val="Compact"/>
              <w:jc w:val="left"/>
            </w:pPr>
            <w:r>
              <w:t xml:space="preserve">32</w:t>
            </w:r>
          </w:p>
        </w:tc>
        <w:tc>
          <w:tcPr/>
          <w:p>
            <w:pPr>
              <w:pStyle w:val="Compact"/>
              <w:jc w:val="left"/>
            </w:pPr>
            <w:r>
              <w:t xml:space="preserve">7,361</w:t>
            </w:r>
          </w:p>
        </w:tc>
      </w:tr>
      <w:tr>
        <w:tc>
          <w:tcPr/>
          <w:p>
            <w:pPr>
              <w:pStyle w:val="Compact"/>
              <w:jc w:val="left"/>
            </w:pPr>
            <w:r>
              <w:t xml:space="preserve">Slowloris</w:t>
            </w:r>
          </w:p>
        </w:tc>
        <w:tc>
          <w:tcPr/>
          <w:p>
            <w:pPr>
              <w:pStyle w:val="Compact"/>
              <w:jc w:val="left"/>
            </w:pPr>
            <w:r>
              <w:t xml:space="preserve">589</w:t>
            </w:r>
          </w:p>
        </w:tc>
        <w:tc>
          <w:tcPr/>
          <w:p>
            <w:pPr>
              <w:pStyle w:val="Compact"/>
              <w:jc w:val="left"/>
            </w:pPr>
            <w:r>
              <w:t xml:space="preserve">0</w:t>
            </w:r>
          </w:p>
        </w:tc>
      </w:tr>
      <w:tr>
        <w:tc>
          <w:tcPr/>
          <w:p>
            <w:pPr>
              <w:pStyle w:val="Compact"/>
              <w:jc w:val="left"/>
            </w:pPr>
            <w:r>
              <w:t xml:space="preserve">Slowhttptest</w:t>
            </w:r>
          </w:p>
        </w:tc>
        <w:tc>
          <w:tcPr/>
          <w:p>
            <w:pPr>
              <w:pStyle w:val="Compact"/>
              <w:jc w:val="left"/>
            </w:pPr>
            <w:r>
              <w:t xml:space="preserve">297</w:t>
            </w:r>
          </w:p>
        </w:tc>
        <w:tc>
          <w:tcPr/>
          <w:p>
            <w:pPr>
              <w:pStyle w:val="Compact"/>
              <w:jc w:val="left"/>
            </w:pPr>
            <w:r>
              <w:t xml:space="preserve">8</w:t>
            </w:r>
          </w:p>
        </w:tc>
      </w:tr>
    </w:tbl>
    <w:p>
      <w:pPr>
        <w:pStyle w:val="BodyText"/>
      </w:pPr>
      <w:r>
        <w:t xml:space="preserve">Hulk is always retained in calibration; each realisation withholds one or more of the</w:t>
      </w:r>
      <w:r>
        <w:t xml:space="preserve"> </w:t>
      </w:r>
      <w:r>
        <w:t xml:space="preserve">remaining variants (Table T1), so the target requires attack behaviour whose variant was</w:t>
      </w:r>
      <w:r>
        <w:t xml:space="preserve"> </w:t>
      </w:r>
      <w:r>
        <w:t xml:space="preserve">unseen at calibration, producing a controlled support shift.</w:t>
      </w:r>
    </w:p>
    <w:bookmarkEnd w:id="27"/>
    <w:bookmarkStart w:id="28" w:name="ugr16"/>
    <w:p>
      <w:pPr>
        <w:pStyle w:val="Heading2"/>
      </w:pPr>
      <w:r>
        <w:t xml:space="preserve">3.3 UGR’16</w:t>
      </w:r>
    </w:p>
    <w:p>
      <w:pPr>
        <w:pStyle w:val="FirstParagraph"/>
      </w:pPr>
      <w:r>
        <w:t xml:space="preserve">UGR’16 provides the covariate-shift environment. We use one week of July traffic as the</w:t>
      </w:r>
      <w:r>
        <w:t xml:space="preserve"> </w:t>
      </w:r>
      <w:r>
        <w:t xml:space="preserve">source and one week of the following August as the target, separated by approximately</w:t>
      </w:r>
      <w:r>
        <w:t xml:space="preserve"> </w:t>
      </w:r>
      <w:r>
        <w:t xml:space="preserve">one month of real internet-service-provider traffic. Because the full capture is on the</w:t>
      </w:r>
      <w:r>
        <w:t xml:space="preserve"> </w:t>
      </w:r>
      <w:r>
        <w:t xml:space="preserve">order of hundreds of gigabytes, each week was streamed in chunks and subsampled to a</w:t>
      </w:r>
      <w:r>
        <w:t xml:space="preserve"> </w:t>
      </w:r>
      <w:r>
        <w:t xml:space="preserve">common composition of 200,000 background flows and 50,000 flows for each of the four</w:t>
      </w:r>
      <w:r>
        <w:t xml:space="preserve"> </w:t>
      </w:r>
      <w:r>
        <w:t xml:space="preserve">synthetic attack families (dos, scan11, scan44, nerisbotnet), then written to a</w:t>
      </w:r>
      <w:r>
        <w:t xml:space="preserve"> </w:t>
      </w:r>
      <w:r>
        <w:t xml:space="preserve">columnar store.</w:t>
      </w:r>
    </w:p>
    <w:p>
      <w:pPr>
        <w:pStyle w:val="BodyText"/>
      </w:pPr>
      <w:r>
        <w:t xml:space="preserve">Two provenance decisions are recorded as deviations. First, the July and August</w:t>
      </w:r>
      <w:r>
        <w:t xml:space="preserve"> </w:t>
      </w:r>
      <w:r>
        <w:t xml:space="preserve">captures are drawn from different released variants of UGR’16, so the blacklist label</w:t>
      </w:r>
      <w:r>
        <w:t xml:space="preserve"> </w:t>
      </w:r>
      <w:r>
        <w:t xml:space="preserve">is not comparable across the pair and is dropped; only the background class and the four</w:t>
      </w:r>
      <w:r>
        <w:t xml:space="preserve"> </w:t>
      </w:r>
      <w:r>
        <w:t xml:space="preserve">comparable synthetic attack families are retained. Second, the protocol field is a</w:t>
      </w:r>
      <w:r>
        <w:t xml:space="preserve"> </w:t>
      </w:r>
      <w:r>
        <w:t xml:space="preserve">categorical string in July but was rendered uninformative in August during an earlier</w:t>
      </w:r>
      <w:r>
        <w:t xml:space="preserve"> </w:t>
      </w:r>
      <w:r>
        <w:t xml:space="preserve">numeric coercion, so it is not comparable across the pair and is dropped from the</w:t>
      </w:r>
      <w:r>
        <w:t xml:space="preserve"> </w:t>
      </w:r>
      <w:r>
        <w:t xml:space="preserve">feature set on both weeks; the covariate representation comprises nine flow features,</w:t>
      </w:r>
      <w:r>
        <w:t xml:space="preserve"> </w:t>
      </w:r>
      <w:r>
        <w:t xml:space="preserve">expanded to twenty-seven dimensions after one-hot encoding of the TCP flag field. The</w:t>
      </w:r>
      <w:r>
        <w:t xml:space="preserve"> </w:t>
      </w:r>
      <w:r>
        <w:t xml:space="preserve">categorical encoder is hardened to normalise numeric-looking category values so that a</w:t>
      </w:r>
      <w:r>
        <w:t xml:space="preserve"> </w:t>
      </w:r>
      <w:r>
        <w:t xml:space="preserve">storage-type mismatch cannot silently reappear. By construction UGR’16 carries covariate</w:t>
      </w:r>
      <w:r>
        <w:t xml:space="preserve"> </w:t>
      </w:r>
      <w:r>
        <w:t xml:space="preserve">shift at fixed support: all four attack families are present in both weeks at equal</w:t>
      </w:r>
      <w:r>
        <w:t xml:space="preserve"> </w:t>
      </w:r>
      <w:r>
        <w:t xml:space="preserve">sampled counts, so S_lab and S_sup are both zero, while S_cov is 0.69 against a</w:t>
      </w:r>
      <w:r>
        <w:t xml:space="preserve"> </w:t>
      </w:r>
      <w:r>
        <w:t xml:space="preserve">permutation-null threshold of 0.51 (Section 4.4). This is the only environment in the</w:t>
      </w:r>
      <w:r>
        <w:t xml:space="preserve"> </w:t>
      </w:r>
      <w:r>
        <w:t xml:space="preserve">study in which the shift is purely covariate. The focal class is nerisbotnet, chosen on</w:t>
      </w:r>
      <w:r>
        <w:t xml:space="preserve"> </w:t>
      </w:r>
      <w:r>
        <w:t xml:space="preserve">operational rarity rather than the capped counts.</w:t>
      </w:r>
    </w:p>
    <w:bookmarkEnd w:id="28"/>
    <w:bookmarkStart w:id="29" w:name="cic-iot-2023"/>
    <w:p>
      <w:pPr>
        <w:pStyle w:val="Heading2"/>
      </w:pPr>
      <w:r>
        <w:t xml:space="preserve">3.4 CIC-IoT-2023</w:t>
      </w:r>
    </w:p>
    <w:p>
      <w:pPr>
        <w:pStyle w:val="FirstParagraph"/>
      </w:pPr>
      <w:r>
        <w:t xml:space="preserve">CIC-IoT-2023 (Neto et al., 2023) supplies a contemporary environment and isolates support</w:t>
      </w:r>
      <w:r>
        <w:t xml:space="preserve"> </w:t>
      </w:r>
      <w:r>
        <w:t xml:space="preserve">shift. We use the full CSV release, 169 files and 46,686,579 flows collected from 105 IoT devices, comprising 33 attack types plus benign traffic, giving 34 fine-grained labels. Labels are grouped into seven attack families plus benign</w:t>
      </w:r>
      <w:r>
        <w:t xml:space="preserve"> </w:t>
      </w:r>
      <w:r>
        <w:t xml:space="preserve">traffic, with the family serving as the class on which class-conditional calibration</w:t>
      </w:r>
      <w:r>
        <w:t xml:space="preserve"> </w:t>
      </w:r>
      <w:r>
        <w:t xml:space="preserve">operates and the specific attack as the subtype that drives support shift, the same</w:t>
      </w:r>
      <w:r>
        <w:t xml:space="preserve"> </w:t>
      </w:r>
      <w:r>
        <w:t xml:space="preserve">convention applied to CIC-IDS2017.</w:t>
      </w:r>
    </w:p>
    <w:p>
      <w:pPr>
        <w:pStyle w:val="BodyText"/>
      </w:pPr>
      <w:r>
        <w:t xml:space="preserve">The release exceeds the compute budget, so it is subsampled by a per-label cap of 60,000</w:t>
      </w:r>
      <w:r>
        <w:t xml:space="preserve"> </w:t>
      </w:r>
      <w:r>
        <w:t xml:space="preserve">rows applied as a keep-fraction while streaming, which retains every rare label in full and</w:t>
      </w:r>
      <w:r>
        <w:t xml:space="preserve"> </w:t>
      </w:r>
      <w:r>
        <w:t xml:space="preserve">yields a working frame of 1,510,142 rows. This departs from proportional subsampling and</w:t>
      </w:r>
      <w:r>
        <w:t xml:space="preserve"> </w:t>
      </w:r>
      <w:r>
        <w:t xml:space="preserve">moves the class prior: the focal class rises from 0.053 per cent of the raw capture to 1.64</w:t>
      </w:r>
      <w:r>
        <w:t xml:space="preserve"> </w:t>
      </w:r>
      <w:r>
        <w:t xml:space="preserve">per cent of the working frame. The direction of that bias is stated because it matters for</w:t>
      </w:r>
      <w:r>
        <w:t xml:space="preserve"> </w:t>
      </w:r>
      <w:r>
        <w:t xml:space="preserve">interpretation. The focal class is better represented in training than it would be in</w:t>
      </w:r>
      <w:r>
        <w:t xml:space="preserve"> </w:t>
      </w:r>
      <w:r>
        <w:t xml:space="preserve">deployment, so the classifier should find it easier, and any coverage failure measured here</w:t>
      </w:r>
      <w:r>
        <w:t xml:space="preserve"> </w:t>
      </w:r>
      <w:r>
        <w:t xml:space="preserve">is conservative rather than exaggerated.</w:t>
      </w:r>
    </w:p>
    <w:p>
      <w:pPr>
        <w:pStyle w:val="BodyText"/>
      </w:pPr>
      <w:r>
        <w:t xml:space="preserve">Support shift is constructed by designating two of the six web-attack subtypes,</w:t>
      </w:r>
      <w:r>
        <w:t xml:space="preserve"> </w:t>
      </w:r>
      <w:r>
        <w:rPr>
          <w:rStyle w:val="VerbatimChar"/>
        </w:rPr>
        <w:t xml:space="preserve">Uploading_Attack</w:t>
      </w:r>
      <w:r>
        <w:t xml:space="preserve"> </w:t>
      </w:r>
      <w:r>
        <w:t xml:space="preserve">and</w:t>
      </w:r>
      <w:r>
        <w:t xml:space="preserve"> </w:t>
      </w:r>
      <w:r>
        <w:rPr>
          <w:rStyle w:val="VerbatimChar"/>
        </w:rPr>
        <w:t xml:space="preserve">Backdoor_Malware</w:t>
      </w:r>
      <w:r>
        <w:t xml:space="preserve">, as novel and assigning every row of those</w:t>
      </w:r>
      <w:r>
        <w:t xml:space="preserve"> </w:t>
      </w:r>
      <w:r>
        <w:t xml:space="preserve">subtypes to the target. They are therefore absent from the training partition, the</w:t>
      </w:r>
      <w:r>
        <w:t xml:space="preserve"> </w:t>
      </w:r>
      <w:r>
        <w:t xml:space="preserve">probability-calibration partition and the source calibration pool, which reproduces what</w:t>
      </w:r>
      <w:r>
        <w:t xml:space="preserve"> </w:t>
      </w:r>
      <w:r>
        <w:t xml:space="preserve">NSL-KDD obtains for free from KDDTest+ containing R2L subtypes absent from KDDTrain+. The</w:t>
      </w:r>
      <w:r>
        <w:t xml:space="preserve"> </w:t>
      </w:r>
      <w:r>
        <w:t xml:space="preserve">absence is verified rather than assumed. The remaining rows are split 70/30 into source and</w:t>
      </w:r>
      <w:r>
        <w:t xml:space="preserve"> </w:t>
      </w:r>
      <w:r>
        <w:t xml:space="preserve">target, and a five-rung ladder raises the fraction of focal evaluation mass drawn from the</w:t>
      </w:r>
      <w:r>
        <w:t xml:space="preserve"> </w:t>
      </w:r>
      <w:r>
        <w:t xml:space="preserve">novel subtypes from 0.00 to 0.80 across five realisations.</w:t>
      </w:r>
    </w:p>
    <w:p>
      <w:pPr>
        <w:pStyle w:val="BodyText"/>
      </w:pPr>
      <w:r>
        <w:t xml:space="preserve">The focal class is Web, selected by the preregistered focal-class rule as the rarest attack family</w:t>
      </w:r>
      <w:r>
        <w:t xml:space="preserve"> </w:t>
      </w:r>
      <w:r>
        <w:t xml:space="preserve">that satisfies the feasibility floor in the source calibration pool and holds at least two</w:t>
      </w:r>
      <w:r>
        <w:t xml:space="preserve"> </w:t>
      </w:r>
      <w:r>
        <w:t xml:space="preserve">subtypes. It retains 2,135 source calibration points against a floor of 19. BruteForce is</w:t>
      </w:r>
      <w:r>
        <w:t xml:space="preserve"> </w:t>
      </w:r>
      <w:r>
        <w:t xml:space="preserve">rarer at 1,371 points but holds a single subtype and therefore cannot be shifted by</w:t>
      </w:r>
      <w:r>
        <w:t xml:space="preserve"> </w:t>
      </w:r>
      <w:r>
        <w:t xml:space="preserve">withholding while remaining feasible, which is recorded so the choice does not read as an</w:t>
      </w:r>
      <w:r>
        <w:t xml:space="preserve"> </w:t>
      </w:r>
      <w:r>
        <w:t xml:space="preserve">oversight.</w:t>
      </w:r>
    </w:p>
    <w:p>
      <w:pPr>
        <w:pStyle w:val="BodyText"/>
      </w:pPr>
      <w:r>
        <w:t xml:space="preserve">The resulting environment is support shift in isolation. Measured across the ladder, the</w:t>
      </w:r>
      <w:r>
        <w:t xml:space="preserve"> </w:t>
      </w:r>
      <w:r>
        <w:t xml:space="preserve">covariate shift stays at the permutation null, 0.495 to 0.506, the label-prior shift is</w:t>
      </w:r>
      <w:r>
        <w:t xml:space="preserve"> </w:t>
      </w:r>
      <w:r>
        <w:t xml:space="preserve">negligible at 0.004 to 0.014, and only the support shift moves, from 0.000 to 0.800. No</w:t>
      </w:r>
      <w:r>
        <w:t xml:space="preserve"> </w:t>
      </w:r>
      <w:r>
        <w:t xml:space="preserve">other environment in the study achieves this separation, and Section 5.6 shows why it</w:t>
      </w:r>
      <w:r>
        <w:t xml:space="preserve"> </w:t>
      </w:r>
      <w:r>
        <w:t xml:space="preserve">matters.</w:t>
      </w:r>
    </w:p>
    <w:bookmarkEnd w:id="29"/>
    <w:bookmarkStart w:id="30" w:name="common-preprocessing-and-partitioning"/>
    <w:p>
      <w:pPr>
        <w:pStyle w:val="Heading2"/>
      </w:pPr>
      <w:r>
        <w:t xml:space="preserve">3.5 Common preprocessing and partitioning</w:t>
      </w:r>
    </w:p>
    <w:p>
      <w:pPr>
        <w:pStyle w:val="FirstParagraph"/>
      </w:pPr>
      <w:r>
        <w:t xml:space="preserve">Each source is partitioned once, before any modelling, into four disjoint strata by a</w:t>
      </w:r>
      <w:r>
        <w:t xml:space="preserve"> </w:t>
      </w:r>
      <w:r>
        <w:t xml:space="preserve">class-stratified split with fixed fractions: training (0.60), validation (0.10),</w:t>
      </w:r>
      <w:r>
        <w:t xml:space="preserve"> </w:t>
      </w:r>
      <w:r>
        <w:t xml:space="preserve">probability calibration (0.15) and a source calibration pool (0.15). The split is</w:t>
      </w:r>
      <w:r>
        <w:t xml:space="preserve"> </w:t>
      </w:r>
      <w:r>
        <w:t xml:space="preserve">deterministic under a dataset-specific partition seed, and the resulting partitions are</w:t>
      </w:r>
      <w:r>
        <w:t xml:space="preserve"> </w:t>
      </w:r>
      <w:r>
        <w:t xml:space="preserve">checked for exhaustiveness and pairwise disjointness and are fingerprinted. The training</w:t>
      </w:r>
      <w:r>
        <w:t xml:space="preserve"> </w:t>
      </w:r>
      <w:r>
        <w:t xml:space="preserve">partition fits the classifier, the validation partition selects or fixes</w:t>
      </w:r>
      <w:r>
        <w:t xml:space="preserve"> </w:t>
      </w:r>
      <w:r>
        <w:t xml:space="preserve">hyperparameters, the probability-calibration partition fits the probability calibrator,</w:t>
      </w:r>
      <w:r>
        <w:t xml:space="preserve"> </w:t>
      </w:r>
      <w:r>
        <w:t xml:space="preserve">and the source calibration pool provides the source-held-out conformal calibration set.</w:t>
      </w:r>
      <w:r>
        <w:t xml:space="preserve"> </w:t>
      </w:r>
      <w:r>
        <w:t xml:space="preserve">The target pool supplies both the evaluation set and, for the target-supervised</w:t>
      </w:r>
      <w:r>
        <w:t xml:space="preserve"> </w:t>
      </w:r>
      <w:r>
        <w:t xml:space="preserve">protocol, the target calibration set. Identifiers such as addresses and timestamps are</w:t>
      </w:r>
      <w:r>
        <w:t xml:space="preserve"> </w:t>
      </w:r>
      <w:r>
        <w:t xml:space="preserve">excluded from all feature representations.</w:t>
      </w:r>
    </w:p>
    <w:bookmarkEnd w:id="30"/>
    <w:bookmarkEnd w:id="31"/>
    <w:bookmarkStart w:id="46" w:name="methodology"/>
    <w:p>
      <w:pPr>
        <w:pStyle w:val="Heading1"/>
      </w:pPr>
      <w:r>
        <w:t xml:space="preserve">4. Methodology</w:t>
      </w:r>
    </w:p>
    <w:bookmarkStart w:id="32" w:name="conformal-prediction-protocols"/>
    <w:p>
      <w:pPr>
        <w:pStyle w:val="Heading2"/>
      </w:pPr>
      <w:r>
        <w:t xml:space="preserve">4.1 Conformal prediction protocols</w:t>
      </w:r>
    </w:p>
    <w:p>
      <w:pPr>
        <w:pStyle w:val="FirstParagraph"/>
      </w:pPr>
      <w:r>
        <w:t xml:space="preserve">The object of study is the calibration set used to form conformal prediction sets</w:t>
      </w:r>
      <w:r>
        <w:t xml:space="preserve"> </w:t>
      </w:r>
      <w:r>
        <w:t xml:space="preserve">(Vovk et al., 2005; Shafer and Vovk, 2008), not the classifier. We compare three protocols, holding the</w:t>
      </w:r>
      <w:r>
        <w:t xml:space="preserve"> </w:t>
      </w:r>
      <w:r>
        <w:t xml:space="preserve">classifier and probability calibrator fixed. The recalibrated protocol (REC) calibrates</w:t>
      </w:r>
      <w:r>
        <w:t xml:space="preserve"> </w:t>
      </w:r>
      <w:r>
        <w:t xml:space="preserve">the conformal quantile on the evaluation set itself; it is not deployable and serves as</w:t>
      </w:r>
      <w:r>
        <w:t xml:space="preserve"> </w:t>
      </w:r>
      <w:r>
        <w:t xml:space="preserve">a transductive upper bound whose coverage must sit at the nominal level by construction.</w:t>
      </w:r>
      <w:r>
        <w:t xml:space="preserve"> </w:t>
      </w:r>
      <w:r>
        <w:t xml:space="preserve">The target-supervised protocol (TSC) calibrates on a labelled target sample; it requires</w:t>
      </w:r>
      <w:r>
        <w:t xml:space="preserve"> </w:t>
      </w:r>
      <w:r>
        <w:t xml:space="preserve">target labels and is not deployable in practice, but it isolates the effect of</w:t>
      </w:r>
      <w:r>
        <w:t xml:space="preserve"> </w:t>
      </w:r>
      <w:r>
        <w:t xml:space="preserve">calibrating on in-distribution target data. The source-held-out protocol (SHC)</w:t>
      </w:r>
      <w:r>
        <w:t xml:space="preserve"> </w:t>
      </w:r>
      <w:r>
        <w:t xml:space="preserve">calibrates on the source calibration pool and is the only deployable protocol, requiring</w:t>
      </w:r>
      <w:r>
        <w:t xml:space="preserve"> </w:t>
      </w:r>
      <w:r>
        <w:t xml:space="preserve">no target labels. The primary contrast is TSC versus SHC. The two protocols differ in calibration-data</w:t>
      </w:r>
      <w:r>
        <w:t xml:space="preserve"> </w:t>
      </w:r>
      <w:r>
        <w:t xml:space="preserve">provenance and, under natural class prevalence, in class-specific calibration support: they</w:t>
      </w:r>
      <w:r>
        <w:t xml:space="preserve"> </w:t>
      </w:r>
      <w:r>
        <w:t xml:space="preserve">draw calibration sets of a common overall size, but the per-class counts entering a</w:t>
      </w:r>
      <w:r>
        <w:t xml:space="preserve"> </w:t>
      </w:r>
      <w:r>
        <w:t xml:space="preserve">class-conditional quantile follow the class composition of the pool they are drawn from. We</w:t>
      </w:r>
      <w:r>
        <w:t xml:space="preserve"> </w:t>
      </w:r>
      <w:r>
        <w:t xml:space="preserve">do not describe them as differing only in the calibration set. The two protocols draw calibration</w:t>
      </w:r>
      <w:r>
        <w:t xml:space="preserve"> </w:t>
      </w:r>
      <w:r>
        <w:t xml:space="preserve">sets of a common overall size, but the per-class counts that enter a class-conditional</w:t>
      </w:r>
      <w:r>
        <w:t xml:space="preserve"> </w:t>
      </w:r>
      <w:r>
        <w:t xml:space="preserve">quantile follow the class composition of the pool they are drawn from, so for a class</w:t>
      </w:r>
      <w:r>
        <w:t xml:space="preserve"> </w:t>
      </w:r>
      <w:r>
        <w:t xml:space="preserve">that is rare at source and common at target the deployable protocol calibrates on fewer</w:t>
      </w:r>
      <w:r>
        <w:t xml:space="preserve"> </w:t>
      </w:r>
      <w:r>
        <w:t xml:space="preserve">points. Section 5.11 quantifies this asymmetry and shows that it biases the reported</w:t>
      </w:r>
      <w:r>
        <w:t xml:space="preserve"> </w:t>
      </w:r>
      <w:r>
        <w:t xml:space="preserve">effect towards conservatism rather than exaggeration.</w:t>
      </w:r>
    </w:p>
    <w:bookmarkEnd w:id="32"/>
    <w:bookmarkStart w:id="33" w:name="nonconformity-score-and-prediction-sets"/>
    <w:p>
      <w:pPr>
        <w:pStyle w:val="Heading2"/>
      </w:pPr>
      <w:r>
        <w:t xml:space="preserve">4.2 Nonconformity score and prediction sets</w:t>
      </w:r>
    </w:p>
    <w:p>
      <w:pPr>
        <w:pStyle w:val="FirstParagraph"/>
      </w:pPr>
      <w:r>
        <w:t xml:space="preserve">Nonconformity is measured with the adaptive prediction set (APS) score (Romano et al., 2020). For</w:t>
      </w:r>
      <w:r>
        <w:t xml:space="preserve"> </w:t>
      </w:r>
      <w:r>
        <w:t xml:space="preserve">a calibrated probability vector p(x) and candidate label y, the score accumulates the</w:t>
      </w:r>
      <w:r>
        <w:t xml:space="preserve"> </w:t>
      </w:r>
      <w:r>
        <w:t xml:space="preserve">probability mass ranked above y and adds a randomised fraction of the mass at y,</w:t>
      </w:r>
      <w:r>
        <w:t xml:space="preserve"> </w:t>
      </w:r>
      <w:r>
        <w:t xml:space="preserve">s(x, y) = Σ_{j: p_j(x) &gt; p_y(x)} p_j(x) + U·p_y(x), with U uniform on [0, 1]. The</w:t>
      </w:r>
      <w:r>
        <w:t xml:space="preserve"> </w:t>
      </w:r>
      <w:r>
        <w:t xml:space="preserve">randomising draws are produced by a counter-based generator keyed by model seed, sample</w:t>
      </w:r>
      <w:r>
        <w:t xml:space="preserve"> </w:t>
      </w:r>
      <w:r>
        <w:t xml:space="preserve">and label, so that the three protocols observe identical realised scores on identical</w:t>
      </w:r>
      <w:r>
        <w:t xml:space="preserve"> </w:t>
      </w:r>
      <w:r>
        <w:t xml:space="preserve">points and differ only in their calibration set. Prediction sets are formed per class in</w:t>
      </w:r>
      <w:r>
        <w:t xml:space="preserve"> </w:t>
      </w:r>
      <w:r>
        <w:t xml:space="preserve">the Mondrian manner (Vovk et al., 2005): for miscoverage level α the conformal quantile of a</w:t>
      </w:r>
      <w:r>
        <w:t xml:space="preserve"> </w:t>
      </w:r>
      <w:r>
        <w:t xml:space="preserve">class is its k-th smallest calibration score with k = ⌈(n+1)(1−α)⌉, or ∞ when k &gt; n. A</w:t>
      </w:r>
      <w:r>
        <w:t xml:space="preserve"> </w:t>
      </w:r>
      <w:r>
        <w:t xml:space="preserve">class whose calibration count falls below ⌈1/α⌉ − 1 returns an infinite quantile and a</w:t>
      </w:r>
      <w:r>
        <w:t xml:space="preserve"> </w:t>
      </w:r>
      <w:r>
        <w:t xml:space="preserve">trivially full set; such cells are reported as infeasible and excluded from analysis</w:t>
      </w:r>
      <w:r>
        <w:t xml:space="preserve"> </w:t>
      </w:r>
      <w:r>
        <w:t xml:space="preserve">rather than counted as covered. The primary miscoverage level is 0.05, with 0.10 and</w:t>
      </w:r>
      <w:r>
        <w:t xml:space="preserve"> </w:t>
      </w:r>
      <w:r>
        <w:t xml:space="preserve">0.20 reported as sensitivity levels.</w:t>
      </w:r>
    </w:p>
    <w:bookmarkEnd w:id="33"/>
    <w:bookmarkStart w:id="34" w:name="model-panel-and-probability-calibration"/>
    <w:p>
      <w:pPr>
        <w:pStyle w:val="Heading2"/>
      </w:pPr>
      <w:r>
        <w:t xml:space="preserve">4.3 Model panel and probability calibration</w:t>
      </w:r>
    </w:p>
    <w:p>
      <w:pPr>
        <w:pStyle w:val="FirstParagraph"/>
      </w:pPr>
      <w:r>
        <w:t xml:space="preserve">To ensure the coverage findings are not an artefact of a single classifier, each dataset</w:t>
      </w:r>
      <w:r>
        <w:t xml:space="preserve"> </w:t>
      </w:r>
      <w:r>
        <w:t xml:space="preserve">is fitted with three architectures, a random forest, a gradient-boosted tree ensemble</w:t>
      </w:r>
      <w:r>
        <w:t xml:space="preserve"> </w:t>
      </w:r>
      <w:r>
        <w:t xml:space="preserve">(Chen and Guestrin, 2016) and a multilayer perceptron, across ten seeds, giving thirty calibrated</w:t>
      </w:r>
      <w:r>
        <w:t xml:space="preserve"> </w:t>
      </w:r>
      <w:r>
        <w:t xml:space="preserve">models per dataset (Table T4). Hyperparameters are selected once per architecture on the</w:t>
      </w:r>
      <w:r>
        <w:t xml:space="preserve"> </w:t>
      </w:r>
      <w:r>
        <w:t xml:space="preserve">validation</w:t>
      </w:r>
      <w:r>
        <w:t xml:space="preserve"> </w:t>
      </w:r>
      <w:r>
        <w:t xml:space="preserve">partition by macro-averaged F1 and then frozen, or fixed a priori where noted as a</w:t>
      </w:r>
      <w:r>
        <w:t xml:space="preserve"> </w:t>
      </w:r>
      <w:r>
        <w:t xml:space="preserve">deviation. Probabilities are calibrated by one-vs-rest isotonic regression</w:t>
      </w:r>
      <w:r>
        <w:t xml:space="preserve"> </w:t>
      </w:r>
      <w:r>
        <w:t xml:space="preserve">(Zadrozny and Elkan, 2002) fitted on the probability-calibration partition of the source and</w:t>
      </w:r>
      <w:r>
        <w:t xml:space="preserve"> </w:t>
      </w:r>
      <w:r>
        <w:t xml:space="preserve">renormalised to sum to one; the calibrator is fitted on the source only and held fixed</w:t>
      </w:r>
      <w:r>
        <w:t xml:space="preserve"> </w:t>
      </w:r>
      <w:r>
        <w:t xml:space="preserve">across all protocols and analyses. Model seeds vary the classifier only; the source</w:t>
      </w:r>
      <w:r>
        <w:t xml:space="preserve"> </w:t>
      </w:r>
      <w:r>
        <w:t xml:space="preserve">partition is drawn once and held fixed across seeds, because the matched draws of</w:t>
      </w:r>
      <w:r>
        <w:t xml:space="preserve"> </w:t>
      </w:r>
      <w:r>
        <w:t xml:space="preserve">Section 4.5 already supply calibration-set variability and re-drawing the partition per</w:t>
      </w:r>
      <w:r>
        <w:t xml:space="preserve"> </w:t>
      </w:r>
      <w:r>
        <w:t xml:space="preserve">seed would confound the partition draw with model initialisation.</w:t>
      </w:r>
    </w:p>
    <w:p>
      <w:pPr>
        <w:pStyle w:val="BodyText"/>
      </w:pPr>
      <w:r>
        <w:rPr>
          <w:bCs/>
          <w:b/>
        </w:rPr>
        <w:t xml:space="preserve">Table T4. Base classifier performance</w:t>
      </w:r>
      <w:r>
        <w:t xml:space="preserve"> </w:t>
      </w:r>
      <w:r>
        <w:t xml:space="preserve">(mean macro-F1 over ten seeds, per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Random forest</w:t>
            </w:r>
          </w:p>
        </w:tc>
        <w:tc>
          <w:tcPr/>
          <w:p>
            <w:pPr>
              <w:pStyle w:val="Compact"/>
              <w:jc w:val="left"/>
            </w:pPr>
            <w:r>
              <w:t xml:space="preserve">Gradient-boosted trees</w:t>
            </w:r>
          </w:p>
        </w:tc>
        <w:tc>
          <w:tcPr/>
          <w:p>
            <w:pPr>
              <w:pStyle w:val="Compact"/>
              <w:jc w:val="left"/>
            </w:pPr>
            <w:r>
              <w:t xml:space="preserve">MLP</w:t>
            </w:r>
          </w:p>
        </w:tc>
      </w:tr>
      <w:tr>
        <w:tc>
          <w:tcPr/>
          <w:p>
            <w:pPr>
              <w:pStyle w:val="Compact"/>
              <w:jc w:val="left"/>
            </w:pPr>
            <w:r>
              <w:t xml:space="preserve">NSL-KDD</w:t>
            </w:r>
          </w:p>
        </w:tc>
        <w:tc>
          <w:tcPr/>
          <w:p>
            <w:pPr>
              <w:pStyle w:val="Compact"/>
              <w:jc w:val="left"/>
            </w:pPr>
            <w:r>
              <w:t xml:space="preserve">0.535</w:t>
            </w:r>
          </w:p>
        </w:tc>
        <w:tc>
          <w:tcPr/>
          <w:p>
            <w:pPr>
              <w:pStyle w:val="Compact"/>
              <w:jc w:val="left"/>
            </w:pPr>
            <w:r>
              <w:t xml:space="preserve">0.551</w:t>
            </w:r>
          </w:p>
        </w:tc>
        <w:tc>
          <w:tcPr/>
          <w:p>
            <w:pPr>
              <w:pStyle w:val="Compact"/>
              <w:jc w:val="left"/>
            </w:pPr>
            <w:r>
              <w:t xml:space="preserve">0.560</w:t>
            </w:r>
          </w:p>
        </w:tc>
      </w:tr>
      <w:tr>
        <w:tc>
          <w:tcPr/>
          <w:p>
            <w:pPr>
              <w:pStyle w:val="Compact"/>
              <w:jc w:val="left"/>
            </w:pPr>
            <w:r>
              <w:t xml:space="preserve">CIC-IDS2017</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UGR’16</w:t>
            </w:r>
          </w:p>
        </w:tc>
        <w:tc>
          <w:tcPr/>
          <w:p>
            <w:pPr>
              <w:pStyle w:val="Compact"/>
              <w:jc w:val="left"/>
            </w:pPr>
            <w:r>
              <w:t xml:space="preserve">0.995</w:t>
            </w:r>
          </w:p>
        </w:tc>
        <w:tc>
          <w:tcPr/>
          <w:p>
            <w:pPr>
              <w:pStyle w:val="Compact"/>
              <w:jc w:val="left"/>
            </w:pPr>
            <w:r>
              <w:t xml:space="preserve">0.971</w:t>
            </w:r>
          </w:p>
        </w:tc>
        <w:tc>
          <w:tcPr/>
          <w:p>
            <w:pPr>
              <w:pStyle w:val="Compact"/>
              <w:jc w:val="left"/>
            </w:pPr>
            <w:r>
              <w:t xml:space="preserve">0.830</w:t>
            </w:r>
          </w:p>
        </w:tc>
      </w:tr>
      <w:tr>
        <w:tc>
          <w:tcPr/>
          <w:p>
            <w:pPr>
              <w:pStyle w:val="Compact"/>
              <w:jc w:val="left"/>
            </w:pPr>
            <w:r>
              <w:t xml:space="preserve">CIC-IoT-2023</w:t>
            </w:r>
          </w:p>
        </w:tc>
        <w:tc>
          <w:tcPr/>
          <w:p>
            <w:pPr>
              <w:pStyle w:val="Compact"/>
              <w:jc w:val="left"/>
            </w:pPr>
            <w:r>
              <w:t xml:space="preserve">0.878</w:t>
            </w:r>
          </w:p>
        </w:tc>
        <w:tc>
          <w:tcPr/>
          <w:p>
            <w:pPr>
              <w:pStyle w:val="Compact"/>
              <w:jc w:val="left"/>
            </w:pPr>
            <w:r>
              <w:t xml:space="preserve">0.891</w:t>
            </w:r>
          </w:p>
        </w:tc>
        <w:tc>
          <w:tcPr/>
          <w:p>
            <w:pPr>
              <w:pStyle w:val="Compact"/>
              <w:jc w:val="left"/>
            </w:pPr>
            <w:r>
              <w:t xml:space="preserve">0.741</w:t>
            </w:r>
          </w:p>
        </w:tc>
      </w:tr>
    </w:tbl>
    <w:p>
      <w:pPr>
        <w:pStyle w:val="BodyText"/>
      </w:pPr>
      <w:r>
        <w:t xml:space="preserve">The NSL-KDD macro-F1 is depressed by the extreme rarity of U2R and R2L (Table T2), not</w:t>
      </w:r>
      <w:r>
        <w:t xml:space="preserve"> </w:t>
      </w:r>
      <w:r>
        <w:t xml:space="preserve">by a weak model; this study concerns coverage given a classifier, not classifier</w:t>
      </w:r>
      <w:r>
        <w:t xml:space="preserve"> </w:t>
      </w:r>
      <w:r>
        <w:t xml:space="preserve">accuracy. The CIC-IDS2017 classifier is near-perfect on the chosen day, with feature</w:t>
      </w:r>
      <w:r>
        <w:t xml:space="preserve"> </w:t>
      </w:r>
      <w:r>
        <w:t xml:space="preserve">separability audited to exclude label leakage (Section 3.2).</w:t>
      </w:r>
    </w:p>
    <w:bookmarkEnd w:id="34"/>
    <w:bookmarkStart w:id="35" w:name="shift-construction-and-measurement"/>
    <w:p>
      <w:pPr>
        <w:pStyle w:val="Heading2"/>
      </w:pPr>
      <w:r>
        <w:t xml:space="preserve">4.4 Shift construction and measurement</w:t>
      </w:r>
    </w:p>
    <w:p>
      <w:pPr>
        <w:pStyle w:val="FirstParagraph"/>
      </w:pPr>
      <w:r>
        <w:t xml:space="preserve">Shift between source calibration data and target evaluation data is measured, not</w:t>
      </w:r>
      <w:r>
        <w:t xml:space="preserve"> </w:t>
      </w:r>
      <w:r>
        <w:t xml:space="preserve">assumed, along three axes. The covariate shift S_cov is the cross-fitted area under the ROC curve of a domain classifier trained to distinguish source from target covariates at a fixed per-side subsample, a classifier two-sample test (Ben-David et al., 2010; Lopez-Paz and Oquab, 2017); a value near one half indicates indistinguishable</w:t>
      </w:r>
      <w:r>
        <w:t xml:space="preserve"> </w:t>
      </w:r>
      <w:r>
        <w:t xml:space="preserve">distributions. Its no-shift reference is a permutation null obtained by splitting the</w:t>
      </w:r>
      <w:r>
        <w:t xml:space="preserve"> </w:t>
      </w:r>
      <w:r>
        <w:t xml:space="preserve">source pool at random and computing the same statistic, with the 95th percentile taken as</w:t>
      </w:r>
      <w:r>
        <w:t xml:space="preserve"> </w:t>
      </w:r>
      <w:r>
        <w:t xml:space="preserve">the threshold below which covariate shift is indistinguishable from none. The label-prior</w:t>
      </w:r>
      <w:r>
        <w:t xml:space="preserve"> </w:t>
      </w:r>
      <w:r>
        <w:t xml:space="preserve">shift S_lab is the total-variation distance between source and target class-prior vectors.</w:t>
      </w:r>
      <w:r>
        <w:t xml:space="preserve"> </w:t>
      </w:r>
      <w:r>
        <w:t xml:space="preserve">Support shift is reported in two forms because they are not interchangeable. The global</w:t>
      </w:r>
      <w:r>
        <w:t xml:space="preserve"> </w:t>
      </w:r>
      <w:r>
        <w:t xml:space="preserve">measure S_sup is the fraction of all target evaluation mass in subtypes absent from the</w:t>
      </w:r>
      <w:r>
        <w:t xml:space="preserve"> </w:t>
      </w:r>
      <w:r>
        <w:t xml:space="preserve">source; the class-conditional measure S_sup,c is the fraction of class c’s target evaluation</w:t>
      </w:r>
      <w:r>
        <w:t xml:space="preserve"> </w:t>
      </w:r>
      <w:r>
        <w:t xml:space="preserve">mass in subtypes absent from the source. The class-conditional form is the one that can</w:t>
      </w:r>
      <w:r>
        <w:t xml:space="preserve"> </w:t>
      </w:r>
      <w:r>
        <w:t xml:space="preserve">predict class-conditional coverage, and it is the form used whenever a class-specific outcome</w:t>
      </w:r>
      <w:r>
        <w:t xml:space="preserve"> </w:t>
      </w:r>
      <w:r>
        <w:t xml:space="preserve">is being explained. The two diverge sharply when the focal class is a small share of traffic:</w:t>
      </w:r>
      <w:r>
        <w:t xml:space="preserve"> </w:t>
      </w:r>
      <w:r>
        <w:t xml:space="preserve">on CIC-IoT-2023 the focal class is 1.4 per cent of the evaluation set, so a class-conditional</w:t>
      </w:r>
      <w:r>
        <w:t xml:space="preserve"> </w:t>
      </w:r>
      <w:r>
        <w:t xml:space="preserve">value of 0.80 corresponds to a global value near 0.011. Table T1 reports S_sup,c for the focal</w:t>
      </w:r>
      <w:r>
        <w:t xml:space="preserve"> </w:t>
      </w:r>
      <w:r>
        <w:t xml:space="preserve">class of each environment, and the earlier global values are retained in the repository. The three axes are exercised differently across datasets (Table T1): the</w:t>
      </w:r>
      <w:r>
        <w:t xml:space="preserve"> </w:t>
      </w:r>
      <w:r>
        <w:t xml:space="preserve">NSL-KDD ladder sweeps S_sup from 0.00 to 0.46 while its S_cov stays in 0.84–0.90,</w:t>
      </w:r>
      <w:r>
        <w:t xml:space="preserve"> </w:t>
      </w:r>
      <w:r>
        <w:t xml:space="preserve">CIC-IDS2017 carries support and label shift together, and UGR’16 carries covariate shift</w:t>
      </w:r>
      <w:r>
        <w:t xml:space="preserve"> </w:t>
      </w:r>
      <w:r>
        <w:t xml:space="preserve">alone with S_lab and S_sup fixed at zero.</w:t>
      </w:r>
    </w:p>
    <w:bookmarkEnd w:id="35"/>
    <w:bookmarkStart w:id="36" w:name="matched-draw-coverage-estimation"/>
    <w:p>
      <w:pPr>
        <w:pStyle w:val="Heading2"/>
      </w:pPr>
      <w:r>
        <w:t xml:space="preserve">4.5 Matched-draw coverage estimation</w:t>
      </w:r>
    </w:p>
    <w:p>
      <w:pPr>
        <w:pStyle w:val="FirstParagraph"/>
      </w:pPr>
      <w:r>
        <w:t xml:space="preserve">Coverage is estimated over matched draws to separate calibration-set variability from</w:t>
      </w:r>
      <w:r>
        <w:t xml:space="preserve"> </w:t>
      </w:r>
      <w:r>
        <w:t xml:space="preserve">model and partition effects. For each of the thirty models, ten matched draws are formed;</w:t>
      </w:r>
      <w:r>
        <w:t xml:space="preserve"> </w:t>
      </w:r>
      <w:r>
        <w:t xml:space="preserve">within a draw the evaluation set and the target calibration set are sampled disjointly</w:t>
      </w:r>
      <w:r>
        <w:t xml:space="preserve"> </w:t>
      </w:r>
      <w:r>
        <w:t xml:space="preserve">from the target pool and the source calibration set from the source pool, all at a common</w:t>
      </w:r>
      <w:r>
        <w:t xml:space="preserve"> </w:t>
      </w:r>
      <w:r>
        <w:t xml:space="preserve">size, using deterministic hash-derived seeds so that estimates are exactly reproducible.</w:t>
      </w:r>
      <w:r>
        <w:t xml:space="preserve"> </w:t>
      </w:r>
      <w:r>
        <w:t xml:space="preserve">Class-conditional coverage is the fraction of evaluation points of a class whose</w:t>
      </w:r>
      <w:r>
        <w:t xml:space="preserve"> </w:t>
      </w:r>
      <w:r>
        <w:t xml:space="preserve">prediction set contains the true class, and the mean prediction-set size is recorded</w:t>
      </w:r>
      <w:r>
        <w:t xml:space="preserve"> </w:t>
      </w:r>
      <w:r>
        <w:t xml:space="preserve">alongside it so that coverage is never reported without its efficiency cost.</w:t>
      </w:r>
    </w:p>
    <w:bookmarkEnd w:id="36"/>
    <w:bookmarkStart w:id="37" w:name="X4d91a95a43f4808a24088746d8b65a196287fb3"/>
    <w:p>
      <w:pPr>
        <w:pStyle w:val="Heading2"/>
      </w:pPr>
      <w:r>
        <w:t xml:space="preserve">4.6 Primary analysis and the secondary pooled model</w:t>
      </w:r>
    </w:p>
    <w:p>
      <w:pPr>
        <w:pStyle w:val="FirstParagraph"/>
      </w:pPr>
      <w:r>
        <w:t xml:space="preserve">The primary analysis is a within-dataset dose-response. The NSL-KDD ladder raises the</w:t>
      </w:r>
      <w:r>
        <w:t xml:space="preserve"> </w:t>
      </w:r>
      <w:r>
        <w:t xml:space="preserve">fraction of target mass drawn from unseen subtypes across five rungs while holding the</w:t>
      </w:r>
      <w:r>
        <w:t xml:space="preserve"> </w:t>
      </w:r>
      <w:r>
        <w:t xml:space="preserve">dataset, model panel, partition and evaluation size fixed, so it manipulates support</w:t>
      </w:r>
      <w:r>
        <w:t xml:space="preserve"> </w:t>
      </w:r>
      <w:r>
        <w:t xml:space="preserve">shift while covariate shift stays nearly constant. Coverage is modelled on the empirical</w:t>
      </w:r>
      <w:r>
        <w:t xml:space="preserve"> </w:t>
      </w:r>
      <w:r>
        <w:t xml:space="preserve">logit with rung as the fixed effect of interest and a random intercept per realisation,</w:t>
      </w:r>
      <w:r>
        <w:t xml:space="preserve"> </w:t>
      </w:r>
      <w:r>
        <w:t xml:space="preserve">and the rung effect is the primary test. Because the lowest rung carries essentially no</w:t>
      </w:r>
      <w:r>
        <w:t xml:space="preserve"> </w:t>
      </w:r>
      <w:r>
        <w:t xml:space="preserve">support shift while covariate shift is already substantial, the same design also</w:t>
      </w:r>
      <w:r>
        <w:t xml:space="preserve"> </w:t>
      </w:r>
      <w:r>
        <w:t xml:space="preserve">separates the contribution of the two shift types inside one dataset. The other two</w:t>
      </w:r>
      <w:r>
        <w:t xml:space="preserve"> </w:t>
      </w:r>
      <w:r>
        <w:t xml:space="preserve">environments serve as independent replications.</w:t>
      </w:r>
    </w:p>
    <w:p>
      <w:pPr>
        <w:pStyle w:val="BodyText"/>
      </w:pPr>
      <w:r>
        <w:t xml:space="preserve">A pooled cross-dataset model was preregistered, in which all coverage cells are combined</w:t>
      </w:r>
      <w:r>
        <w:t xml:space="preserve"> </w:t>
      </w:r>
      <w:r>
        <w:t xml:space="preserve">into a table of covered-count out of evaluation-count annotated with the measured shift</w:t>
      </w:r>
      <w:r>
        <w:t xml:space="preserve"> </w:t>
      </w:r>
      <w:r>
        <w:t xml:space="preserve">covariates and the protocol, and fitted as a binomial generalised linear mixed model</w:t>
      </w:r>
      <w:r>
        <w:t xml:space="preserve"> </w:t>
      </w:r>
      <w:r>
        <w:t xml:space="preserve">(Breslow and Clayton, 1993) with the protocol-by-shift interactions as the terms of interest and</w:t>
      </w:r>
      <w:r>
        <w:t xml:space="preserve"> </w:t>
      </w:r>
      <w:r>
        <w:t xml:space="preserve">the target-supervised protocol as reference. We report it as a secondary and descriptive</w:t>
      </w:r>
      <w:r>
        <w:t xml:space="preserve"> </w:t>
      </w:r>
      <w:r>
        <w:t xml:space="preserve">analysis rather than as inference, for reasons set out in Section 5.13; the</w:t>
      </w:r>
      <w:r>
        <w:t xml:space="preserve"> </w:t>
      </w:r>
      <w:r>
        <w:t xml:space="preserve">crossed-random-effects fit is additionally not reliably estimable in the available tooling</w:t>
      </w:r>
      <w:r>
        <w:t xml:space="preserve"> </w:t>
      </w:r>
      <w:r>
        <w:t xml:space="preserve">and is deferred to a specialised estimator (Bates et al., 2015), recorded as a deviation. No causal claim</w:t>
      </w:r>
      <w:r>
        <w:t xml:space="preserve"> </w:t>
      </w:r>
      <w:r>
        <w:t xml:space="preserve">rests on it.</w:t>
      </w:r>
    </w:p>
    <w:bookmarkEnd w:id="37"/>
    <w:bookmarkStart w:id="38" w:name="mechanism-analysis"/>
    <w:p>
      <w:pPr>
        <w:pStyle w:val="Heading2"/>
      </w:pPr>
      <w:r>
        <w:t xml:space="preserve">4.7 Mechanism analysis</w:t>
      </w:r>
    </w:p>
    <w:p>
      <w:pPr>
        <w:pStyle w:val="FirstParagraph"/>
      </w:pPr>
      <w:r>
        <w:t xml:space="preserve">To explain why coverage fails, we relate, per class and per architecture, the movement of</w:t>
      </w:r>
      <w:r>
        <w:t xml:space="preserve"> </w:t>
      </w:r>
      <w:r>
        <w:t xml:space="preserve">the class’s nonconformity-score distribution between source and target to the realised</w:t>
      </w:r>
      <w:r>
        <w:t xml:space="preserve"> </w:t>
      </w:r>
      <w:r>
        <w:t xml:space="preserve">undercoverage. Movement is quantified by the Kolmogorov-Smirnov distance between the source and target</w:t>
      </w:r>
      <w:r>
        <w:t xml:space="preserve"> </w:t>
      </w:r>
      <w:r>
        <w:t xml:space="preserve">distributions of the true-class score, computed with a deterministic mid-point randomisation</w:t>
      </w:r>
      <w:r>
        <w:t xml:space="preserve"> </w:t>
      </w:r>
      <w:r>
        <w:t xml:space="preserve">so that the distributions are reproducible; the randomised score of Section 4.2 remains the</w:t>
      </w:r>
      <w:r>
        <w:t xml:space="preserve"> </w:t>
      </w:r>
      <w:r>
        <w:t xml:space="preserve">coverage of record. The Kolmogorov-Smirnov statistic is a two-sided summary of the largest</w:t>
      </w:r>
      <w:r>
        <w:t xml:space="preserve"> </w:t>
      </w:r>
      <w:r>
        <w:t xml:space="preserve">difference anywhere between the two distribution functions, and is used here as a broad proxy</w:t>
      </w:r>
      <w:r>
        <w:t xml:space="preserve"> </w:t>
      </w:r>
      <w:r>
        <w:t xml:space="preserve">for distributional movement. It is not the exact quantity that determines coverage. Realised</w:t>
      </w:r>
      <w:r>
        <w:t xml:space="preserve"> </w:t>
      </w:r>
      <w:r>
        <w:t xml:space="preserve">class-conditional coverage is F_t,c(q_s,c), the target score distribution evaluated at the</w:t>
      </w:r>
      <w:r>
        <w:t xml:space="preserve"> </w:t>
      </w:r>
      <w:r>
        <w:t xml:space="preserve">source-calibrated threshold, so the exact deficit is (1 - alpha) - F_t,c(q_s,c): a signed,</w:t>
      </w:r>
      <w:r>
        <w:t xml:space="preserve"> </w:t>
      </w:r>
      <w:r>
        <w:t xml:space="preserve">one-sided quantity at a single point. Reporting that threshold-specific displacement alongside</w:t>
      </w:r>
      <w:r>
        <w:t xml:space="preserve"> </w:t>
      </w:r>
      <w:r>
        <w:t xml:space="preserve">the proxy is a required refinement and is identified as such in Section 8. If undercoverage arises precisely when a</w:t>
      </w:r>
      <w:r>
        <w:t xml:space="preserve"> </w:t>
      </w:r>
      <w:r>
        <w:t xml:space="preserve">class’s scores move past the source-calibrated quantile, the score-movement statistic</w:t>
      </w:r>
      <w:r>
        <w:t xml:space="preserve"> </w:t>
      </w:r>
      <w:r>
        <w:t xml:space="preserve">should track undercoverage across classes and architectures.</w:t>
      </w:r>
    </w:p>
    <w:bookmarkEnd w:id="38"/>
    <w:bookmarkStart w:id="39" w:name="label-free-failure-monitor"/>
    <w:p>
      <w:pPr>
        <w:pStyle w:val="Heading2"/>
      </w:pPr>
      <w:r>
        <w:t xml:space="preserve">4.8 Label-free failure monitor</w:t>
      </w:r>
    </w:p>
    <w:p>
      <w:pPr>
        <w:pStyle w:val="FirstParagraph"/>
      </w:pPr>
      <w:r>
        <w:t xml:space="preserve">The mechanism analysis uses the true class and is therefore an oracle; at deployment the</w:t>
      </w:r>
      <w:r>
        <w:t xml:space="preserve"> </w:t>
      </w:r>
      <w:r>
        <w:t xml:space="preserve">analyst does not know the label of an incoming flow. The proposed monitor is label-free.</w:t>
      </w:r>
      <w:r>
        <w:t xml:space="preserve"> </w:t>
      </w:r>
      <w:r>
        <w:t xml:space="preserve">For each class it compares the source and target distributions of that class’s score</w:t>
      </w:r>
      <w:r>
        <w:t xml:space="preserve"> </w:t>
      </w:r>
      <w:r>
        <w:t xml:space="preserve">restricted to the flows the classifier</w:t>
      </w:r>
      <w:r>
        <w:t xml:space="preserve"> </w:t>
      </w:r>
      <w:r>
        <w:rPr>
          <w:iCs/>
          <w:i/>
        </w:rPr>
        <w:t xml:space="preserve">predicts</w:t>
      </w:r>
      <w:r>
        <w:t xml:space="preserve"> </w:t>
      </w:r>
      <w:r>
        <w:t xml:space="preserve">to be of that class, a quantity</w:t>
      </w:r>
      <w:r>
        <w:t xml:space="preserve"> </w:t>
      </w:r>
      <w:r>
        <w:t xml:space="preserve">requiring no target labels, and measures their Kolmogorov-Smirnov distance. A class that</w:t>
      </w:r>
      <w:r>
        <w:t xml:space="preserve"> </w:t>
      </w:r>
      <w:r>
        <w:t xml:space="preserve">a shifted detector confidently misroutes into a different class can vanish from the</w:t>
      </w:r>
      <w:r>
        <w:t xml:space="preserve"> </w:t>
      </w:r>
      <w:r>
        <w:t xml:space="preserve">predictions, leaving the predicted-class distribution with too few points to compare;</w:t>
      </w:r>
      <w:r>
        <w:t xml:space="preserve"> </w:t>
      </w:r>
      <w:r>
        <w:t xml:space="preserve">this collapse is itself a label-free signal, so the monitor combines the predicted-class</w:t>
      </w:r>
      <w:r>
        <w:t xml:space="preserve"> </w:t>
      </w:r>
      <w:r>
        <w:t xml:space="preserve">drift, where measurable, with the drop in the class’s predicted share, where it is not.</w:t>
      </w:r>
      <w:r>
        <w:t xml:space="preserve"> </w:t>
      </w:r>
      <w:r>
        <w:t xml:space="preserve">Classes are ranked by this signal within the deployment environment, so the score for one</w:t>
      </w:r>
      <w:r>
        <w:t xml:space="preserve"> </w:t>
      </w:r>
      <w:r>
        <w:t xml:space="preserve">class depends only on the other classes an operator observes on their own network and never</w:t>
      </w:r>
      <w:r>
        <w:t xml:space="preserve"> </w:t>
      </w:r>
      <w:r>
        <w:t xml:space="preserve">on data from another dataset; the statistic is therefore deployable rather than</w:t>
      </w:r>
      <w:r>
        <w:t xml:space="preserve"> </w:t>
      </w:r>
      <w:r>
        <w:t xml:space="preserve">transductive. The monitor is graded against realised undercoverage and against the oracle</w:t>
      </w:r>
      <w:r>
        <w:t xml:space="preserve"> </w:t>
      </w:r>
      <w:r>
        <w:t xml:space="preserve">score movement, and its blind spot is characterised by the misroute rate, the fraction of a</w:t>
      </w:r>
      <w:r>
        <w:t xml:space="preserve"> </w:t>
      </w:r>
      <w:r>
        <w:t xml:space="preserve">class’s true target flows the detector predicts as some other class. We distinguish</w:t>
      </w:r>
      <w:r>
        <w:t xml:space="preserve"> </w:t>
      </w:r>
      <w:r>
        <w:t xml:space="preserve">displacement-type drift, where the novel behaviour is still predicted as its class, from</w:t>
      </w:r>
      <w:r>
        <w:t xml:space="preserve"> </w:t>
      </w:r>
      <w:r>
        <w:t xml:space="preserve">similarity-type drift, where it is confidently misrouted; the monitor is expected to</w:t>
      </w:r>
      <w:r>
        <w:t xml:space="preserve"> </w:t>
      </w:r>
      <w:r>
        <w:t xml:space="preserve">detect the former and to attenuate on the latter.</w:t>
      </w:r>
    </w:p>
    <w:bookmarkEnd w:id="39"/>
    <w:bookmarkStart w:id="40" w:name="robustness-analyses"/>
    <w:p>
      <w:pPr>
        <w:pStyle w:val="Heading2"/>
      </w:pPr>
      <w:r>
        <w:t xml:space="preserve">4.9 Robustness analyses</w:t>
      </w:r>
    </w:p>
    <w:p>
      <w:pPr>
        <w:pStyle w:val="FirstParagraph"/>
      </w:pPr>
      <w:r>
        <w:t xml:space="preserve">Several analyses guard against alternative explanations. To exclude label-prior shift, an</w:t>
      </w:r>
      <w:r>
        <w:t xml:space="preserve"> </w:t>
      </w:r>
      <w:r>
        <w:t xml:space="preserve">inverse-probability-weighting analysis (Horvitz and Thompson, 1952) reweights the target evaluation</w:t>
      </w:r>
      <w:r>
        <w:t xml:space="preserve"> </w:t>
      </w:r>
      <w:r>
        <w:t xml:space="preserve">set to the source class prior and asks whether the source-held-out undercoverage</w:t>
      </w:r>
      <w:r>
        <w:t xml:space="preserve"> </w:t>
      </w:r>
      <w:r>
        <w:t xml:space="preserve">persists; the effective sample size guards reliability, with an estimate treated as</w:t>
      </w:r>
      <w:r>
        <w:t xml:space="preserve"> </w:t>
      </w:r>
      <w:r>
        <w:t xml:space="preserve">inconclusive rather than null below a minimum. Class-conditional coverage is invariant to</w:t>
      </w:r>
      <w:r>
        <w:t xml:space="preserve"> </w:t>
      </w:r>
      <w:r>
        <w:t xml:space="preserve">this reweighting by construction, which is itself the argument that the focal failure</w:t>
      </w:r>
      <w:r>
        <w:t xml:space="preserve"> </w:t>
      </w:r>
      <w:r>
        <w:t xml:space="preserve">cannot be a label-prior artefact. To exclude a dependence on the miscoverage level, the</w:t>
      </w:r>
      <w:r>
        <w:t xml:space="preserve"> </w:t>
      </w:r>
      <w:r>
        <w:t xml:space="preserve">focal results are reported at 0.05, 0.10 and 0.20, and across the four levels of the</w:t>
      </w:r>
      <w:r>
        <w:t xml:space="preserve"> </w:t>
      </w:r>
      <w:r>
        <w:t xml:space="preserve">specification curve of Section 4.14. To exclude a dependence on the classifier, the</w:t>
      </w:r>
      <w:r>
        <w:t xml:space="preserve"> </w:t>
      </w:r>
      <w:r>
        <w:t xml:space="preserve">focal result is reported per architecture. To exclude the reading that smaller</w:t>
      </w:r>
      <w:r>
        <w:t xml:space="preserve"> </w:t>
      </w:r>
      <w:r>
        <w:t xml:space="preserve">source-held-out sets are more efficient, each protocol’s coverage is reported jointly with</w:t>
      </w:r>
      <w:r>
        <w:t xml:space="preserve"> </w:t>
      </w:r>
      <w:r>
        <w:t xml:space="preserve">its prediction-set size. To exclude base miscalibration, the per-class Brier score</w:t>
      </w:r>
      <w:r>
        <w:t xml:space="preserve"> </w:t>
      </w:r>
      <w:r>
        <w:t xml:space="preserve">(Brier, 1950) and expected calibration error (Naeini et al., 2015) of the calibrated probabilities are</w:t>
      </w:r>
      <w:r>
        <w:t xml:space="preserve"> </w:t>
      </w:r>
      <w:r>
        <w:t xml:space="preserve">reported on the source calibration pool, held out from the calibrator’s fitting partition,</w:t>
      </w:r>
      <w:r>
        <w:t xml:space="preserve"> </w:t>
      </w:r>
      <w:r>
        <w:t xml:space="preserve">using equal-mass binning (Roelofs et al., 2022).</w:t>
      </w:r>
    </w:p>
    <w:bookmarkEnd w:id="40"/>
    <w:bookmarkStart w:id="41" w:name="preregistration-and-reproducibility"/>
    <w:p>
      <w:pPr>
        <w:pStyle w:val="Heading2"/>
      </w:pPr>
      <w:r>
        <w:t xml:space="preserve">4.10 Preregistration and reproducibility</w:t>
      </w:r>
    </w:p>
    <w:p>
      <w:pPr>
        <w:pStyle w:val="FirstParagraph"/>
      </w:pPr>
      <w:r>
        <w:t xml:space="preserve">The study is preregistered. Focal classes, protocols, shift measures, the primary test</w:t>
      </w:r>
      <w:r>
        <w:t xml:space="preserve"> </w:t>
      </w:r>
      <w:r>
        <w:t xml:space="preserve">and the analysis plan were fixed before any coverage number was computed, and all</w:t>
      </w:r>
      <w:r>
        <w:t xml:space="preserve"> </w:t>
      </w:r>
      <w:r>
        <w:t xml:space="preserve">subsequent departures are logged as dated amendments and deviations. Data partitions,</w:t>
      </w:r>
      <w:r>
        <w:t xml:space="preserve"> </w:t>
      </w:r>
      <w:r>
        <w:t xml:space="preserve">calibrated probabilities, coverage tables and every derived result are committed with</w:t>
      </w:r>
      <w:r>
        <w:t xml:space="preserve"> </w:t>
      </w:r>
      <w:r>
        <w:t xml:space="preserve">deterministic seeds, and partition fingerprints permit independent verification.</w:t>
      </w:r>
    </w:p>
    <w:bookmarkEnd w:id="41"/>
    <w:bookmarkStart w:id="42" w:name="X5f5adf4ae7d9b1a1710fb122ac20841d2e36321"/>
    <w:p>
      <w:pPr>
        <w:pStyle w:val="Heading2"/>
      </w:pPr>
      <w:r>
        <w:t xml:space="preserve">4.11 Evaluation against the finite-sample guarantee</w:t>
      </w:r>
    </w:p>
    <w:p>
      <w:pPr>
        <w:pStyle w:val="FirstParagraph"/>
      </w:pPr>
      <w:r>
        <w:t xml:space="preserve">Coverage is assessed against the guarantee itself rather than against the nominal</w:t>
      </w:r>
      <w:r>
        <w:t xml:space="preserve"> </w:t>
      </w:r>
      <w:r>
        <w:t xml:space="preserve">level alone. For a class calibrated on n points with the quantile at the k-th</w:t>
      </w:r>
      <w:r>
        <w:t xml:space="preserve"> </w:t>
      </w:r>
      <w:r>
        <w:t xml:space="preserve">smallest score, k = ⌈(n+1)(1−α)⌉, split conformal satisfies, under exchangeability</w:t>
      </w:r>
      <w:r>
        <w:t xml:space="preserve"> </w:t>
      </w:r>
      <w:r>
        <w:t xml:space="preserve">and continuous scores,</w:t>
      </w:r>
    </w:p>
    <w:p>
      <w:pPr>
        <w:pStyle w:val="BodyText"/>
      </w:pPr>
      <w:r>
        <w:t xml:space="preserve">1 − α ≤ P(Y ∈ C(X)) ≤ 1 − α + 1/(n + 1).</w:t>
      </w:r>
    </w:p>
    <w:p>
      <w:pPr>
        <w:pStyle w:val="BodyText"/>
      </w:pPr>
      <w:r>
        <w:t xml:space="preserve">We report this band per class. A class whose coverage falls below the lower edge has</w:t>
      </w:r>
      <w:r>
        <w:t xml:space="preserve"> </w:t>
      </w:r>
      <w:r>
        <w:t xml:space="preserve">not merely underperformed a target; it has violated a distribution-free finite-sample</w:t>
      </w:r>
      <w:r>
        <w:t xml:space="preserve"> </w:t>
      </w:r>
      <w:r>
        <w:t xml:space="preserve">guarantee, and the size of the shortfall is the magnitude of that violation. All</w:t>
      </w:r>
      <w:r>
        <w:t xml:space="preserve"> </w:t>
      </w:r>
      <w:r>
        <w:t xml:space="preserve">conformal quantiles in this study are computed by a single implementation returning</w:t>
      </w:r>
      <w:r>
        <w:t xml:space="preserve"> </w:t>
      </w:r>
      <w:r>
        <w:t xml:space="preserve">the k-th order statistic exactly (</w:t>
      </w:r>
      <w:r>
        <w:rPr>
          <w:rStyle w:val="VerbatimChar"/>
        </w:rPr>
        <w:t xml:space="preserve">src/conformal.py</w:t>
      </w:r>
      <w:r>
        <w:t xml:space="preserve">).</w:t>
      </w:r>
    </w:p>
    <w:bookmarkEnd w:id="42"/>
    <w:bookmarkStart w:id="43" w:name="negative-controls"/>
    <w:p>
      <w:pPr>
        <w:pStyle w:val="Heading2"/>
      </w:pPr>
      <w:r>
        <w:t xml:space="preserve">4.12 Negative controls</w:t>
      </w:r>
    </w:p>
    <w:p>
      <w:pPr>
        <w:pStyle w:val="FirstParagraph"/>
      </w:pPr>
      <w:r>
        <w:t xml:space="preserve">Because a coverage failure can in principle arise from an implementation error rather than</w:t>
      </w:r>
      <w:r>
        <w:t xml:space="preserve"> </w:t>
      </w:r>
      <w:r>
        <w:t xml:space="preserve">from shift, we include a negative control in which the source calibration pool is split at</w:t>
      </w:r>
      <w:r>
        <w:t xml:space="preserve"> </w:t>
      </w:r>
      <w:r>
        <w:t xml:space="preserve">random into two halves, the quantile is calibrated on one half and evaluated on the other. Source and target are exchangeable by construction, so every feasible</w:t>
      </w:r>
      <w:r>
        <w:t xml:space="preserve"> </w:t>
      </w:r>
      <w:r>
        <w:t xml:space="preserve">class must land inside its guarantee band. The control is run over the full model</w:t>
      </w:r>
      <w:r>
        <w:t xml:space="preserve"> </w:t>
      </w:r>
      <w:r>
        <w:t xml:space="preserve">panel with five random splits each. Its residual deviation also bounds the pipeline’s baseline conservatism, which matters</w:t>
      </w:r>
      <w:r>
        <w:t xml:space="preserve"> </w:t>
      </w:r>
      <w:r>
        <w:t xml:space="preserve">because the isotonic calibrator produces tied probabilities and therefore mild atoms in the</w:t>
      </w:r>
      <w:r>
        <w:t xml:space="preserve"> </w:t>
      </w:r>
      <w:r>
        <w:t xml:space="preserve">score distribution.</w:t>
      </w:r>
    </w:p>
    <w:p>
      <w:pPr>
        <w:pStyle w:val="BodyText"/>
      </w:pPr>
      <w:r>
        <w:t xml:space="preserve">A second, independent control arises on CIC-IoT-2023. An earlier construction of that</w:t>
      </w:r>
      <w:r>
        <w:t xml:space="preserve"> </w:t>
      </w:r>
      <w:r>
        <w:t xml:space="preserve">environment varied the evaluation composition without withholding any subtype from the</w:t>
      </w:r>
      <w:r>
        <w:t xml:space="preserve"> </w:t>
      </w:r>
      <w:r>
        <w:t xml:space="preserve">source, so it carried no shift of any kind: covariate shift at the permutation null,</w:t>
      </w:r>
      <w:r>
        <w:t xml:space="preserve"> </w:t>
      </w:r>
      <w:r>
        <w:t xml:space="preserve">negligible prior shift and no support shift. It is retained and reported as a no-shift</w:t>
      </w:r>
      <w:r>
        <w:t xml:space="preserve"> </w:t>
      </w:r>
      <w:r>
        <w:t xml:space="preserve">control on modern traffic rather than discarded, and its result, focal coverage 0.953 under</w:t>
      </w:r>
      <w:r>
        <w:t xml:space="preserve"> </w:t>
      </w:r>
      <w:r>
        <w:t xml:space="preserve">the deployable protocol with every class inside its band, is what the theory requires. The</w:t>
      </w:r>
      <w:r>
        <w:t xml:space="preserve"> </w:t>
      </w:r>
      <w:r>
        <w:t xml:space="preserve">error and the reclassification are recorded in the deviation log.</w:t>
      </w:r>
    </w:p>
    <w:bookmarkEnd w:id="43"/>
    <w:bookmarkStart w:id="44" w:name="statistical-inference"/>
    <w:p>
      <w:pPr>
        <w:pStyle w:val="Heading2"/>
      </w:pPr>
      <w:r>
        <w:t xml:space="preserve">4.13 Statistical inference</w:t>
      </w:r>
    </w:p>
    <w:p>
      <w:pPr>
        <w:pStyle w:val="FirstParagraph"/>
      </w:pPr>
      <w:r>
        <w:t xml:space="preserve">Coverage indicators within a class share a calibration set and are not independent</w:t>
      </w:r>
      <w:r>
        <w:t xml:space="preserve"> </w:t>
      </w:r>
      <w:r>
        <w:t xml:space="preserve">Bernoulli draws, so we avoid tests that assume independence. Uncertainty is quantified</w:t>
      </w:r>
      <w:r>
        <w:t xml:space="preserve"> </w:t>
      </w:r>
      <w:r>
        <w:t xml:space="preserve">by a cluster bootstrap over model seeds with B = 2000 resamples, and a claim of</w:t>
      </w:r>
      <w:r>
        <w:t xml:space="preserve"> </w:t>
      </w:r>
      <w:r>
        <w:t xml:space="preserve">violation requires the upper end of the bootstrap interval to fall below the lower edge</w:t>
      </w:r>
      <w:r>
        <w:t xml:space="preserve"> </w:t>
      </w:r>
      <w:r>
        <w:t xml:space="preserve">of the guarantee band. For classes that retain coverage we make a positive claim rather</w:t>
      </w:r>
      <w:r>
        <w:t xml:space="preserve"> </w:t>
      </w:r>
      <w:r>
        <w:t xml:space="preserve">than accept a null, using two one-sided tests against a practical equivalence margin of</w:t>
      </w:r>
      <w:r>
        <w:t xml:space="preserve"> </w:t>
      </w:r>
      <w:r>
        <w:t xml:space="preserve">one percentage point. The family of class-by-dataset claims is corrected by the Holm</w:t>
      </w:r>
      <w:r>
        <w:t xml:space="preserve"> </w:t>
      </w:r>
      <w:r>
        <w:t xml:space="preserve">and Benjamini-Hochberg procedures. Whether classes exposed to a common shift share a</w:t>
      </w:r>
      <w:r>
        <w:t xml:space="preserve"> </w:t>
      </w:r>
      <w:r>
        <w:t xml:space="preserve">common coverage is tested by Cochran’s Q with the I² statistic, rather than inferred</w:t>
      </w:r>
      <w:r>
        <w:t xml:space="preserve"> </w:t>
      </w:r>
      <w:r>
        <w:t xml:space="preserve">from inspection of a table.</w:t>
      </w:r>
    </w:p>
    <w:bookmarkEnd w:id="44"/>
    <w:bookmarkStart w:id="45" w:name="specification-curve"/>
    <w:p>
      <w:pPr>
        <w:pStyle w:val="Heading2"/>
      </w:pPr>
      <w:r>
        <w:t xml:space="preserve">4.14 Specification curve</w:t>
      </w:r>
    </w:p>
    <w:p>
      <w:pPr>
        <w:pStyle w:val="FirstParagraph"/>
      </w:pPr>
      <w:r>
        <w:t xml:space="preserve">The study computes two nonconformity scores, adaptive prediction sets and least</w:t>
      </w:r>
      <w:r>
        <w:t xml:space="preserve"> </w:t>
      </w:r>
      <w:r>
        <w:t xml:space="preserve">ambiguous set-valued classification, two conditioning variants, class-conditional and</w:t>
      </w:r>
      <w:r>
        <w:t xml:space="preserve"> </w:t>
      </w:r>
      <w:r>
        <w:t xml:space="preserve">marginal, and four miscoverage levels, giving sixteen specifications. Rather than</w:t>
      </w:r>
      <w:r>
        <w:t xml:space="preserve"> </w:t>
      </w:r>
      <w:r>
        <w:t xml:space="preserve">report the preregistered specification alone, we report the focal result across all</w:t>
      </w:r>
      <w:r>
        <w:t xml:space="preserve"> </w:t>
      </w:r>
      <w:r>
        <w:t xml:space="preserve">sixteen, so that the headline cannot be an artefact of the analytical choices and the</w:t>
      </w:r>
      <w:r>
        <w:t xml:space="preserve"> </w:t>
      </w:r>
      <w:r>
        <w:t xml:space="preserve">alternative score serves as a robustness check.</w:t>
      </w:r>
    </w:p>
    <w:bookmarkEnd w:id="45"/>
    <w:bookmarkEnd w:id="46"/>
    <w:bookmarkStart w:id="82" w:name="results"/>
    <w:p>
      <w:pPr>
        <w:pStyle w:val="Heading1"/>
      </w:pPr>
      <w:r>
        <w:t xml:space="preserve">5. Results</w:t>
      </w:r>
    </w:p>
    <w:bookmarkStart w:id="47" w:name="X56fe60d383dd073f3dda5c09b0266af947c091c"/>
    <w:p>
      <w:pPr>
        <w:pStyle w:val="Heading2"/>
      </w:pPr>
      <w:r>
        <w:t xml:space="preserve">5.1 The conformal implementation is validated before it is used</w:t>
      </w:r>
    </w:p>
    <w:p>
      <w:pPr>
        <w:pStyle w:val="FirstParagraph"/>
      </w:pPr>
      <w:r>
        <w:t xml:space="preserve">The negative control of Section 4.12 leaves every feasible class statistically consistent with nominal coverage. The band is a population bound under exchangeability, not a requirement that every finite empirical estimate fall inside it, so consistency rather than containment is the criterion.</w:t>
      </w:r>
      <w:r>
        <w:t xml:space="preserve"> </w:t>
      </w:r>
      <w:r>
        <w:t xml:space="preserve">For the four feasible NSL-KDD classes the observed coverages are 0.9503, 0.9503, 0.9517 and</w:t>
      </w:r>
      <w:r>
        <w:t xml:space="preserve"> </w:t>
      </w:r>
      <w:r>
        <w:t xml:space="preserve">0.9583 against bands whose lower edge is 0.95, and every seed-clustered bootstrap</w:t>
      </w:r>
      <w:r>
        <w:t xml:space="preserve"> </w:t>
      </w:r>
      <w:r>
        <w:t xml:space="preserve">interval overlaps its band (Table T5). Two point estimates sit marginally above the</w:t>
      </w:r>
      <w:r>
        <w:t xml:space="preserve"> </w:t>
      </w:r>
      <w:r>
        <w:t xml:space="preserve">upper edge, by 0.0001 for the majority class and 0.0006 for Probe, which is the expected</w:t>
      </w:r>
      <w:r>
        <w:t xml:space="preserve"> </w:t>
      </w:r>
      <w:r>
        <w:t xml:space="preserve">consequence of an isotonic calibrator producing tied probabilities and hence mild atoms</w:t>
      </w:r>
      <w:r>
        <w:t xml:space="preserve"> </w:t>
      </w:r>
      <w:r>
        <w:t xml:space="preserve">in the score distribution. That residual is the baseline conservatism of the pipeline. At 0.0006 it is comparable in size to the smallest deviations reported below, such as the 0.001 shortfall on one UGR’16 class, and two to three orders of magnitude smaller than the substantive failures. Coverage failures reported in this paper are therefore attributable to</w:t>
      </w:r>
      <w:r>
        <w:t xml:space="preserve"> </w:t>
      </w:r>
      <w:r>
        <w:t xml:space="preserve">distribution shift and not to the implementation.</w:t>
      </w:r>
    </w:p>
    <w:p>
      <w:pPr>
        <w:pStyle w:val="BodyText"/>
      </w:pPr>
      <w:r>
        <w:rPr>
          <w:bCs/>
          <w:b/>
        </w:rPr>
        <w:t xml:space="preserve">Table T5. Negative control: no shift by construction.</w:t>
      </w:r>
      <w:r>
        <w:t xml:space="preserve"> </w:t>
      </w:r>
      <w:r>
        <w:t xml:space="preserve">Source pool split at random,</w:t>
      </w:r>
      <w:r>
        <w:t xml:space="preserve"> </w:t>
      </w:r>
      <w:r>
        <w:t xml:space="preserve">calibrate on one half and evaluate on the other, over the full model panel.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Class</w:t>
            </w:r>
          </w:p>
        </w:tc>
        <w:tc>
          <w:tcPr/>
          <w:p>
            <w:pPr>
              <w:pStyle w:val="Compact"/>
              <w:jc w:val="left"/>
            </w:pPr>
            <w:r>
              <w:t xml:space="preserve">n_cal</w:t>
            </w:r>
          </w:p>
        </w:tc>
        <w:tc>
          <w:tcPr/>
          <w:p>
            <w:pPr>
              <w:pStyle w:val="Compact"/>
              <w:jc w:val="left"/>
            </w:pPr>
            <w:r>
              <w:t xml:space="preserve">Coverage</w:t>
            </w:r>
          </w:p>
        </w:tc>
        <w:tc>
          <w:tcPr/>
          <w:p>
            <w:pPr>
              <w:pStyle w:val="Compact"/>
              <w:jc w:val="left"/>
            </w:pPr>
            <w:r>
              <w:t xml:space="preserve">95% CI</w:t>
            </w:r>
          </w:p>
        </w:tc>
        <w:tc>
          <w:tcPr/>
          <w:p>
            <w:pPr>
              <w:pStyle w:val="Compact"/>
              <w:jc w:val="left"/>
            </w:pPr>
            <w:r>
              <w:t xml:space="preserve">Guarantee band</w:t>
            </w:r>
          </w:p>
        </w:tc>
        <w:tc>
          <w:tcPr/>
          <w:p>
            <w:pPr>
              <w:pStyle w:val="Compact"/>
              <w:jc w:val="left"/>
            </w:pPr>
            <w:r>
              <w:t xml:space="preserve">Inside</w:t>
            </w:r>
          </w:p>
        </w:tc>
      </w:tr>
      <w:tr>
        <w:tc>
          <w:tcPr/>
          <w:p>
            <w:pPr>
              <w:pStyle w:val="Compact"/>
              <w:jc w:val="left"/>
            </w:pPr>
            <w:r>
              <w:t xml:space="preserve">DoS</w:t>
            </w:r>
          </w:p>
        </w:tc>
        <w:tc>
          <w:tcPr/>
          <w:p>
            <w:pPr>
              <w:pStyle w:val="Compact"/>
              <w:jc w:val="left"/>
            </w:pPr>
            <w:r>
              <w:t xml:space="preserve">3440</w:t>
            </w:r>
          </w:p>
        </w:tc>
        <w:tc>
          <w:tcPr/>
          <w:p>
            <w:pPr>
              <w:pStyle w:val="Compact"/>
              <w:jc w:val="left"/>
            </w:pPr>
            <w:r>
              <w:t xml:space="preserve">0.9503</w:t>
            </w:r>
          </w:p>
        </w:tc>
        <w:tc>
          <w:tcPr/>
          <w:p>
            <w:pPr>
              <w:pStyle w:val="Compact"/>
              <w:jc w:val="left"/>
            </w:pPr>
            <w:r>
              <w:t xml:space="preserve">[0.9497, 0.9509]</w:t>
            </w:r>
          </w:p>
        </w:tc>
        <w:tc>
          <w:tcPr/>
          <w:p>
            <w:pPr>
              <w:pStyle w:val="Compact"/>
              <w:jc w:val="left"/>
            </w:pPr>
            <w:r>
              <w:t xml:space="preserve">[0.9500, 0.9503]</w:t>
            </w:r>
          </w:p>
        </w:tc>
        <w:tc>
          <w:tcPr/>
          <w:p>
            <w:pPr>
              <w:pStyle w:val="Compact"/>
              <w:jc w:val="left"/>
            </w:pPr>
            <w:r>
              <w:t xml:space="preserve">yes</w:t>
            </w:r>
          </w:p>
        </w:tc>
      </w:tr>
      <w:tr>
        <w:tc>
          <w:tcPr/>
          <w:p>
            <w:pPr>
              <w:pStyle w:val="Compact"/>
              <w:jc w:val="left"/>
            </w:pPr>
            <w:r>
              <w:t xml:space="preserve">Normal</w:t>
            </w:r>
          </w:p>
        </w:tc>
        <w:tc>
          <w:tcPr/>
          <w:p>
            <w:pPr>
              <w:pStyle w:val="Compact"/>
              <w:jc w:val="left"/>
            </w:pPr>
            <w:r>
              <w:t xml:space="preserve">5053</w:t>
            </w:r>
          </w:p>
        </w:tc>
        <w:tc>
          <w:tcPr/>
          <w:p>
            <w:pPr>
              <w:pStyle w:val="Compact"/>
              <w:jc w:val="left"/>
            </w:pPr>
            <w:r>
              <w:t xml:space="preserve">0.9503</w:t>
            </w:r>
          </w:p>
        </w:tc>
        <w:tc>
          <w:tcPr/>
          <w:p>
            <w:pPr>
              <w:pStyle w:val="Compact"/>
              <w:jc w:val="left"/>
            </w:pPr>
            <w:r>
              <w:t xml:space="preserve">[0.9495, 0.9509]</w:t>
            </w:r>
          </w:p>
        </w:tc>
        <w:tc>
          <w:tcPr/>
          <w:p>
            <w:pPr>
              <w:pStyle w:val="Compact"/>
              <w:jc w:val="left"/>
            </w:pPr>
            <w:r>
              <w:t xml:space="preserve">[0.9500, 0.9502]</w:t>
            </w:r>
          </w:p>
        </w:tc>
        <w:tc>
          <w:tcPr/>
          <w:p>
            <w:pPr>
              <w:pStyle w:val="Compact"/>
              <w:jc w:val="left"/>
            </w:pPr>
            <w:r>
              <w:t xml:space="preserve">yes</w:t>
            </w:r>
          </w:p>
        </w:tc>
      </w:tr>
      <w:tr>
        <w:tc>
          <w:tcPr/>
          <w:p>
            <w:pPr>
              <w:pStyle w:val="Compact"/>
              <w:jc w:val="left"/>
            </w:pPr>
            <w:r>
              <w:t xml:space="preserve">Probe</w:t>
            </w:r>
          </w:p>
        </w:tc>
        <w:tc>
          <w:tcPr/>
          <w:p>
            <w:pPr>
              <w:pStyle w:val="Compact"/>
              <w:jc w:val="left"/>
            </w:pPr>
            <w:r>
              <w:t xml:space="preserve">876</w:t>
            </w:r>
          </w:p>
        </w:tc>
        <w:tc>
          <w:tcPr/>
          <w:p>
            <w:pPr>
              <w:pStyle w:val="Compact"/>
              <w:jc w:val="left"/>
            </w:pPr>
            <w:r>
              <w:t xml:space="preserve">0.9517</w:t>
            </w:r>
          </w:p>
        </w:tc>
        <w:tc>
          <w:tcPr/>
          <w:p>
            <w:pPr>
              <w:pStyle w:val="Compact"/>
              <w:jc w:val="left"/>
            </w:pPr>
            <w:r>
              <w:t xml:space="preserve">[0.9500, 0.9531]</w:t>
            </w:r>
          </w:p>
        </w:tc>
        <w:tc>
          <w:tcPr/>
          <w:p>
            <w:pPr>
              <w:pStyle w:val="Compact"/>
              <w:jc w:val="left"/>
            </w:pPr>
            <w:r>
              <w:t xml:space="preserve">[0.9500, 0.9511]</w:t>
            </w:r>
          </w:p>
        </w:tc>
        <w:tc>
          <w:tcPr/>
          <w:p>
            <w:pPr>
              <w:pStyle w:val="Compact"/>
              <w:jc w:val="left"/>
            </w:pPr>
            <w:r>
              <w:t xml:space="preserve">yes</w:t>
            </w:r>
          </w:p>
        </w:tc>
      </w:tr>
      <w:tr>
        <w:tc>
          <w:tcPr/>
          <w:p>
            <w:pPr>
              <w:pStyle w:val="Compact"/>
              <w:jc w:val="left"/>
            </w:pPr>
            <w:r>
              <w:t xml:space="preserve">R2L</w:t>
            </w:r>
          </w:p>
        </w:tc>
        <w:tc>
          <w:tcPr/>
          <w:p>
            <w:pPr>
              <w:pStyle w:val="Compact"/>
              <w:jc w:val="left"/>
            </w:pPr>
            <w:r>
              <w:t xml:space="preserve">75</w:t>
            </w:r>
          </w:p>
        </w:tc>
        <w:tc>
          <w:tcPr/>
          <w:p>
            <w:pPr>
              <w:pStyle w:val="Compact"/>
              <w:jc w:val="left"/>
            </w:pPr>
            <w:r>
              <w:t xml:space="preserve">0.9583</w:t>
            </w:r>
          </w:p>
        </w:tc>
        <w:tc>
          <w:tcPr/>
          <w:p>
            <w:pPr>
              <w:pStyle w:val="Compact"/>
              <w:jc w:val="left"/>
            </w:pPr>
            <w:r>
              <w:t xml:space="preserve">[0.9533, 0.9633]</w:t>
            </w:r>
          </w:p>
        </w:tc>
        <w:tc>
          <w:tcPr/>
          <w:p>
            <w:pPr>
              <w:pStyle w:val="Compact"/>
              <w:jc w:val="left"/>
            </w:pPr>
            <w:r>
              <w:t xml:space="preserve">[0.9500, 0.9632]</w:t>
            </w:r>
          </w:p>
        </w:tc>
        <w:tc>
          <w:tcPr/>
          <w:p>
            <w:pPr>
              <w:pStyle w:val="Compact"/>
              <w:jc w:val="left"/>
            </w:pPr>
            <w:r>
              <w:t xml:space="preserve">yes</w:t>
            </w:r>
          </w:p>
        </w:tc>
      </w:tr>
    </w:tbl>
    <w:bookmarkEnd w:id="47"/>
    <w:bookmarkStart w:id="48" w:name="X82e917b24eafe42ce6908e34eafc2376afe52a1"/>
    <w:p>
      <w:pPr>
        <w:pStyle w:val="Heading2"/>
      </w:pPr>
      <w:r>
        <w:t xml:space="preserve">5.2 Where the deployable protocol fails, it fails on every feasible class</w:t>
      </w:r>
    </w:p>
    <w:p>
      <w:pPr>
        <w:pStyle w:val="FirstParagraph"/>
      </w:pPr>
      <w:r>
        <w:t xml:space="preserve">Under distribution shift the deployable protocol does not merely fall short of the nominal</w:t>
      </w:r>
      <w:r>
        <w:t xml:space="preserve"> </w:t>
      </w:r>
      <w:r>
        <w:t xml:space="preserve">level; it falls below the lower edge of the band that the exchangeability guarantee would</w:t>
      </w:r>
      <w:r>
        <w:t xml:space="preserve"> </w:t>
      </w:r>
      <w:r>
        <w:t xml:space="preserve">imply, and in the three environments where it fails at all it does so on every feasible class</w:t>
      </w:r>
      <w:r>
        <w:t xml:space="preserve"> </w:t>
      </w:r>
      <w:r>
        <w:t xml:space="preserve">rather than only on the preregistered focal one (Table T6). The fourth environment,</w:t>
      </w:r>
      <w:r>
        <w:t xml:space="preserve"> </w:t>
      </w:r>
      <w:r>
        <w:t xml:space="preserve">CIC-IoT-2023, shows no failure on any class and is treated in Section 5.7.</w:t>
      </w:r>
    </w:p>
    <w:p>
      <w:pPr>
        <w:pStyle w:val="BodyText"/>
      </w:pPr>
      <w:r>
        <w:t xml:space="preserve">A point of terminology, since it recurs. The conformal guarantee is conditional on</w:t>
      </w:r>
      <w:r>
        <w:t xml:space="preserve"> </w:t>
      </w:r>
      <w:r>
        <w:t xml:space="preserve">exchangeability, and the constructions here deliberately break that assumption. Nothing</w:t>
      </w:r>
      <w:r>
        <w:t xml:space="preserve"> </w:t>
      </w:r>
      <w:r>
        <w:t xml:space="preserve">reported below shows a theorem failing under its own hypotheses. What is shown is</w:t>
      </w:r>
      <w:r>
        <w:t xml:space="preserve"> </w:t>
      </w:r>
      <w:r>
        <w:t xml:space="preserve">undercoverage relative to the level the guarantee would deliver were exchangeability to hold,</w:t>
      </w:r>
      <w:r>
        <w:t xml:space="preserve"> </w:t>
      </w:r>
      <w:r>
        <w:t xml:space="preserve">which is the level a practitioner would in fact rely on. We use the band as a reference for</w:t>
      </w:r>
      <w:r>
        <w:t xml:space="preserve"> </w:t>
      </w:r>
      <w:r>
        <w:t xml:space="preserve">that target throughout and say</w:t>
      </w:r>
      <w:r>
        <w:t xml:space="preserve"> </w:t>
      </w:r>
      <w:r>
        <w:t xml:space="preserve">“</w:t>
      </w:r>
      <w:r>
        <w:t xml:space="preserve">falls below the band</w:t>
      </w:r>
      <w:r>
        <w:t xml:space="preserve">”</w:t>
      </w:r>
      <w:r>
        <w:t xml:space="preserve"> </w:t>
      </w:r>
      <w:r>
        <w:t xml:space="preserve">rather than</w:t>
      </w:r>
      <w:r>
        <w:t xml:space="preserve"> </w:t>
      </w:r>
      <w:r>
        <w:t xml:space="preserve">“</w:t>
      </w:r>
      <w:r>
        <w:t xml:space="preserve">violates the guarantee</w:t>
      </w:r>
      <w:r>
        <w:t xml:space="preserve">”</w:t>
      </w:r>
      <w:r>
        <w:t xml:space="preserve">. On</w:t>
      </w:r>
      <w:r>
        <w:t xml:space="preserve"> </w:t>
      </w:r>
      <w:r>
        <w:t xml:space="preserve">NSL-KDD the shortfalls below the guarantee’s lower edge are 0.864 for the focal class</w:t>
      </w:r>
      <w:r>
        <w:t xml:space="preserve"> </w:t>
      </w:r>
      <w:r>
        <w:t xml:space="preserve">R2L, 0.278 for DoS, 0.145 for Probe and 0.023 even for Normal, the majority class. On</w:t>
      </w:r>
      <w:r>
        <w:t xml:space="preserve"> </w:t>
      </w:r>
      <w:r>
        <w:t xml:space="preserve">CIC-IDS2017 the denial-of-service class falls 0.346 below the guarantee. On UGR’16 two</w:t>
      </w:r>
      <w:r>
        <w:t xml:space="preserve"> </w:t>
      </w:r>
      <w:r>
        <w:t xml:space="preserve">classes fall 0.415 and 0.151 below it. The two non-deployable protocols, which differ</w:t>
      </w:r>
      <w:r>
        <w:t xml:space="preserve"> </w:t>
      </w:r>
      <w:r>
        <w:t xml:space="preserve">only in the data forming the quantile, sit inside their bands throughout.</w:t>
      </w:r>
    </w:p>
    <w:p>
      <w:pPr>
        <w:pStyle w:val="BodyText"/>
      </w:pPr>
      <w:r>
        <w:rPr>
          <w:bCs/>
          <w:b/>
        </w:rPr>
        <w:t xml:space="preserve">Table T6. Undercoverage relative to the exchangeability-based band under the deployable protocol, α = 0.05.</w:t>
      </w:r>
      <w:r>
        <w:t xml:space="preserve"> </w:t>
      </w:r>
      <w:r>
        <w:t xml:space="preserve">Shortfall is the distance below the band’s lower edge. CIC-IoT-2023 shows no shortfall on any class and is reported in Table T8.</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Class</w:t>
            </w:r>
          </w:p>
        </w:tc>
        <w:tc>
          <w:tcPr/>
          <w:p>
            <w:pPr>
              <w:pStyle w:val="Compact"/>
              <w:jc w:val="left"/>
            </w:pPr>
            <w:r>
              <w:t xml:space="preserve">n_cal</w:t>
            </w:r>
          </w:p>
        </w:tc>
        <w:tc>
          <w:tcPr/>
          <w:p>
            <w:pPr>
              <w:pStyle w:val="Compact"/>
              <w:jc w:val="left"/>
            </w:pPr>
            <w:r>
              <w:t xml:space="preserve">Observed</w:t>
            </w:r>
          </w:p>
        </w:tc>
        <w:tc>
          <w:tcPr/>
          <w:p>
            <w:pPr>
              <w:pStyle w:val="Compact"/>
              <w:jc w:val="left"/>
            </w:pPr>
            <w:r>
              <w:t xml:space="preserve">Guarantee lower edge</w:t>
            </w:r>
          </w:p>
        </w:tc>
        <w:tc>
          <w:tcPr/>
          <w:p>
            <w:pPr>
              <w:pStyle w:val="Compact"/>
              <w:jc w:val="left"/>
            </w:pPr>
            <w:r>
              <w:t xml:space="preserve">Shortfall</w:t>
            </w:r>
          </w:p>
        </w:tc>
      </w:tr>
      <w:tr>
        <w:tc>
          <w:tcPr/>
          <w:p>
            <w:pPr>
              <w:pStyle w:val="Compact"/>
              <w:jc w:val="left"/>
            </w:pPr>
            <w:r>
              <w:t xml:space="preserve">NSL-KDD</w:t>
            </w:r>
          </w:p>
        </w:tc>
        <w:tc>
          <w:tcPr/>
          <w:p>
            <w:pPr>
              <w:pStyle w:val="Compact"/>
              <w:jc w:val="left"/>
            </w:pPr>
            <w:r>
              <w:t xml:space="preserve">R2L (focal)</w:t>
            </w:r>
          </w:p>
        </w:tc>
        <w:tc>
          <w:tcPr/>
          <w:p>
            <w:pPr>
              <w:pStyle w:val="Compact"/>
              <w:jc w:val="left"/>
            </w:pPr>
            <w:r>
              <w:t xml:space="preserve">149</w:t>
            </w:r>
          </w:p>
        </w:tc>
        <w:tc>
          <w:tcPr/>
          <w:p>
            <w:pPr>
              <w:pStyle w:val="Compact"/>
              <w:jc w:val="left"/>
            </w:pPr>
            <w:r>
              <w:t xml:space="preserve">0.086</w:t>
            </w:r>
          </w:p>
        </w:tc>
        <w:tc>
          <w:tcPr/>
          <w:p>
            <w:pPr>
              <w:pStyle w:val="Compact"/>
              <w:jc w:val="left"/>
            </w:pPr>
            <w:r>
              <w:t xml:space="preserve">0.950</w:t>
            </w:r>
          </w:p>
        </w:tc>
        <w:tc>
          <w:tcPr/>
          <w:p>
            <w:pPr>
              <w:pStyle w:val="Compact"/>
              <w:jc w:val="left"/>
            </w:pPr>
            <w:r>
              <w:t xml:space="preserve">0.864</w:t>
            </w:r>
          </w:p>
        </w:tc>
      </w:tr>
      <w:tr>
        <w:tc>
          <w:tcPr/>
          <w:p>
            <w:pPr>
              <w:pStyle w:val="Compact"/>
              <w:jc w:val="left"/>
            </w:pPr>
            <w:r>
              <w:t xml:space="preserve">NSL-KDD</w:t>
            </w:r>
          </w:p>
        </w:tc>
        <w:tc>
          <w:tcPr/>
          <w:p>
            <w:pPr>
              <w:pStyle w:val="Compact"/>
              <w:jc w:val="left"/>
            </w:pPr>
            <w:r>
              <w:t xml:space="preserve">DoS</w:t>
            </w:r>
          </w:p>
        </w:tc>
        <w:tc>
          <w:tcPr/>
          <w:p>
            <w:pPr>
              <w:pStyle w:val="Compact"/>
              <w:jc w:val="left"/>
            </w:pPr>
            <w:r>
              <w:t xml:space="preserve">6889</w:t>
            </w:r>
          </w:p>
        </w:tc>
        <w:tc>
          <w:tcPr/>
          <w:p>
            <w:pPr>
              <w:pStyle w:val="Compact"/>
              <w:jc w:val="left"/>
            </w:pPr>
            <w:r>
              <w:t xml:space="preserve">0.672</w:t>
            </w:r>
          </w:p>
        </w:tc>
        <w:tc>
          <w:tcPr/>
          <w:p>
            <w:pPr>
              <w:pStyle w:val="Compact"/>
              <w:jc w:val="left"/>
            </w:pPr>
            <w:r>
              <w:t xml:space="preserve">0.950</w:t>
            </w:r>
          </w:p>
        </w:tc>
        <w:tc>
          <w:tcPr/>
          <w:p>
            <w:pPr>
              <w:pStyle w:val="Compact"/>
              <w:jc w:val="left"/>
            </w:pPr>
            <w:r>
              <w:t xml:space="preserve">0.278</w:t>
            </w:r>
          </w:p>
        </w:tc>
      </w:tr>
      <w:tr>
        <w:tc>
          <w:tcPr/>
          <w:p>
            <w:pPr>
              <w:pStyle w:val="Compact"/>
              <w:jc w:val="left"/>
            </w:pPr>
            <w:r>
              <w:t xml:space="preserve">NSL-KDD</w:t>
            </w:r>
          </w:p>
        </w:tc>
        <w:tc>
          <w:tcPr/>
          <w:p>
            <w:pPr>
              <w:pStyle w:val="Compact"/>
              <w:jc w:val="left"/>
            </w:pPr>
            <w:r>
              <w:t xml:space="preserve">Probe</w:t>
            </w:r>
          </w:p>
        </w:tc>
        <w:tc>
          <w:tcPr/>
          <w:p>
            <w:pPr>
              <w:pStyle w:val="Compact"/>
              <w:jc w:val="left"/>
            </w:pPr>
            <w:r>
              <w:t xml:space="preserve">1748</w:t>
            </w:r>
          </w:p>
        </w:tc>
        <w:tc>
          <w:tcPr/>
          <w:p>
            <w:pPr>
              <w:pStyle w:val="Compact"/>
              <w:jc w:val="left"/>
            </w:pPr>
            <w:r>
              <w:t xml:space="preserve">0.805</w:t>
            </w:r>
          </w:p>
        </w:tc>
        <w:tc>
          <w:tcPr/>
          <w:p>
            <w:pPr>
              <w:pStyle w:val="Compact"/>
              <w:jc w:val="left"/>
            </w:pPr>
            <w:r>
              <w:t xml:space="preserve">0.950</w:t>
            </w:r>
          </w:p>
        </w:tc>
        <w:tc>
          <w:tcPr/>
          <w:p>
            <w:pPr>
              <w:pStyle w:val="Compact"/>
              <w:jc w:val="left"/>
            </w:pPr>
            <w:r>
              <w:t xml:space="preserve">0.145</w:t>
            </w:r>
          </w:p>
        </w:tc>
      </w:tr>
      <w:tr>
        <w:tc>
          <w:tcPr/>
          <w:p>
            <w:pPr>
              <w:pStyle w:val="Compact"/>
              <w:jc w:val="left"/>
            </w:pPr>
            <w:r>
              <w:t xml:space="preserve">NSL-KDD</w:t>
            </w:r>
          </w:p>
        </w:tc>
        <w:tc>
          <w:tcPr/>
          <w:p>
            <w:pPr>
              <w:pStyle w:val="Compact"/>
              <w:jc w:val="left"/>
            </w:pPr>
            <w:r>
              <w:t xml:space="preserve">Normal</w:t>
            </w:r>
          </w:p>
        </w:tc>
        <w:tc>
          <w:tcPr/>
          <w:p>
            <w:pPr>
              <w:pStyle w:val="Compact"/>
              <w:jc w:val="left"/>
            </w:pPr>
            <w:r>
              <w:t xml:space="preserve">10101</w:t>
            </w:r>
          </w:p>
        </w:tc>
        <w:tc>
          <w:tcPr/>
          <w:p>
            <w:pPr>
              <w:pStyle w:val="Compact"/>
              <w:jc w:val="left"/>
            </w:pPr>
            <w:r>
              <w:t xml:space="preserve">0.928</w:t>
            </w:r>
          </w:p>
        </w:tc>
        <w:tc>
          <w:tcPr/>
          <w:p>
            <w:pPr>
              <w:pStyle w:val="Compact"/>
              <w:jc w:val="left"/>
            </w:pPr>
            <w:r>
              <w:t xml:space="preserve">0.950</w:t>
            </w:r>
          </w:p>
        </w:tc>
        <w:tc>
          <w:tcPr/>
          <w:p>
            <w:pPr>
              <w:pStyle w:val="Compact"/>
              <w:jc w:val="left"/>
            </w:pPr>
            <w:r>
              <w:t xml:space="preserve">0.023</w:t>
            </w:r>
          </w:p>
        </w:tc>
      </w:tr>
      <w:tr>
        <w:tc>
          <w:tcPr/>
          <w:p>
            <w:pPr>
              <w:pStyle w:val="Compact"/>
              <w:jc w:val="left"/>
            </w:pPr>
            <w:r>
              <w:t xml:space="preserve">CIC-IDS2017</w:t>
            </w:r>
          </w:p>
        </w:tc>
        <w:tc>
          <w:tcPr/>
          <w:p>
            <w:pPr>
              <w:pStyle w:val="Compact"/>
              <w:jc w:val="left"/>
            </w:pPr>
            <w:r>
              <w:t xml:space="preserve">DoS (focal)</w:t>
            </w:r>
          </w:p>
        </w:tc>
        <w:tc>
          <w:tcPr/>
          <w:p>
            <w:pPr>
              <w:pStyle w:val="Compact"/>
              <w:jc w:val="left"/>
            </w:pPr>
            <w:r>
              <w:t xml:space="preserve">24845</w:t>
            </w:r>
          </w:p>
        </w:tc>
        <w:tc>
          <w:tcPr/>
          <w:p>
            <w:pPr>
              <w:pStyle w:val="Compact"/>
              <w:jc w:val="left"/>
            </w:pPr>
            <w:r>
              <w:t xml:space="preserve">0.604</w:t>
            </w:r>
          </w:p>
        </w:tc>
        <w:tc>
          <w:tcPr/>
          <w:p>
            <w:pPr>
              <w:pStyle w:val="Compact"/>
              <w:jc w:val="left"/>
            </w:pPr>
            <w:r>
              <w:t xml:space="preserve">0.950</w:t>
            </w:r>
          </w:p>
        </w:tc>
        <w:tc>
          <w:tcPr/>
          <w:p>
            <w:pPr>
              <w:pStyle w:val="Compact"/>
              <w:jc w:val="left"/>
            </w:pPr>
            <w:r>
              <w:t xml:space="preserve">0.346</w:t>
            </w:r>
          </w:p>
        </w:tc>
      </w:tr>
      <w:tr>
        <w:tc>
          <w:tcPr/>
          <w:p>
            <w:pPr>
              <w:pStyle w:val="Compact"/>
              <w:jc w:val="left"/>
            </w:pPr>
            <w:r>
              <w:t xml:space="preserve">UGR’16</w:t>
            </w:r>
          </w:p>
        </w:tc>
        <w:tc>
          <w:tcPr/>
          <w:p>
            <w:pPr>
              <w:pStyle w:val="Compact"/>
              <w:jc w:val="left"/>
            </w:pPr>
            <w:r>
              <w:t xml:space="preserve">scan11</w:t>
            </w:r>
          </w:p>
        </w:tc>
        <w:tc>
          <w:tcPr/>
          <w:p>
            <w:pPr>
              <w:pStyle w:val="Compact"/>
              <w:jc w:val="left"/>
            </w:pPr>
            <w:r>
              <w:t xml:space="preserve">7500</w:t>
            </w:r>
          </w:p>
        </w:tc>
        <w:tc>
          <w:tcPr/>
          <w:p>
            <w:pPr>
              <w:pStyle w:val="Compact"/>
              <w:jc w:val="left"/>
            </w:pPr>
            <w:r>
              <w:t xml:space="preserve">0.535</w:t>
            </w:r>
          </w:p>
        </w:tc>
        <w:tc>
          <w:tcPr/>
          <w:p>
            <w:pPr>
              <w:pStyle w:val="Compact"/>
              <w:jc w:val="left"/>
            </w:pPr>
            <w:r>
              <w:t xml:space="preserve">0.950</w:t>
            </w:r>
          </w:p>
        </w:tc>
        <w:tc>
          <w:tcPr/>
          <w:p>
            <w:pPr>
              <w:pStyle w:val="Compact"/>
              <w:jc w:val="left"/>
            </w:pPr>
            <w:r>
              <w:t xml:space="preserve">0.415</w:t>
            </w:r>
          </w:p>
        </w:tc>
      </w:tr>
      <w:tr>
        <w:tc>
          <w:tcPr/>
          <w:p>
            <w:pPr>
              <w:pStyle w:val="Compact"/>
              <w:jc w:val="left"/>
            </w:pPr>
            <w:r>
              <w:t xml:space="preserve">UGR’16</w:t>
            </w:r>
          </w:p>
        </w:tc>
        <w:tc>
          <w:tcPr/>
          <w:p>
            <w:pPr>
              <w:pStyle w:val="Compact"/>
              <w:jc w:val="left"/>
            </w:pPr>
            <w:r>
              <w:t xml:space="preserve">scan44</w:t>
            </w:r>
          </w:p>
        </w:tc>
        <w:tc>
          <w:tcPr/>
          <w:p>
            <w:pPr>
              <w:pStyle w:val="Compact"/>
              <w:jc w:val="left"/>
            </w:pPr>
            <w:r>
              <w:t xml:space="preserve">7500</w:t>
            </w:r>
          </w:p>
        </w:tc>
        <w:tc>
          <w:tcPr/>
          <w:p>
            <w:pPr>
              <w:pStyle w:val="Compact"/>
              <w:jc w:val="left"/>
            </w:pPr>
            <w:r>
              <w:t xml:space="preserve">0.799</w:t>
            </w:r>
          </w:p>
        </w:tc>
        <w:tc>
          <w:tcPr/>
          <w:p>
            <w:pPr>
              <w:pStyle w:val="Compact"/>
              <w:jc w:val="left"/>
            </w:pPr>
            <w:r>
              <w:t xml:space="preserve">0.950</w:t>
            </w:r>
          </w:p>
        </w:tc>
        <w:tc>
          <w:tcPr/>
          <w:p>
            <w:pPr>
              <w:pStyle w:val="Compact"/>
              <w:jc w:val="left"/>
            </w:pPr>
            <w:r>
              <w:t xml:space="preserve">0.151</w:t>
            </w:r>
          </w:p>
        </w:tc>
      </w:tr>
      <w:tr>
        <w:tc>
          <w:tcPr/>
          <w:p>
            <w:pPr>
              <w:pStyle w:val="Compact"/>
              <w:jc w:val="left"/>
            </w:pPr>
            <w:r>
              <w:t xml:space="preserve">UGR’16</w:t>
            </w:r>
          </w:p>
        </w:tc>
        <w:tc>
          <w:tcPr/>
          <w:p>
            <w:pPr>
              <w:pStyle w:val="Compact"/>
              <w:jc w:val="left"/>
            </w:pPr>
            <w:r>
              <w:t xml:space="preserve">nerisbotnet (focal)</w:t>
            </w:r>
          </w:p>
        </w:tc>
        <w:tc>
          <w:tcPr/>
          <w:p>
            <w:pPr>
              <w:pStyle w:val="Compact"/>
              <w:jc w:val="left"/>
            </w:pPr>
            <w:r>
              <w:t xml:space="preserve">7500</w:t>
            </w:r>
          </w:p>
        </w:tc>
        <w:tc>
          <w:tcPr/>
          <w:p>
            <w:pPr>
              <w:pStyle w:val="Compact"/>
              <w:jc w:val="left"/>
            </w:pPr>
            <w:r>
              <w:t xml:space="preserve">0.947</w:t>
            </w:r>
          </w:p>
        </w:tc>
        <w:tc>
          <w:tcPr/>
          <w:p>
            <w:pPr>
              <w:pStyle w:val="Compact"/>
              <w:jc w:val="left"/>
            </w:pPr>
            <w:r>
              <w:t xml:space="preserve">0.950</w:t>
            </w:r>
          </w:p>
        </w:tc>
        <w:tc>
          <w:tcPr/>
          <w:p>
            <w:pPr>
              <w:pStyle w:val="Compact"/>
              <w:jc w:val="left"/>
            </w:pPr>
            <w:r>
              <w:t xml:space="preserve">0.003</w:t>
            </w:r>
          </w:p>
        </w:tc>
      </w:tr>
      <w:tr>
        <w:tc>
          <w:tcPr/>
          <w:p>
            <w:pPr>
              <w:pStyle w:val="Compact"/>
              <w:jc w:val="left"/>
            </w:pPr>
            <w:r>
              <w:t xml:space="preserve">UGR’16</w:t>
            </w:r>
          </w:p>
        </w:tc>
        <w:tc>
          <w:tcPr/>
          <w:p>
            <w:pPr>
              <w:pStyle w:val="Compact"/>
              <w:jc w:val="left"/>
            </w:pPr>
            <w:r>
              <w:t xml:space="preserve">background</w:t>
            </w:r>
          </w:p>
        </w:tc>
        <w:tc>
          <w:tcPr/>
          <w:p>
            <w:pPr>
              <w:pStyle w:val="Compact"/>
              <w:jc w:val="left"/>
            </w:pPr>
            <w:r>
              <w:t xml:space="preserve">30000</w:t>
            </w:r>
          </w:p>
        </w:tc>
        <w:tc>
          <w:tcPr/>
          <w:p>
            <w:pPr>
              <w:pStyle w:val="Compact"/>
              <w:jc w:val="left"/>
            </w:pPr>
            <w:r>
              <w:t xml:space="preserve">0.949</w:t>
            </w:r>
          </w:p>
        </w:tc>
        <w:tc>
          <w:tcPr/>
          <w:p>
            <w:pPr>
              <w:pStyle w:val="Compact"/>
              <w:jc w:val="left"/>
            </w:pPr>
            <w:r>
              <w:t xml:space="preserve">0.950</w:t>
            </w:r>
          </w:p>
        </w:tc>
        <w:tc>
          <w:tcPr/>
          <w:p>
            <w:pPr>
              <w:pStyle w:val="Compact"/>
              <w:jc w:val="left"/>
            </w:pPr>
            <w:r>
              <w:t xml:space="preserve">0.001</w:t>
            </w:r>
          </w:p>
        </w:tc>
      </w:tr>
    </w:tbl>
    <w:p>
      <w:pPr>
        <w:pStyle w:val="BodyText"/>
      </w:pPr>
      <w:r>
        <w:t xml:space="preserve">Two entries deserve separate treatment. The UGR’16 focal class and background class fall</w:t>
      </w:r>
      <w:r>
        <w:t xml:space="preserve"> </w:t>
      </w:r>
      <w:r>
        <w:t xml:space="preserve">below the guarantee by 0.003 and 0.001, which the bootstrap resolves as statistically</w:t>
      </w:r>
      <w:r>
        <w:t xml:space="preserve"> </w:t>
      </w:r>
      <w:r>
        <w:t xml:space="preserve">detectable, yet two one-sided tests place both inside a one-percentage-point equivalence</w:t>
      </w:r>
      <w:r>
        <w:t xml:space="preserve"> </w:t>
      </w:r>
      <w:r>
        <w:t xml:space="preserve">margin. They are therefore reported as practically equivalent to nominal while formally</w:t>
      </w:r>
      <w:r>
        <w:t xml:space="preserve"> </w:t>
      </w:r>
      <w:r>
        <w:t xml:space="preserve">violating the bound, a distinction that matters when the same word, failure, would</w:t>
      </w:r>
      <w:r>
        <w:t xml:space="preserve"> </w:t>
      </w:r>
      <w:r>
        <w:t xml:space="preserve">otherwise cover both a shortfall of 0.001 and one of 0.864.</w:t>
      </w:r>
    </w:p>
    <w:bookmarkEnd w:id="48"/>
    <w:bookmarkStart w:id="49" w:name="X5f7961af202a1ad849ec47a361ae1bb8298b7e1"/>
    <w:p>
      <w:pPr>
        <w:pStyle w:val="Heading2"/>
      </w:pPr>
      <w:r>
        <w:t xml:space="preserve">5.3 Primary analysis: a dose-response along the novelty ladder</w:t>
      </w:r>
    </w:p>
    <w:p>
      <w:pPr>
        <w:pStyle w:val="FirstParagraph"/>
      </w:pPr>
      <w:r>
        <w:t xml:space="preserve">The primary within-dataset test is the NSL-KDD ladder, which raises the fraction of focal</w:t>
      </w:r>
      <w:r>
        <w:t xml:space="preserve"> </w:t>
      </w:r>
      <w:r>
        <w:t xml:space="preserve">evaluation mass drawn from attack subtypes absent from the source while holding dataset,</w:t>
      </w:r>
      <w:r>
        <w:t xml:space="preserve"> </w:t>
      </w:r>
      <w:r>
        <w:t xml:space="preserve">model panel, partition and evaluation size fixed. Focal coverage falls monotonically from</w:t>
      </w:r>
      <w:r>
        <w:t xml:space="preserve"> </w:t>
      </w:r>
      <w:r>
        <w:t xml:space="preserve">0.143 at rung 0.00 to 0.030 at rung 0.80, with seed-clustered bootstrap intervals disjoint</w:t>
      </w:r>
      <w:r>
        <w:t xml:space="preserve"> </w:t>
      </w:r>
      <w:r>
        <w:t xml:space="preserve">between adjacent rungs at every step (Table T7). A mixed model on the empirical logit with a</w:t>
      </w:r>
      <w:r>
        <w:t xml:space="preserve"> </w:t>
      </w:r>
      <w:r>
        <w:t xml:space="preserve">random intercept per realisation gives a slope of -2.071 per unit of unseen fraction, standard</w:t>
      </w:r>
      <w:r>
        <w:t xml:space="preserve"> </w:t>
      </w:r>
      <w:r>
        <w:t xml:space="preserve">error 0.024.</w:t>
      </w:r>
    </w:p>
    <w:p>
      <w:pPr>
        <w:pStyle w:val="BodyText"/>
      </w:pPr>
      <w:r>
        <w:rPr>
          <w:bCs/>
          <w:b/>
        </w:rPr>
        <w:t xml:space="preserve">Table T7. Primary dose-response: NSL-KDD focal coverage under the deployable protocol,</w:t>
      </w:r>
      <w:r>
        <w:rPr>
          <w:bCs/>
          <w:b/>
        </w:rPr>
        <w:t xml:space="preserve"> </w:t>
      </w:r>
      <w:r>
        <w:rPr>
          <w:bCs/>
          <w:b/>
        </w:rPr>
        <w:t xml:space="preserve">α = 0.05.</w:t>
      </w:r>
      <w:r>
        <w:t xml:space="preserve"> </w:t>
      </w:r>
      <w:r>
        <w:t xml:space="preserve">Seed-clustered bootstrap intervals, B = 2000.</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Rung (unseen fraction)</w:t>
            </w:r>
          </w:p>
        </w:tc>
        <w:tc>
          <w:tcPr/>
          <w:p>
            <w:pPr>
              <w:pStyle w:val="Compact"/>
              <w:jc w:val="left"/>
            </w:pPr>
            <w:r>
              <w:t xml:space="preserve">S_cov</w:t>
            </w:r>
          </w:p>
        </w:tc>
        <w:tc>
          <w:tcPr/>
          <w:p>
            <w:pPr>
              <w:pStyle w:val="Compact"/>
              <w:jc w:val="left"/>
            </w:pPr>
            <w:r>
              <w:t xml:space="preserve">S_sup</w:t>
            </w:r>
          </w:p>
        </w:tc>
        <w:tc>
          <w:tcPr/>
          <w:p>
            <w:pPr>
              <w:pStyle w:val="Compact"/>
              <w:jc w:val="left"/>
            </w:pPr>
            <w:r>
              <w:t xml:space="preserve">Coverage</w:t>
            </w:r>
          </w:p>
        </w:tc>
        <w:tc>
          <w:tcPr/>
          <w:p>
            <w:pPr>
              <w:pStyle w:val="Compact"/>
              <w:jc w:val="left"/>
            </w:pPr>
            <w:r>
              <w:t xml:space="preserve">95% CI</w:t>
            </w:r>
          </w:p>
        </w:tc>
      </w:tr>
      <w:tr>
        <w:tc>
          <w:tcPr/>
          <w:p>
            <w:pPr>
              <w:pStyle w:val="Compact"/>
              <w:jc w:val="left"/>
            </w:pPr>
            <w:r>
              <w:t xml:space="preserve">0.00</w:t>
            </w:r>
          </w:p>
        </w:tc>
        <w:tc>
          <w:tcPr/>
          <w:p>
            <w:pPr>
              <w:pStyle w:val="Compact"/>
              <w:jc w:val="left"/>
            </w:pPr>
            <w:r>
              <w:t xml:space="preserve">0.849</w:t>
            </w:r>
          </w:p>
        </w:tc>
        <w:tc>
          <w:tcPr/>
          <w:p>
            <w:pPr>
              <w:pStyle w:val="Compact"/>
              <w:jc w:val="left"/>
            </w:pPr>
            <w:r>
              <w:t xml:space="preserve">0.001</w:t>
            </w:r>
          </w:p>
        </w:tc>
        <w:tc>
          <w:tcPr/>
          <w:p>
            <w:pPr>
              <w:pStyle w:val="Compact"/>
              <w:jc w:val="left"/>
            </w:pPr>
            <w:r>
              <w:t xml:space="preserve">0.1431</w:t>
            </w:r>
          </w:p>
        </w:tc>
        <w:tc>
          <w:tcPr/>
          <w:p>
            <w:pPr>
              <w:pStyle w:val="Compact"/>
              <w:jc w:val="left"/>
            </w:pPr>
            <w:r>
              <w:t xml:space="preserve">[0.1284, 0.1617]</w:t>
            </w:r>
          </w:p>
        </w:tc>
      </w:tr>
      <w:tr>
        <w:tc>
          <w:tcPr/>
          <w:p>
            <w:pPr>
              <w:pStyle w:val="Compact"/>
              <w:jc w:val="left"/>
            </w:pPr>
            <w:r>
              <w:t xml:space="preserve">0.20</w:t>
            </w:r>
          </w:p>
        </w:tc>
        <w:tc>
          <w:tcPr/>
          <w:p>
            <w:pPr>
              <w:pStyle w:val="Compact"/>
              <w:jc w:val="left"/>
            </w:pPr>
            <w:r>
              <w:t xml:space="preserve">0.857</w:t>
            </w:r>
          </w:p>
        </w:tc>
        <w:tc>
          <w:tcPr/>
          <w:p>
            <w:pPr>
              <w:pStyle w:val="Compact"/>
              <w:jc w:val="left"/>
            </w:pPr>
            <w:r>
              <w:t xml:space="preserve">0.114</w:t>
            </w:r>
          </w:p>
        </w:tc>
        <w:tc>
          <w:tcPr/>
          <w:p>
            <w:pPr>
              <w:pStyle w:val="Compact"/>
              <w:jc w:val="left"/>
            </w:pPr>
            <w:r>
              <w:t xml:space="preserve">0.1139</w:t>
            </w:r>
          </w:p>
        </w:tc>
        <w:tc>
          <w:tcPr/>
          <w:p>
            <w:pPr>
              <w:pStyle w:val="Compact"/>
              <w:jc w:val="left"/>
            </w:pPr>
            <w:r>
              <w:t xml:space="preserve">[0.1026, 0.1286]</w:t>
            </w:r>
          </w:p>
        </w:tc>
      </w:tr>
      <w:tr>
        <w:tc>
          <w:tcPr/>
          <w:p>
            <w:pPr>
              <w:pStyle w:val="Compact"/>
              <w:jc w:val="left"/>
            </w:pPr>
            <w:r>
              <w:t xml:space="preserve">0.40</w:t>
            </w:r>
          </w:p>
        </w:tc>
        <w:tc>
          <w:tcPr/>
          <w:p>
            <w:pPr>
              <w:pStyle w:val="Compact"/>
              <w:jc w:val="left"/>
            </w:pPr>
            <w:r>
              <w:t xml:space="preserve">0.864</w:t>
            </w:r>
          </w:p>
        </w:tc>
        <w:tc>
          <w:tcPr/>
          <w:p>
            <w:pPr>
              <w:pStyle w:val="Compact"/>
              <w:jc w:val="left"/>
            </w:pPr>
            <w:r>
              <w:t xml:space="preserve">0.228</w:t>
            </w:r>
          </w:p>
        </w:tc>
        <w:tc>
          <w:tcPr/>
          <w:p>
            <w:pPr>
              <w:pStyle w:val="Compact"/>
              <w:jc w:val="left"/>
            </w:pPr>
            <w:r>
              <w:t xml:space="preserve">0.0848</w:t>
            </w:r>
          </w:p>
        </w:tc>
        <w:tc>
          <w:tcPr/>
          <w:p>
            <w:pPr>
              <w:pStyle w:val="Compact"/>
              <w:jc w:val="left"/>
            </w:pPr>
            <w:r>
              <w:t xml:space="preserve">[0.0763, 0.0959]</w:t>
            </w:r>
          </w:p>
        </w:tc>
      </w:tr>
      <w:tr>
        <w:tc>
          <w:tcPr/>
          <w:p>
            <w:pPr>
              <w:pStyle w:val="Compact"/>
              <w:jc w:val="left"/>
            </w:pPr>
            <w:r>
              <w:t xml:space="preserve">0.60</w:t>
            </w:r>
          </w:p>
        </w:tc>
        <w:tc>
          <w:tcPr/>
          <w:p>
            <w:pPr>
              <w:pStyle w:val="Compact"/>
              <w:jc w:val="left"/>
            </w:pPr>
            <w:r>
              <w:t xml:space="preserve">0.875</w:t>
            </w:r>
          </w:p>
        </w:tc>
        <w:tc>
          <w:tcPr/>
          <w:p>
            <w:pPr>
              <w:pStyle w:val="Compact"/>
              <w:jc w:val="left"/>
            </w:pPr>
            <w:r>
              <w:t xml:space="preserve">0.341</w:t>
            </w:r>
          </w:p>
        </w:tc>
        <w:tc>
          <w:tcPr/>
          <w:p>
            <w:pPr>
              <w:pStyle w:val="Compact"/>
              <w:jc w:val="left"/>
            </w:pPr>
            <w:r>
              <w:t xml:space="preserve">0.0582</w:t>
            </w:r>
          </w:p>
        </w:tc>
        <w:tc>
          <w:tcPr/>
          <w:p>
            <w:pPr>
              <w:pStyle w:val="Compact"/>
              <w:jc w:val="left"/>
            </w:pPr>
            <w:r>
              <w:t xml:space="preserve">[0.0522, 0.0662]</w:t>
            </w:r>
          </w:p>
        </w:tc>
      </w:tr>
      <w:tr>
        <w:tc>
          <w:tcPr/>
          <w:p>
            <w:pPr>
              <w:pStyle w:val="Compact"/>
              <w:jc w:val="left"/>
            </w:pPr>
            <w:r>
              <w:t xml:space="preserve">0.80</w:t>
            </w:r>
          </w:p>
        </w:tc>
        <w:tc>
          <w:tcPr/>
          <w:p>
            <w:pPr>
              <w:pStyle w:val="Compact"/>
              <w:jc w:val="left"/>
            </w:pPr>
            <w:r>
              <w:t xml:space="preserve">0.893</w:t>
            </w:r>
          </w:p>
        </w:tc>
        <w:tc>
          <w:tcPr/>
          <w:p>
            <w:pPr>
              <w:pStyle w:val="Compact"/>
              <w:jc w:val="left"/>
            </w:pPr>
            <w:r>
              <w:t xml:space="preserve">0.454</w:t>
            </w:r>
          </w:p>
        </w:tc>
        <w:tc>
          <w:tcPr/>
          <w:p>
            <w:pPr>
              <w:pStyle w:val="Compact"/>
              <w:jc w:val="left"/>
            </w:pPr>
            <w:r>
              <w:t xml:space="preserve">0.0298</w:t>
            </w:r>
          </w:p>
        </w:tc>
        <w:tc>
          <w:tcPr/>
          <w:p>
            <w:pPr>
              <w:pStyle w:val="Compact"/>
              <w:jc w:val="left"/>
            </w:pPr>
            <w:r>
              <w:t xml:space="preserve">[0.0267, 0.0339]</w:t>
            </w:r>
          </w:p>
        </w:tc>
      </w:tr>
    </w:tbl>
    <w:p>
      <w:pPr>
        <w:pStyle w:val="BodyText"/>
      </w:pPr>
      <w:r>
        <w:t xml:space="preserve">Three analyses establish what that slope is and is not.</w:t>
      </w:r>
    </w:p>
    <w:p>
      <w:pPr>
        <w:pStyle w:val="BodyText"/>
      </w:pPr>
      <w:r>
        <w:rPr>
          <w:iCs/>
          <w:i/>
        </w:rPr>
        <w:t xml:space="preserve">The effect is not created by the upper rungs.</w:t>
      </w:r>
      <w:r>
        <w:t xml:space="preserve"> </w:t>
      </w:r>
      <w:r>
        <w:t xml:space="preserve">Restricting to rungs 0.00 to 0.40, below the</w:t>
      </w:r>
      <w:r>
        <w:t xml:space="preserve"> </w:t>
      </w:r>
      <w:r>
        <w:t xml:space="preserve">level at which one dominant subtype must appear in every realisation because no alternative</w:t>
      </w:r>
      <w:r>
        <w:t xml:space="preserve"> </w:t>
      </w:r>
      <w:r>
        <w:t xml:space="preserve">carries sufficient mass, gives a slope of -1.475, standard error 0.061, which is 71 per cent</w:t>
      </w:r>
      <w:r>
        <w:t xml:space="preserve"> </w:t>
      </w:r>
      <w:r>
        <w:t xml:space="preserve">of the full-ladder value. The trend is present and strongly significant in the unconstrained</w:t>
      </w:r>
      <w:r>
        <w:t xml:space="preserve"> </w:t>
      </w:r>
      <w:r>
        <w:t xml:space="preserve">region; the upper rungs steepen it.</w:t>
      </w:r>
    </w:p>
    <w:p>
      <w:pPr>
        <w:pStyle w:val="BodyText"/>
      </w:pPr>
      <w:r>
        <w:rPr>
          <w:iCs/>
          <w:i/>
        </w:rPr>
        <w:t xml:space="preserve">The class-level effect is a mixture of fixed per-subtype coverages.</w:t>
      </w:r>
      <w:r>
        <w:t xml:space="preserve"> </w:t>
      </w:r>
      <w:r>
        <w:t xml:space="preserve">Each subtype’s own</w:t>
      </w:r>
      <w:r>
        <w:t xml:space="preserve"> </w:t>
      </w:r>
      <w:r>
        <w:t xml:space="preserve">coverage is essentially invariant across rungs. The largest within-subtype range is 0.042,</w:t>
      </w:r>
      <w:r>
        <w:t xml:space="preserve"> </w:t>
      </w:r>
      <w:r>
        <w:t xml:space="preserve">against a class-level swing of 0.113, and the dominant subtype</w:t>
      </w:r>
      <w:r>
        <w:t xml:space="preserve"> </w:t>
      </w:r>
      <w:r>
        <w:rPr>
          <w:rStyle w:val="VerbatimChar"/>
        </w:rPr>
        <w:t xml:space="preserve">warezmaster</w:t>
      </w:r>
      <w:r>
        <w:t xml:space="preserve"> </w:t>
      </w:r>
      <w:r>
        <w:t xml:space="preserve">moves by 0.005</w:t>
      </w:r>
      <w:r>
        <w:t xml:space="preserve"> </w:t>
      </w:r>
      <w:r>
        <w:t xml:space="preserve">with p = 0.79. So the ladder does not change how any subtype behaves; it changes which</w:t>
      </w:r>
      <w:r>
        <w:t xml:space="preserve"> </w:t>
      </w:r>
      <w:r>
        <w:t xml:space="preserve">subtypes are present, and the class coverage follows as the mixture-weighted average.</w:t>
      </w:r>
    </w:p>
    <w:p>
      <w:pPr>
        <w:pStyle w:val="BodyText"/>
      </w:pPr>
      <w:r>
        <w:rPr>
          <w:iCs/>
          <w:i/>
        </w:rPr>
        <w:t xml:space="preserve">The effect therefore concentrates in one component.</w:t>
      </w:r>
      <w:r>
        <w:t xml:space="preserve"> </w:t>
      </w:r>
      <w:r>
        <w:t xml:space="preserve">Leave-one-subtype-out confirms this:</w:t>
      </w:r>
      <w:r>
        <w:t xml:space="preserve"> </w:t>
      </w:r>
      <w:r>
        <w:t xml:space="preserve">removing</w:t>
      </w:r>
      <w:r>
        <w:t xml:space="preserve"> </w:t>
      </w:r>
      <w:r>
        <w:rPr>
          <w:rStyle w:val="VerbatimChar"/>
        </w:rPr>
        <w:t xml:space="preserve">warezmaster</w:t>
      </w:r>
      <w:r>
        <w:t xml:space="preserve"> </w:t>
      </w:r>
      <w:r>
        <w:t xml:space="preserve">collapses the trend to 8 per cent of its value, removing</w:t>
      </w:r>
      <w:r>
        <w:t xml:space="preserve"> </w:t>
      </w:r>
      <w:r>
        <w:rPr>
          <w:rStyle w:val="VerbatimChar"/>
        </w:rPr>
        <w:t xml:space="preserve">snmpguess</w:t>
      </w:r>
      <w:r>
        <w:t xml:space="preserve"> </w:t>
      </w:r>
      <w:r>
        <w:t xml:space="preserve">leaves 69 per cent, and removing any other subtype changes it by under 3 per cent. This is not</w:t>
      </w:r>
      <w:r>
        <w:t xml:space="preserve"> </w:t>
      </w:r>
      <w:r>
        <w:t xml:space="preserve">fragility but arithmetic.</w:t>
      </w:r>
      <w:r>
        <w:t xml:space="preserve"> </w:t>
      </w:r>
      <w:r>
        <w:rPr>
          <w:rStyle w:val="VerbatimChar"/>
        </w:rPr>
        <w:t xml:space="preserve">warezmaster</w:t>
      </w:r>
      <w:r>
        <w:t xml:space="preserve"> </w:t>
      </w:r>
      <w:r>
        <w:t xml:space="preserve">is the only R2L subtype the source-calibrated quantile</w:t>
      </w:r>
      <w:r>
        <w:t xml:space="preserve"> </w:t>
      </w:r>
      <w:r>
        <w:t xml:space="preserve">still covers, at 0.243 against 0.000 to 0.037 for every other subtype, while holding 32.7 per</w:t>
      </w:r>
      <w:r>
        <w:t xml:space="preserve"> </w:t>
      </w:r>
      <w:r>
        <w:t xml:space="preserve">cent of target mass. A mixture whose components are fixed must move in proportion to the</w:t>
      </w:r>
      <w:r>
        <w:t xml:space="preserve"> </w:t>
      </w:r>
      <w:r>
        <w:t xml:space="preserve">component that differs.</w:t>
      </w:r>
    </w:p>
    <w:p>
      <w:pPr>
        <w:pStyle w:val="BodyText"/>
      </w:pPr>
      <w:r>
        <w:t xml:space="preserve">The sign is stable under every leave-one-out. The magnitude is not, and we report the</w:t>
      </w:r>
      <w:r>
        <w:t xml:space="preserve"> </w:t>
      </w:r>
      <w:r>
        <w:t xml:space="preserve">lower-rung slope as the conservative estimate rather than the full-ladder slope alone.</w:t>
      </w:r>
    </w:p>
    <w:bookmarkEnd w:id="49"/>
    <w:bookmarkStart w:id="53" w:name="Xd8e69881dcef8bf1b698eb4e7b6f292ea455fc4"/>
    <w:p>
      <w:pPr>
        <w:pStyle w:val="Heading2"/>
      </w:pPr>
      <w:r>
        <w:t xml:space="preserve">5.4 Novelty is not the operative variable: a placebo ladder</w:t>
      </w:r>
    </w:p>
    <w:p>
      <w:pPr>
        <w:pStyle w:val="FirstParagraph"/>
      </w:pPr>
      <w:r>
        <w:t xml:space="preserve">If the ladder works by changing which subtypes are present rather than by introducing</w:t>
      </w:r>
      <w:r>
        <w:t xml:space="preserve"> </w:t>
      </w:r>
      <w:r>
        <w:t xml:space="preserve">novelty, then a ladder built entirely from subtypes the source has already seen should move</w:t>
      </w:r>
      <w:r>
        <w:t xml:space="preserve"> </w:t>
      </w:r>
      <w:r>
        <w:t xml:space="preserve">coverage just as much, with no support shift at all. It does, and by a wide margin.</w:t>
      </w:r>
    </w:p>
    <w:p>
      <w:pPr>
        <w:pStyle w:val="BodyText"/>
      </w:pPr>
      <w:r>
        <w:t xml:space="preserve">Among the subtypes present in the source calibration pool, realised coverage ranges from</w:t>
      </w:r>
      <w:r>
        <w:t xml:space="preserve"> </w:t>
      </w:r>
      <w:r>
        <w:t xml:space="preserve">0.007 for</w:t>
      </w:r>
      <w:r>
        <w:t xml:space="preserve"> </w:t>
      </w:r>
      <w:r>
        <w:rPr>
          <w:rStyle w:val="VerbatimChar"/>
        </w:rPr>
        <w:t xml:space="preserve">guess_passwd</w:t>
      </w:r>
      <w:r>
        <w:t xml:space="preserve">, which has 11 calibration points, to 0.243 for</w:t>
      </w:r>
      <w:r>
        <w:t xml:space="preserve"> </w:t>
      </w:r>
      <w:r>
        <w:rPr>
          <w:rStyle w:val="VerbatimChar"/>
        </w:rPr>
        <w:t xml:space="preserve">warezmaster</w:t>
      </w:r>
      <w:r>
        <w:t xml:space="preserve">, which</w:t>
      </w:r>
      <w:r>
        <w:t xml:space="preserve"> </w:t>
      </w:r>
      <w:r>
        <w:t xml:space="preserve">has 3. We therefore construct a placebo ladder in which the focal evaluation mass is drawn</w:t>
      </w:r>
      <w:r>
        <w:t xml:space="preserve"> </w:t>
      </w:r>
      <w:r>
        <w:t xml:space="preserve">only from these two subtypes, varying their ratio across five rungs. The support shift is zero</w:t>
      </w:r>
      <w:r>
        <w:t xml:space="preserve"> </w:t>
      </w:r>
      <w:r>
        <w:t xml:space="preserve">at every rung by construction and is verified rather than assumed. The non-focal portion of</w:t>
      </w:r>
      <w:r>
        <w:t xml:space="preserve"> </w:t>
      </w:r>
      <w:r>
        <w:t xml:space="preserve">each evaluation set uses identical row indices across rungs within a realisation, so nothing</w:t>
      </w:r>
      <w:r>
        <w:t xml:space="preserve"> </w:t>
      </w:r>
      <w:r>
        <w:t xml:space="preserve">but focal composition can move the result.</w:t>
      </w:r>
    </w:p>
    <w:p>
      <w:pPr>
        <w:pStyle w:val="BodyText"/>
      </w:pPr>
      <w:r>
        <w:rPr>
          <w:bCs/>
          <w:b/>
        </w:rPr>
        <w:t xml:space="preserve">Table T8. Placebo ladder: focal coverage with no support shift, α = 0.05.</w:t>
      </w:r>
      <w:r>
        <w:t xml:space="preserve"> </w:t>
      </w:r>
      <w:r>
        <w:t xml:space="preserve">Evaluation mass</w:t>
      </w:r>
      <w:r>
        <w:t xml:space="preserve"> </w:t>
      </w:r>
      <w:r>
        <w:t xml:space="preserve">drawn only from subtypes present in the source. Novelty ladder shown for comparison.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Fraction</w:t>
            </w:r>
            <w:r>
              <w:t xml:space="preserve"> </w:t>
            </w:r>
            <w:r>
              <w:rPr>
                <w:rStyle w:val="VerbatimChar"/>
              </w:rPr>
              <w:t xml:space="preserve">guess_passwd</w:t>
            </w:r>
          </w:p>
        </w:tc>
        <w:tc>
          <w:tcPr/>
          <w:p>
            <w:pPr>
              <w:pStyle w:val="Compact"/>
              <w:jc w:val="left"/>
            </w:pPr>
            <w:r>
              <w:t xml:space="preserve">0.00</w:t>
            </w:r>
          </w:p>
        </w:tc>
        <w:tc>
          <w:tcPr/>
          <w:p>
            <w:pPr>
              <w:pStyle w:val="Compact"/>
              <w:jc w:val="left"/>
            </w:pPr>
            <w:r>
              <w:t xml:space="preserve">0.25</w:t>
            </w:r>
          </w:p>
        </w:tc>
        <w:tc>
          <w:tcPr/>
          <w:p>
            <w:pPr>
              <w:pStyle w:val="Compact"/>
              <w:jc w:val="left"/>
            </w:pPr>
            <w:r>
              <w:t xml:space="preserve">0.50</w:t>
            </w:r>
          </w:p>
        </w:tc>
        <w:tc>
          <w:tcPr/>
          <w:p>
            <w:pPr>
              <w:pStyle w:val="Compact"/>
              <w:jc w:val="left"/>
            </w:pPr>
            <w:r>
              <w:t xml:space="preserve">0.75</w:t>
            </w:r>
          </w:p>
        </w:tc>
        <w:tc>
          <w:tcPr/>
          <w:p>
            <w:pPr>
              <w:pStyle w:val="Compact"/>
              <w:jc w:val="left"/>
            </w:pPr>
            <w:r>
              <w:t xml:space="preserve">1.00</w:t>
            </w:r>
          </w:p>
        </w:tc>
        <w:tc>
          <w:tcPr/>
          <w:p>
            <w:pPr>
              <w:pStyle w:val="Compact"/>
              <w:jc w:val="left"/>
            </w:pPr>
            <w:r>
              <w:t xml:space="preserve">swing</w:t>
            </w:r>
          </w:p>
        </w:tc>
      </w:tr>
      <w:tr>
        <w:tc>
          <w:tcPr/>
          <w:p>
            <w:pPr>
              <w:pStyle w:val="Compact"/>
              <w:jc w:val="left"/>
            </w:pPr>
            <w:r>
              <w:t xml:space="preserve">Focal coverage</w:t>
            </w:r>
          </w:p>
        </w:tc>
        <w:tc>
          <w:tcPr/>
          <w:p>
            <w:pPr>
              <w:pStyle w:val="Compact"/>
              <w:jc w:val="left"/>
            </w:pPr>
            <w:r>
              <w:t xml:space="preserve">0.3076</w:t>
            </w:r>
          </w:p>
        </w:tc>
        <w:tc>
          <w:tcPr/>
          <w:p>
            <w:pPr>
              <w:pStyle w:val="Compact"/>
              <w:jc w:val="left"/>
            </w:pPr>
            <w:r>
              <w:t xml:space="preserve">0.2331</w:t>
            </w:r>
          </w:p>
        </w:tc>
        <w:tc>
          <w:tcPr/>
          <w:p>
            <w:pPr>
              <w:pStyle w:val="Compact"/>
              <w:jc w:val="left"/>
            </w:pPr>
            <w:r>
              <w:t xml:space="preserve">0.1614</w:t>
            </w:r>
          </w:p>
        </w:tc>
        <w:tc>
          <w:tcPr/>
          <w:p>
            <w:pPr>
              <w:pStyle w:val="Compact"/>
              <w:jc w:val="left"/>
            </w:pPr>
            <w:r>
              <w:t xml:space="preserve">0.0814</w:t>
            </w:r>
          </w:p>
        </w:tc>
        <w:tc>
          <w:tcPr/>
          <w:p>
            <w:pPr>
              <w:pStyle w:val="Compact"/>
              <w:jc w:val="left"/>
            </w:pPr>
            <w:r>
              <w:t xml:space="preserve">0.0097</w:t>
            </w:r>
          </w:p>
        </w:tc>
        <w:tc>
          <w:tcPr/>
          <w:p>
            <w:pPr>
              <w:pStyle w:val="Compact"/>
              <w:jc w:val="left"/>
            </w:pPr>
            <w:r>
              <w:rPr>
                <w:bCs/>
                <w:b/>
              </w:rPr>
              <w:t xml:space="preserve">0.298</w:t>
            </w:r>
          </w:p>
        </w:tc>
      </w:tr>
      <w:tr>
        <w:tc>
          <w:tcPr/>
          <w:p>
            <w:pPr>
              <w:pStyle w:val="Compact"/>
              <w:jc w:val="left"/>
            </w:pPr>
            <w:r>
              <w:t xml:space="preserve">S_sup</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jc w:val="left"/>
            </w:pPr>
            <w:r>
              <w:t xml:space="preserve">0.000</w:t>
            </w:r>
          </w:p>
        </w:tc>
        <w:tc>
          <w:tcPr/>
          <w:p>
            <w:pPr>
              <w:pStyle w:val="Compact"/>
            </w:pPr>
          </w:p>
        </w:tc>
      </w:tr>
      <w:tr>
        <w:tc>
          <w:tcPr/>
          <w:p>
            <w:pPr>
              <w:pStyle w:val="Compact"/>
              <w:jc w:val="left"/>
            </w:pPr>
            <w:r>
              <w:t xml:space="preserve">Score movement (KS)</w:t>
            </w:r>
          </w:p>
        </w:tc>
        <w:tc>
          <w:tcPr/>
          <w:p>
            <w:pPr>
              <w:pStyle w:val="Compact"/>
              <w:jc w:val="left"/>
            </w:pPr>
            <w:r>
              <w:t xml:space="preserve">0.801</w:t>
            </w:r>
          </w:p>
        </w:tc>
        <w:tc>
          <w:tcPr/>
          <w:p>
            <w:pPr>
              <w:pStyle w:val="Compact"/>
              <w:jc w:val="left"/>
            </w:pPr>
            <w:r>
              <w:t xml:space="preserve">0.836</w:t>
            </w:r>
          </w:p>
        </w:tc>
        <w:tc>
          <w:tcPr/>
          <w:p>
            <w:pPr>
              <w:pStyle w:val="Compact"/>
              <w:jc w:val="left"/>
            </w:pPr>
            <w:r>
              <w:t xml:space="preserve">0.873</w:t>
            </w:r>
          </w:p>
        </w:tc>
        <w:tc>
          <w:tcPr/>
          <w:p>
            <w:pPr>
              <w:pStyle w:val="Compact"/>
              <w:jc w:val="left"/>
            </w:pPr>
            <w:r>
              <w:t xml:space="preserve">0.914</w:t>
            </w:r>
          </w:p>
        </w:tc>
        <w:tc>
          <w:tcPr/>
          <w:p>
            <w:pPr>
              <w:pStyle w:val="Compact"/>
              <w:jc w:val="left"/>
            </w:pPr>
            <w:r>
              <w:t xml:space="preserve">0.972</w:t>
            </w:r>
          </w:p>
        </w:tc>
        <w:tc>
          <w:tcPr/>
          <w:p>
            <w:pPr>
              <w:pStyle w:val="Compact"/>
            </w:pPr>
          </w:p>
        </w:tc>
      </w:tr>
      <w:tr>
        <w:tc>
          <w:tcPr/>
          <w:p>
            <w:pPr>
              <w:pStyle w:val="Compact"/>
              <w:jc w:val="left"/>
            </w:pPr>
            <w:r>
              <w:rPr>
                <w:iCs/>
                <w:i/>
              </w:rPr>
              <w:t xml:space="preserve">Novelty ladder coverage</w:t>
            </w:r>
          </w:p>
        </w:tc>
        <w:tc>
          <w:tcPr/>
          <w:p>
            <w:pPr>
              <w:pStyle w:val="Compact"/>
              <w:jc w:val="left"/>
            </w:pPr>
            <w:r>
              <w:rPr>
                <w:iCs/>
                <w:i/>
              </w:rPr>
              <w:t xml:space="preserve">0.143</w:t>
            </w:r>
          </w:p>
        </w:tc>
        <w:tc>
          <w:tcPr/>
          <w:p>
            <w:pPr>
              <w:pStyle w:val="Compact"/>
              <w:jc w:val="left"/>
            </w:pPr>
            <w:r>
              <w:rPr>
                <w:iCs/>
                <w:i/>
              </w:rPr>
              <w:t xml:space="preserve">0.114</w:t>
            </w:r>
          </w:p>
        </w:tc>
        <w:tc>
          <w:tcPr/>
          <w:p>
            <w:pPr>
              <w:pStyle w:val="Compact"/>
              <w:jc w:val="left"/>
            </w:pPr>
            <w:r>
              <w:rPr>
                <w:iCs/>
                <w:i/>
              </w:rPr>
              <w:t xml:space="preserve">0.085</w:t>
            </w:r>
          </w:p>
        </w:tc>
        <w:tc>
          <w:tcPr/>
          <w:p>
            <w:pPr>
              <w:pStyle w:val="Compact"/>
              <w:jc w:val="left"/>
            </w:pPr>
            <w:r>
              <w:rPr>
                <w:iCs/>
                <w:i/>
              </w:rPr>
              <w:t xml:space="preserve">0.058</w:t>
            </w:r>
          </w:p>
        </w:tc>
        <w:tc>
          <w:tcPr/>
          <w:p>
            <w:pPr>
              <w:pStyle w:val="Compact"/>
              <w:jc w:val="left"/>
            </w:pPr>
            <w:r>
              <w:rPr>
                <w:iCs/>
                <w:i/>
              </w:rPr>
              <w:t xml:space="preserve">0.030</w:t>
            </w:r>
          </w:p>
        </w:tc>
        <w:tc>
          <w:tcPr/>
          <w:p>
            <w:pPr>
              <w:pStyle w:val="Compact"/>
              <w:jc w:val="left"/>
            </w:pPr>
            <w:r>
              <w:rPr>
                <w:iCs/>
                <w:i/>
              </w:rPr>
              <w:t xml:space="preserve">0.113</w:t>
            </w:r>
          </w:p>
        </w:tc>
      </w:tr>
    </w:tbl>
    <w:p>
      <w:pPr>
        <w:pStyle w:val="BodyText"/>
      </w:pPr>
      <w:r>
        <w:t xml:space="preserve">The placebo ladder moves coverage by 0.298 against the novelty ladder’s 0.113, a ratio of</w:t>
      </w:r>
      <w:r>
        <w:t xml:space="preserve"> </w:t>
      </w:r>
      <w:r>
        <w:t xml:space="preserve">2.63, while the support shift stays at exactly zero. Novelty is therefore not the operative</w:t>
      </w:r>
      <w:r>
        <w:t xml:space="preserve"> </w:t>
      </w:r>
      <w:r>
        <w:t xml:space="preserve">variable. What moves coverage is where a subtype’s scores sit relative to the source-calibrated</w:t>
      </w:r>
      <w:r>
        <w:t xml:space="preserve"> </w:t>
      </w:r>
      <w:r>
        <w:t xml:space="preserve">quantile, and introducing unseen subtypes is one way, but not the only way and not the most</w:t>
      </w:r>
      <w:r>
        <w:t xml:space="preserve"> </w:t>
      </w:r>
      <w:r>
        <w:t xml:space="preserve">effective way, of moving them.</w:t>
      </w:r>
    </w:p>
    <w:p>
      <w:pPr>
        <w:pStyle w:val="BodyText"/>
      </w:pPr>
      <w:r>
        <w:t xml:space="preserve">Score movement tracks the placebo ladder monotonically, from 0.801 to 0.972, in a setting</w:t>
      </w:r>
      <w:r>
        <w:t xml:space="preserve"> </w:t>
      </w:r>
      <w:r>
        <w:t xml:space="preserve">where support shift is pinned at zero and cannot be the explanation. This is the one place in</w:t>
      </w:r>
      <w:r>
        <w:t xml:space="preserve"> </w:t>
      </w:r>
      <w:r>
        <w:t xml:space="preserve">the study where movement and novelty are separated experimentally rather than statistically,</w:t>
      </w:r>
      <w:r>
        <w:t xml:space="preserve"> </w:t>
      </w:r>
      <w:r>
        <w:t xml:space="preserve">and movement is what carries the effect.</w:t>
      </w:r>
    </w:p>
    <w:p>
      <w:pPr>
        <w:pStyle w:val="CaptionedFigure"/>
      </w:pPr>
      <w:r>
        <w:drawing>
          <wp:inline>
            <wp:extent cx="5334000" cy="2254577"/>
            <wp:effectExtent b="0" l="0" r="0" t="0"/>
            <wp:docPr descr="Figure 8. The placebo ladder. (a) Focal coverage against ladder position for the novelty ladder, which introduces subtypes absent from the source, and for the placebo ladder, which rearranges mass among subtypes the source has already seen and holds the support shift at exactly zero. The placebo moves coverage 2.6 times further. (b) Within-subtype coverage range across the novelty rungs for each subtype, against the class-level swing: every component is close to invariant, so the class-level dose-response is a mixture average of fixed per-subtype coverages." title="" id="51" name="Picture"/>
            <a:graphic>
              <a:graphicData uri="http://schemas.openxmlformats.org/drawingml/2006/picture">
                <pic:pic>
                  <pic:nvPicPr>
                    <pic:cNvPr descr="figs/fig8_placebo.png" id="52" name="Picture"/>
                    <pic:cNvPicPr>
                      <a:picLocks noChangeArrowheads="1" noChangeAspect="1"/>
                    </pic:cNvPicPr>
                  </pic:nvPicPr>
                  <pic:blipFill>
                    <a:blip r:embed="rId50"/>
                    <a:stretch>
                      <a:fillRect/>
                    </a:stretch>
                  </pic:blipFill>
                  <pic:spPr bwMode="auto">
                    <a:xfrm>
                      <a:off x="0" y="0"/>
                      <a:ext cx="5334000" cy="2254577"/>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The placebo ladder. (a) Focal coverage against ladder position for the</w:t>
      </w:r>
      <w:r>
        <w:t xml:space="preserve"> </w:t>
      </w:r>
      <w:r>
        <w:t xml:space="preserve">novelty ladder, which introduces subtypes absent from the source, and for the placebo ladder,</w:t>
      </w:r>
      <w:r>
        <w:t xml:space="preserve"> </w:t>
      </w:r>
      <w:r>
        <w:t xml:space="preserve">which rearranges mass among subtypes the source has already seen and holds the support shift at</w:t>
      </w:r>
      <w:r>
        <w:t xml:space="preserve"> </w:t>
      </w:r>
      <w:r>
        <w:t xml:space="preserve">exactly zero. The placebo moves coverage 2.6 times further. (b) Within-subtype coverage range</w:t>
      </w:r>
      <w:r>
        <w:t xml:space="preserve"> </w:t>
      </w:r>
      <w:r>
        <w:t xml:space="preserve">across the novelty rungs for each subtype, against the class-level swing: every component is</w:t>
      </w:r>
      <w:r>
        <w:t xml:space="preserve"> </w:t>
      </w:r>
      <w:r>
        <w:t xml:space="preserve">close to invariant, so the class-level dose-response is a mixture average of fixed per-subtype</w:t>
      </w:r>
      <w:r>
        <w:t xml:space="preserve"> </w:t>
      </w:r>
      <w:r>
        <w:t xml:space="preserve">coverages.</w:t>
      </w:r>
    </w:p>
    <w:p>
      <w:pPr>
        <w:pStyle w:val="BodyText"/>
      </w:pPr>
      <w:r>
        <w:t xml:space="preserve">The consequence for the wider argument is that</w:t>
      </w:r>
      <w:r>
        <w:t xml:space="preserve"> </w:t>
      </w:r>
      <w:r>
        <w:rPr>
          <w:rStyle w:val="VerbatimChar"/>
        </w:rPr>
        <w:t xml:space="preserve">S_sup</w:t>
      </w:r>
      <w:r>
        <w:t xml:space="preserve"> </w:t>
      </w:r>
      <w:r>
        <w:t xml:space="preserve">should be read as a construction device</w:t>
      </w:r>
      <w:r>
        <w:t xml:space="preserve"> </w:t>
      </w:r>
      <w:r>
        <w:t xml:space="preserve">rather than a cause. It is the quantity the ladder manipulates, and it correlates with coverage</w:t>
      </w:r>
      <w:r>
        <w:t xml:space="preserve"> </w:t>
      </w:r>
      <w:r>
        <w:t xml:space="preserve">because manipulating it happens to move scores; it is not the reason coverage falls.</w:t>
      </w:r>
    </w:p>
    <w:bookmarkEnd w:id="53"/>
    <w:bookmarkStart w:id="54" w:name="X9db8c960a036d2672e0adda0ec9f5a7ffffa7e7"/>
    <w:p>
      <w:pPr>
        <w:pStyle w:val="Heading2"/>
      </w:pPr>
      <w:r>
        <w:t xml:space="preserve">5.5 What the ladder’s zero point does and does not establish</w:t>
      </w:r>
    </w:p>
    <w:p>
      <w:pPr>
        <w:pStyle w:val="FirstParagraph"/>
      </w:pPr>
      <w:r>
        <w:t xml:space="preserve">The measured shift covariates permit a decomposition the cross-dataset design could not</w:t>
      </w:r>
      <w:r>
        <w:t xml:space="preserve"> </w:t>
      </w:r>
      <w:r>
        <w:t xml:space="preserve">support, and the earlier version of this paper drew a stronger conclusion from it than the</w:t>
      </w:r>
      <w:r>
        <w:t xml:space="preserve"> </w:t>
      </w:r>
      <w:r>
        <w:t xml:space="preserve">data sustain. We state the corrected version.</w:t>
      </w:r>
    </w:p>
    <w:p>
      <w:pPr>
        <w:pStyle w:val="BodyText"/>
      </w:pPr>
      <w:r>
        <w:t xml:space="preserve">At rung 0.00 the support shift is 0.001 and the covariate shift is 0.849; across the ladder</w:t>
      </w:r>
      <w:r>
        <w:t xml:space="preserve"> </w:t>
      </w:r>
      <w:r>
        <w:t xml:space="preserve">the covariate shift moves only from 0.849 to 0.893 while support shift sweeps to 0.454. Of the</w:t>
      </w:r>
      <w:r>
        <w:t xml:space="preserve"> </w:t>
      </w:r>
      <w:r>
        <w:t xml:space="preserve">total focal gap of 0.920 below nominal, 0.807 is already present at rung 0.00 and the ladder</w:t>
      </w:r>
      <w:r>
        <w:t xml:space="preserve"> </w:t>
      </w:r>
      <w:r>
        <w:t xml:space="preserve">adds 0.113.</w:t>
      </w:r>
    </w:p>
    <w:p>
      <w:pPr>
        <w:pStyle w:val="BodyText"/>
      </w:pPr>
      <w:r>
        <w:t xml:space="preserve">What that 0.807 is</w:t>
      </w:r>
      <w:r>
        <w:t xml:space="preserve"> </w:t>
      </w:r>
      <w:r>
        <w:rPr>
          <w:iCs/>
          <w:i/>
        </w:rPr>
        <w:t xml:space="preserve">not</w:t>
      </w:r>
      <w:r>
        <w:t xml:space="preserve"> </w:t>
      </w:r>
      <w:r>
        <w:t xml:space="preserve">is a covariate-shift effect. Rung 0.00 has no unseen subtypes, but it</w:t>
      </w:r>
      <w:r>
        <w:t xml:space="preserve"> </w:t>
      </w:r>
      <w:r>
        <w:t xml:space="preserve">is not a no-shift condition in any other sense. The R2L source calibration pool is 86.6 per</w:t>
      </w:r>
      <w:r>
        <w:t xml:space="preserve"> </w:t>
      </w:r>
      <w:r>
        <w:t xml:space="preserve">cent</w:t>
      </w:r>
      <w:r>
        <w:t xml:space="preserve"> </w:t>
      </w:r>
      <w:r>
        <w:rPr>
          <w:rStyle w:val="VerbatimChar"/>
        </w:rPr>
        <w:t xml:space="preserve">warezclient</w:t>
      </w:r>
      <w:r>
        <w:t xml:space="preserve">, a subtype with zero target instances, while the target is 42.7 per cent</w:t>
      </w:r>
      <w:r>
        <w:t xml:space="preserve"> </w:t>
      </w:r>
      <w:r>
        <w:rPr>
          <w:rStyle w:val="VerbatimChar"/>
        </w:rPr>
        <w:t xml:space="preserve">guess_passwd</w:t>
      </w:r>
      <w:r>
        <w:t xml:space="preserve"> </w:t>
      </w:r>
      <w:r>
        <w:t xml:space="preserve">and 32.7 per cent</w:t>
      </w:r>
      <w:r>
        <w:t xml:space="preserve"> </w:t>
      </w:r>
      <w:r>
        <w:rPr>
          <w:rStyle w:val="VerbatimChar"/>
        </w:rPr>
        <w:t xml:space="preserve">warezmaster</w:t>
      </w:r>
      <w:r>
        <w:t xml:space="preserve">, which have 11 and 3 source instances</w:t>
      </w:r>
      <w:r>
        <w:t xml:space="preserve"> </w:t>
      </w:r>
      <w:r>
        <w:t xml:space="preserve">respectively. The quantile is fitted on one subtype and evaluated on different ones even</w:t>
      </w:r>
      <w:r>
        <w:t xml:space="preserve"> </w:t>
      </w:r>
      <w:r>
        <w:t xml:space="preserve">before the ladder begins. Section 5.4 shows that composition of exactly this kind is</w:t>
      </w:r>
      <w:r>
        <w:t xml:space="preserve"> </w:t>
      </w:r>
      <w:r>
        <w:t xml:space="preserve">sufficient to move coverage by 0.298 with no support shift at all, which is larger than the</w:t>
      </w:r>
      <w:r>
        <w:t xml:space="preserve"> </w:t>
      </w:r>
      <w:r>
        <w:t xml:space="preserve">entire ladder effect.</w:t>
      </w:r>
    </w:p>
    <w:p>
      <w:pPr>
        <w:pStyle w:val="BodyText"/>
      </w:pPr>
      <w:r>
        <w:t xml:space="preserve">The 0.807 should therefore be read as the share of the gap not attributable to</w:t>
      </w:r>
      <w:r>
        <w:t xml:space="preserve"> </w:t>
      </w:r>
      <w:r>
        <w:rPr>
          <w:iCs/>
          <w:i/>
        </w:rPr>
        <w:t xml:space="preserve">labelled</w:t>
      </w:r>
      <w:r>
        <w:rPr>
          <w:iCs/>
          <w:i/>
        </w:rPr>
        <w:t xml:space="preserve"> </w:t>
      </w:r>
      <w:r>
        <w:rPr>
          <w:iCs/>
          <w:i/>
        </w:rPr>
        <w:t xml:space="preserve">subtype novelty</w:t>
      </w:r>
      <w:r>
        <w:t xml:space="preserve">, and it is substantially composed of subtype substitution among nominally</w:t>
      </w:r>
      <w:r>
        <w:t xml:space="preserve"> </w:t>
      </w:r>
      <w:r>
        <w:t xml:space="preserve">seen subtypes. A domain-classifier AUROC of 0.849 establishes that source and target features</w:t>
      </w:r>
      <w:r>
        <w:t xml:space="preserve"> </w:t>
      </w:r>
      <w:r>
        <w:t xml:space="preserve">are distinguishable; it does not establish covariate shift with an invariant conditional law,</w:t>
      </w:r>
      <w:r>
        <w:t xml:space="preserve"> </w:t>
      </w:r>
      <w:r>
        <w:t xml:space="preserve">and it does not exclude the composition effect that Section 5.4 demonstrates directly. We</w:t>
      </w:r>
      <w:r>
        <w:t xml:space="preserve"> </w:t>
      </w:r>
      <w:r>
        <w:t xml:space="preserve">withdraw the earlier attribution of 87.7 per cent of the gap to covariate shift.</w:t>
      </w:r>
    </w:p>
    <w:p>
      <w:pPr>
        <w:pStyle w:val="BodyText"/>
      </w:pPr>
      <w:r>
        <w:t xml:space="preserve">This also exposes a limitation of</w:t>
      </w:r>
      <w:r>
        <w:t xml:space="preserve"> </w:t>
      </w:r>
      <w:r>
        <w:rPr>
          <w:rStyle w:val="VerbatimChar"/>
        </w:rPr>
        <w:t xml:space="preserve">S_sup</w:t>
      </w:r>
      <w:r>
        <w:t xml:space="preserve"> </w:t>
      </w:r>
      <w:r>
        <w:t xml:space="preserve">as defined. A subtype with 11 calibration points</w:t>
      </w:r>
      <w:r>
        <w:t xml:space="preserve"> </w:t>
      </w:r>
      <w:r>
        <w:t xml:space="preserve">against 1,231 target instances is, for the purpose of forming a conformal quantile, effectively</w:t>
      </w:r>
      <w:r>
        <w:t xml:space="preserve"> </w:t>
      </w:r>
      <w:r>
        <w:t xml:space="preserve">unsupported, yet the binary in-source test counts it as seen. A measure of support adequacy</w:t>
      </w:r>
      <w:r>
        <w:t xml:space="preserve"> </w:t>
      </w:r>
      <w:r>
        <w:t xml:space="preserve">rather than support presence would capture what the current definition misses, and is</w:t>
      </w:r>
      <w:r>
        <w:t xml:space="preserve"> </w:t>
      </w:r>
      <w:r>
        <w:t xml:space="preserve">identified as necessary in Section 8.</w:t>
      </w:r>
    </w:p>
    <w:bookmarkEnd w:id="54"/>
    <w:bookmarkStart w:id="55" w:name="replication-in-two-further-environments"/>
    <w:p>
      <w:pPr>
        <w:pStyle w:val="Heading2"/>
      </w:pPr>
      <w:r>
        <w:t xml:space="preserve">5.6 Replication in two further environments</w:t>
      </w:r>
    </w:p>
    <w:p>
      <w:pPr>
        <w:pStyle w:val="FirstParagraph"/>
      </w:pPr>
      <w:r>
        <w:t xml:space="preserve">The failure replicates in two independent environments with different shift constructions and different focal classes. A fourth environment, treated separately in Section 5.7, does not replicate it, and that is informative rather than contradictory. On CIC-IDS2017, where support shift is induced by withholding</w:t>
      </w:r>
      <w:r>
        <w:t xml:space="preserve"> </w:t>
      </w:r>
      <w:r>
        <w:t xml:space="preserve">denial-of-service variants from calibration, focal coverage under the deployable protocol</w:t>
      </w:r>
      <w:r>
        <w:t xml:space="preserve"> </w:t>
      </w:r>
      <w:r>
        <w:t xml:space="preserve">is 0.604 with an interval of [0.597, 0.611] against 0.988 for target-supervised</w:t>
      </w:r>
      <w:r>
        <w:t xml:space="preserve"> </w:t>
      </w:r>
      <w:r>
        <w:t xml:space="preserve">calibration. On UGR’16, where the shift is purely covariate at fixed support, the</w:t>
      </w:r>
      <w:r>
        <w:t xml:space="preserve"> </w:t>
      </w:r>
      <w:r>
        <w:t xml:space="preserve">preregistered focal class holds at 0.947 while two other classes collapse. In every</w:t>
      </w:r>
      <w:r>
        <w:t xml:space="preserve"> </w:t>
      </w:r>
      <w:r>
        <w:t xml:space="preserve">environment the non-deployable protocols retain coverage, so the failure is a property of</w:t>
      </w:r>
      <w:r>
        <w:t xml:space="preserve"> </w:t>
      </w:r>
      <w:r>
        <w:t xml:space="preserve">source-only calibration under shift and not of conformal prediction itself.</w:t>
      </w:r>
    </w:p>
    <w:bookmarkEnd w:id="55"/>
    <w:bookmarkStart w:id="56" w:name="X82ce49526339338dc1cc7c8f9efe41f52149856"/>
    <w:p>
      <w:pPr>
        <w:pStyle w:val="Heading2"/>
      </w:pPr>
      <w:r>
        <w:t xml:space="preserve">5.7 Subtype novelty is not sufficient to produce undercoverage</w:t>
      </w:r>
    </w:p>
    <w:p>
      <w:pPr>
        <w:pStyle w:val="FirstParagraph"/>
      </w:pPr>
      <w:r>
        <w:t xml:space="preserve">The three environments above all carry covariate shift, and the decomposition of Section 5.4</w:t>
      </w:r>
      <w:r>
        <w:t xml:space="preserve"> </w:t>
      </w:r>
      <w:r>
        <w:t xml:space="preserve">attributes most of the NSL-KDD failure to it. CIC-IoT-2023 supplies the complement: support</w:t>
      </w:r>
      <w:r>
        <w:t xml:space="preserve"> </w:t>
      </w:r>
      <w:r>
        <w:t xml:space="preserve">shift in isolation, with the covariate shift held at the permutation null and the label-prior</w:t>
      </w:r>
      <w:r>
        <w:t xml:space="preserve"> </w:t>
      </w:r>
      <w:r>
        <w:t xml:space="preserve">shift negligible (Table T1). If novelty at the subtype level were sufficient to break class-conditional coverage, this is</w:t>
      </w:r>
      <w:r>
        <w:t xml:space="preserve"> </w:t>
      </w:r>
      <w:r>
        <w:t xml:space="preserve">where it would show. We state the claim in those terms deliberately. The withheld subtypes are</w:t>
      </w:r>
      <w:r>
        <w:t xml:space="preserve"> </w:t>
      </w:r>
      <w:r>
        <w:t xml:space="preserve">absent from the source by label, but their feature distributions evidently remain inside the</w:t>
      </w:r>
      <w:r>
        <w:t xml:space="preserve"> </w:t>
      </w:r>
      <w:r>
        <w:t xml:space="preserve">region the model has already learned for the family, so this construction establishes the</w:t>
      </w:r>
      <w:r>
        <w:t xml:space="preserve"> </w:t>
      </w:r>
      <w:r>
        <w:t xml:space="preserve">insufficiency of semantic subtype novelty rather than of feature-space support loss. A</w:t>
      </w:r>
      <w:r>
        <w:t xml:space="preserve"> </w:t>
      </w:r>
      <w:r>
        <w:t xml:space="preserve">construction in which source support is genuinely absent in the model-relevant feature space</w:t>
      </w:r>
      <w:r>
        <w:t xml:space="preserve"> </w:t>
      </w:r>
      <w:r>
        <w:t xml:space="preserve">might behave differently, and we do not claim otherwise.</w:t>
      </w:r>
    </w:p>
    <w:p>
      <w:pPr>
        <w:pStyle w:val="BodyText"/>
      </w:pPr>
      <w:r>
        <w:t xml:space="preserve">It does not. Focal coverage under the deployable protocol is 0.949, 0.952, 0.951, 0.952 and</w:t>
      </w:r>
      <w:r>
        <w:t xml:space="preserve"> </w:t>
      </w:r>
      <w:r>
        <w:t xml:space="preserve">0.952 as the novel fraction rises from 0.00 to 0.80, against a nominal 0.95 (Table T9). At the</w:t>
      </w:r>
      <w:r>
        <w:t xml:space="preserve"> </w:t>
      </w:r>
      <w:r>
        <w:t xml:space="preserve">top rung the seed-clustered interval is [0.950, 0.954]. Every one of the eight classes sits</w:t>
      </w:r>
      <w:r>
        <w:t xml:space="preserve"> </w:t>
      </w:r>
      <w:r>
        <w:t xml:space="preserve">inside its guarantee band under all three protocols, no class is infeasible, and the mean</w:t>
      </w:r>
      <w:r>
        <w:t xml:space="preserve"> </w:t>
      </w:r>
      <w:r>
        <w:t xml:space="preserve">prediction-set size differs by 0.014 between protocols. At a class-conditional novel fraction of 0.80, nearly twice the largest value reached on NSL-KDD, nothing fails.</w:t>
      </w:r>
    </w:p>
    <w:p>
      <w:pPr>
        <w:pStyle w:val="BodyText"/>
      </w:pPr>
      <w:r>
        <w:rPr>
          <w:bCs/>
          <w:b/>
        </w:rPr>
        <w:t xml:space="preserve">Table T9. CIC-IoT-2023: focal coverage under the deployable protocol across the</w:t>
      </w:r>
      <w:r>
        <w:rPr>
          <w:bCs/>
          <w:b/>
        </w:rPr>
        <w:t xml:space="preserve"> </w:t>
      </w:r>
      <w:r>
        <w:rPr>
          <w:bCs/>
          <w:b/>
        </w:rPr>
        <w:t xml:space="preserve">support-shift ladder, α = 0.05.</w:t>
      </w:r>
      <w:r>
        <w:t xml:space="preserve"> </w:t>
      </w:r>
      <w:r>
        <w:t xml:space="preserve">Nominal 0.95. S_cov is at the permutation null throughout.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Novel fraction (S_sup)</w:t>
            </w:r>
          </w:p>
        </w:tc>
        <w:tc>
          <w:tcPr/>
          <w:p>
            <w:pPr>
              <w:pStyle w:val="Compact"/>
              <w:jc w:val="left"/>
            </w:pPr>
            <w:r>
              <w:t xml:space="preserve">0.00</w:t>
            </w:r>
          </w:p>
        </w:tc>
        <w:tc>
          <w:tcPr/>
          <w:p>
            <w:pPr>
              <w:pStyle w:val="Compact"/>
              <w:jc w:val="left"/>
            </w:pPr>
            <w:r>
              <w:t xml:space="preserve">0.20</w:t>
            </w:r>
          </w:p>
        </w:tc>
        <w:tc>
          <w:tcPr/>
          <w:p>
            <w:pPr>
              <w:pStyle w:val="Compact"/>
              <w:jc w:val="left"/>
            </w:pPr>
            <w:r>
              <w:t xml:space="preserve">0.40</w:t>
            </w:r>
          </w:p>
        </w:tc>
        <w:tc>
          <w:tcPr/>
          <w:p>
            <w:pPr>
              <w:pStyle w:val="Compact"/>
              <w:jc w:val="left"/>
            </w:pPr>
            <w:r>
              <w:t xml:space="preserve">0.60</w:t>
            </w:r>
          </w:p>
        </w:tc>
        <w:tc>
          <w:tcPr/>
          <w:p>
            <w:pPr>
              <w:pStyle w:val="Compact"/>
              <w:jc w:val="left"/>
            </w:pPr>
            <w:r>
              <w:t xml:space="preserve">0.80</w:t>
            </w:r>
          </w:p>
        </w:tc>
      </w:tr>
      <w:tr>
        <w:tc>
          <w:tcPr/>
          <w:p>
            <w:pPr>
              <w:pStyle w:val="Compact"/>
              <w:jc w:val="left"/>
            </w:pPr>
            <w:r>
              <w:t xml:space="preserve">SHC</w:t>
            </w:r>
          </w:p>
        </w:tc>
        <w:tc>
          <w:tcPr/>
          <w:p>
            <w:pPr>
              <w:pStyle w:val="Compact"/>
              <w:jc w:val="left"/>
            </w:pPr>
            <w:r>
              <w:t xml:space="preserve">0.9491</w:t>
            </w:r>
          </w:p>
        </w:tc>
        <w:tc>
          <w:tcPr/>
          <w:p>
            <w:pPr>
              <w:pStyle w:val="Compact"/>
              <w:jc w:val="left"/>
            </w:pPr>
            <w:r>
              <w:t xml:space="preserve">0.9517</w:t>
            </w:r>
          </w:p>
        </w:tc>
        <w:tc>
          <w:tcPr/>
          <w:p>
            <w:pPr>
              <w:pStyle w:val="Compact"/>
              <w:jc w:val="left"/>
            </w:pPr>
            <w:r>
              <w:t xml:space="preserve">0.9509</w:t>
            </w:r>
          </w:p>
        </w:tc>
        <w:tc>
          <w:tcPr/>
          <w:p>
            <w:pPr>
              <w:pStyle w:val="Compact"/>
              <w:jc w:val="left"/>
            </w:pPr>
            <w:r>
              <w:t xml:space="preserve">0.9520</w:t>
            </w:r>
          </w:p>
        </w:tc>
        <w:tc>
          <w:tcPr/>
          <w:p>
            <w:pPr>
              <w:pStyle w:val="Compact"/>
              <w:jc w:val="left"/>
            </w:pPr>
            <w:r>
              <w:t xml:space="preserve">0.9519</w:t>
            </w:r>
          </w:p>
        </w:tc>
      </w:tr>
      <w:tr>
        <w:tc>
          <w:tcPr/>
          <w:p>
            <w:pPr>
              <w:pStyle w:val="Compact"/>
              <w:jc w:val="left"/>
            </w:pPr>
            <w:r>
              <w:t xml:space="preserve">TSC</w:t>
            </w:r>
          </w:p>
        </w:tc>
        <w:tc>
          <w:tcPr/>
          <w:p>
            <w:pPr>
              <w:pStyle w:val="Compact"/>
              <w:jc w:val="left"/>
            </w:pPr>
            <w:r>
              <w:t xml:space="preserve">0.9512</w:t>
            </w:r>
          </w:p>
        </w:tc>
        <w:tc>
          <w:tcPr/>
          <w:p>
            <w:pPr>
              <w:pStyle w:val="Compact"/>
              <w:jc w:val="left"/>
            </w:pPr>
            <w:r>
              <w:t xml:space="preserve">0.9532</w:t>
            </w:r>
          </w:p>
        </w:tc>
        <w:tc>
          <w:tcPr/>
          <w:p>
            <w:pPr>
              <w:pStyle w:val="Compact"/>
              <w:jc w:val="left"/>
            </w:pPr>
            <w:r>
              <w:t xml:space="preserve">0.9497</w:t>
            </w:r>
          </w:p>
        </w:tc>
        <w:tc>
          <w:tcPr/>
          <w:p>
            <w:pPr>
              <w:pStyle w:val="Compact"/>
              <w:jc w:val="left"/>
            </w:pPr>
            <w:r>
              <w:t xml:space="preserve">0.9497</w:t>
            </w:r>
          </w:p>
        </w:tc>
        <w:tc>
          <w:tcPr/>
          <w:p>
            <w:pPr>
              <w:pStyle w:val="Compact"/>
              <w:jc w:val="left"/>
            </w:pPr>
            <w:r>
              <w:t xml:space="preserve">0.9482</w:t>
            </w:r>
          </w:p>
        </w:tc>
      </w:tr>
      <w:tr>
        <w:tc>
          <w:tcPr/>
          <w:p>
            <w:pPr>
              <w:pStyle w:val="Compact"/>
              <w:jc w:val="left"/>
            </w:pPr>
            <w:r>
              <w:t xml:space="preserve">REC</w:t>
            </w:r>
          </w:p>
        </w:tc>
        <w:tc>
          <w:tcPr/>
          <w:p>
            <w:pPr>
              <w:pStyle w:val="Compact"/>
              <w:jc w:val="left"/>
            </w:pPr>
            <w:r>
              <w:t xml:space="preserve">0.9519</w:t>
            </w:r>
          </w:p>
        </w:tc>
        <w:tc>
          <w:tcPr/>
          <w:p>
            <w:pPr>
              <w:pStyle w:val="Compact"/>
              <w:jc w:val="left"/>
            </w:pPr>
            <w:r>
              <w:t xml:space="preserve">0.9519</w:t>
            </w:r>
          </w:p>
        </w:tc>
        <w:tc>
          <w:tcPr/>
          <w:p>
            <w:pPr>
              <w:pStyle w:val="Compact"/>
              <w:jc w:val="left"/>
            </w:pPr>
            <w:r>
              <w:t xml:space="preserve">0.9519</w:t>
            </w:r>
          </w:p>
        </w:tc>
        <w:tc>
          <w:tcPr/>
          <w:p>
            <w:pPr>
              <w:pStyle w:val="Compact"/>
              <w:jc w:val="left"/>
            </w:pPr>
            <w:r>
              <w:t xml:space="preserve">0.9519</w:t>
            </w:r>
          </w:p>
        </w:tc>
        <w:tc>
          <w:tcPr/>
          <w:p>
            <w:pPr>
              <w:pStyle w:val="Compact"/>
              <w:jc w:val="left"/>
            </w:pPr>
            <w:r>
              <w:t xml:space="preserve">0.9519</w:t>
            </w:r>
          </w:p>
        </w:tc>
      </w:tr>
    </w:tbl>
    <w:p>
      <w:pPr>
        <w:pStyle w:val="BodyText"/>
      </w:pPr>
      <w:r>
        <w:t xml:space="preserve">This is the mechanism’s negative prediction, and testing it is the point. Section 5.10 holds</w:t>
      </w:r>
      <w:r>
        <w:t xml:space="preserve"> </w:t>
      </w:r>
      <w:r>
        <w:t xml:space="preserve">that a class undercovers when its nonconformity-score distribution moves past the</w:t>
      </w:r>
      <w:r>
        <w:t xml:space="preserve"> </w:t>
      </w:r>
      <w:r>
        <w:t xml:space="preserve">source-calibrated quantile; it therefore requires that score movement be small here. It is.</w:t>
      </w:r>
      <w:r>
        <w:t xml:space="preserve"> </w:t>
      </w:r>
      <w:r>
        <w:t xml:space="preserve">At the top rung the focal score movement is 0.089, and 0.108 when restricted to the withheld</w:t>
      </w:r>
      <w:r>
        <w:t xml:space="preserve"> </w:t>
      </w:r>
      <w:r>
        <w:t xml:space="preserve">subtypes alone, against 0.922 for the NSL-KDD focal class. A tenfold difference in movement,</w:t>
      </w:r>
      <w:r>
        <w:t xml:space="preserve"> </w:t>
      </w:r>
      <w:r>
        <w:t xml:space="preserve">and coverage follows it rather than following the nominal shift measure.</w:t>
      </w:r>
    </w:p>
    <w:p>
      <w:pPr>
        <w:pStyle w:val="BodyText"/>
      </w:pPr>
      <w:r>
        <w:t xml:space="preserve">The reason is measurable rather than merely interpretable, and Section 5.10 supplies the</w:t>
      </w:r>
      <w:r>
        <w:t xml:space="preserve"> </w:t>
      </w:r>
      <w:r>
        <w:t xml:space="preserve">instrument. The withheld subtypes did move the score distribution: focal movement is 0.089,</w:t>
      </w:r>
      <w:r>
        <w:t xml:space="preserve"> </w:t>
      </w:r>
      <w:r>
        <w:t xml:space="preserve">essentially the same as UGR’16 nerisbotnet at 0.089. What differs is</w:t>
      </w:r>
      <w:r>
        <w:t xml:space="preserve"> </w:t>
      </w:r>
      <w:r>
        <w:rPr>
          <w:iCs/>
          <w:i/>
        </w:rPr>
        <w:t xml:space="preserve">where</w:t>
      </w:r>
      <w:r>
        <w:t xml:space="preserve"> </w:t>
      </w:r>
      <w:r>
        <w:t xml:space="preserve">that movement</w:t>
      </w:r>
      <w:r>
        <w:t xml:space="preserve"> </w:t>
      </w:r>
      <w:r>
        <w:t xml:space="preserve">occurs. Only 12 per cent of it is realised at the source-calibrated threshold, against 99 per</w:t>
      </w:r>
      <w:r>
        <w:t xml:space="preserve"> </w:t>
      </w:r>
      <w:r>
        <w:t xml:space="preserve">cent for the NSL-KDD focal class and 96 per cent for UGR’16 scan11. The novelty is visible in</w:t>
      </w:r>
      <w:r>
        <w:t xml:space="preserve"> </w:t>
      </w:r>
      <w:r>
        <w:t xml:space="preserve">the scores and irrelevant to coverage, because coverage depends on the target distribution</w:t>
      </w:r>
      <w:r>
        <w:t xml:space="preserve"> </w:t>
      </w:r>
      <w:r>
        <w:t xml:space="preserve">evaluated at one point and the movement happens elsewhere. Support shift as counted by S_sup is therefore not the same thing as support shift that moves scores, and only the latter breaks the guarantee. This also explains why the NSL-KDD ladder of Section 5.3 yields a clean dose-response while the same manipulation here yields none: there the unseen subtypes move the scores, here they do not.</w:t>
      </w:r>
    </w:p>
    <w:p>
      <w:pPr>
        <w:pStyle w:val="BodyText"/>
      </w:pPr>
      <w:r>
        <w:t xml:space="preserve">One feature of this environment deserves separate comment because it shows what the trust</w:t>
      </w:r>
      <w:r>
        <w:t xml:space="preserve"> </w:t>
      </w:r>
      <w:r>
        <w:t xml:space="preserve">layer contributes. The classifier misroutes 53 per cent of true focal flows to another class</w:t>
      </w:r>
      <w:r>
        <w:t xml:space="preserve"> </w:t>
      </w:r>
      <w:r>
        <w:t xml:space="preserve">at every rung, yet class-conditional coverage holds at 0.95. That is possible only because the</w:t>
      </w:r>
      <w:r>
        <w:t xml:space="preserve"> </w:t>
      </w:r>
      <w:r>
        <w:t xml:space="preserve">prediction sets are set-valued: at a mean size of 1.79 the true class survives in the set even</w:t>
      </w:r>
      <w:r>
        <w:t xml:space="preserve"> </w:t>
      </w:r>
      <w:r>
        <w:t xml:space="preserve">when the top-ranked prediction is wrong. A point classifier evaluated on the same traffic</w:t>
      </w:r>
      <w:r>
        <w:t xml:space="preserve"> </w:t>
      </w:r>
      <w:r>
        <w:t xml:space="preserve">would be wrong more often than not on this class, while the conformal set retains its</w:t>
      </w:r>
      <w:r>
        <w:t xml:space="preserve"> </w:t>
      </w:r>
      <w:r>
        <w:t xml:space="preserve">guarantee.</w:t>
      </w:r>
    </w:p>
    <w:bookmarkEnd w:id="56"/>
    <w:bookmarkStart w:id="57" w:name="X65434ee6d4919637587f12761b6154bf090101c"/>
    <w:p>
      <w:pPr>
        <w:pStyle w:val="Heading2"/>
      </w:pPr>
      <w:r>
        <w:t xml:space="preserve">5.8 A satisfied marginal guarantee conceals per-class failure</w:t>
      </w:r>
    </w:p>
    <w:p>
      <w:pPr>
        <w:pStyle w:val="FirstParagraph"/>
      </w:pPr>
      <w:r>
        <w:t xml:space="preserve">Under the two valid protocols on NSL-KDD the marginal guarantee is satisfied almost</w:t>
      </w:r>
      <w:r>
        <w:t xml:space="preserve"> </w:t>
      </w:r>
      <w:r>
        <w:t xml:space="preserve">exactly, at 0.9507 aggregate coverage against a nominal 0.95, yet under that single shared</w:t>
      </w:r>
      <w:r>
        <w:t xml:space="preserve"> </w:t>
      </w:r>
      <w:r>
        <w:t xml:space="preserve">quantile the rare focal class receives only 0.859, while class-conditional conditioning</w:t>
      </w:r>
      <w:r>
        <w:t xml:space="preserve"> </w:t>
      </w:r>
      <w:r>
        <w:t xml:space="preserve">delivers 0.956 to the same class on the same data (Table T10). A practitioner monitoring</w:t>
      </w:r>
      <w:r>
        <w:t xml:space="preserve"> </w:t>
      </w:r>
      <w:r>
        <w:t xml:space="preserve">the marginal guarantee alone would observe a system performing to specification while the</w:t>
      </w:r>
      <w:r>
        <w:t xml:space="preserve"> </w:t>
      </w:r>
      <w:r>
        <w:t xml:space="preserve">class that matters most was undercovered by nine percentage points. Under the deployable</w:t>
      </w:r>
      <w:r>
        <w:t xml:space="preserve"> </w:t>
      </w:r>
      <w:r>
        <w:t xml:space="preserve">protocol both collapse, to 0.720 aggregate and 0.071 focal. This result motivates the</w:t>
      </w:r>
      <w:r>
        <w:t xml:space="preserve"> </w:t>
      </w:r>
      <w:r>
        <w:t xml:space="preserve">class-conditional framing of the study and shows that aggregate coverage reporting is not</w:t>
      </w:r>
      <w:r>
        <w:t xml:space="preserve"> </w:t>
      </w:r>
      <w:r>
        <w:t xml:space="preserve">sufficient to certify a conformal detector.</w:t>
      </w:r>
    </w:p>
    <w:p>
      <w:pPr>
        <w:pStyle w:val="BodyText"/>
      </w:pPr>
      <w:r>
        <w:rPr>
          <w:bCs/>
          <w:b/>
        </w:rPr>
        <w:t xml:space="preserve">Table T10. Marginal versus class-conditional conditioning, NSL-KDD, α = 0.05.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Protocol</w:t>
            </w:r>
          </w:p>
        </w:tc>
        <w:tc>
          <w:tcPr/>
          <w:p>
            <w:pPr>
              <w:pStyle w:val="Compact"/>
              <w:jc w:val="left"/>
            </w:pPr>
            <w:r>
              <w:t xml:space="preserve">Marginal, aggregate</w:t>
            </w:r>
          </w:p>
        </w:tc>
        <w:tc>
          <w:tcPr/>
          <w:p>
            <w:pPr>
              <w:pStyle w:val="Compact"/>
              <w:jc w:val="left"/>
            </w:pPr>
            <w:r>
              <w:t xml:space="preserve">Marginal, focal R2L</w:t>
            </w:r>
          </w:p>
        </w:tc>
        <w:tc>
          <w:tcPr/>
          <w:p>
            <w:pPr>
              <w:pStyle w:val="Compact"/>
              <w:jc w:val="left"/>
            </w:pPr>
            <w:r>
              <w:t xml:space="preserve">Class-conditional, focal R2L</w:t>
            </w:r>
          </w:p>
        </w:tc>
      </w:tr>
      <w:tr>
        <w:tc>
          <w:tcPr/>
          <w:p>
            <w:pPr>
              <w:pStyle w:val="Compact"/>
              <w:jc w:val="left"/>
            </w:pPr>
            <w:r>
              <w:t xml:space="preserve">REC</w:t>
            </w:r>
          </w:p>
        </w:tc>
        <w:tc>
          <w:tcPr/>
          <w:p>
            <w:pPr>
              <w:pStyle w:val="Compact"/>
              <w:jc w:val="left"/>
            </w:pPr>
            <w:r>
              <w:t xml:space="preserve">0.9507</w:t>
            </w:r>
          </w:p>
        </w:tc>
        <w:tc>
          <w:tcPr/>
          <w:p>
            <w:pPr>
              <w:pStyle w:val="Compact"/>
              <w:jc w:val="left"/>
            </w:pPr>
            <w:r>
              <w:t xml:space="preserve">0.8591</w:t>
            </w:r>
          </w:p>
        </w:tc>
        <w:tc>
          <w:tcPr/>
          <w:p>
            <w:pPr>
              <w:pStyle w:val="Compact"/>
              <w:jc w:val="left"/>
            </w:pPr>
            <w:r>
              <w:t xml:space="preserve">0.9562</w:t>
            </w:r>
          </w:p>
        </w:tc>
      </w:tr>
      <w:tr>
        <w:tc>
          <w:tcPr/>
          <w:p>
            <w:pPr>
              <w:pStyle w:val="Compact"/>
              <w:jc w:val="left"/>
            </w:pPr>
            <w:r>
              <w:t xml:space="preserve">TSC</w:t>
            </w:r>
          </w:p>
        </w:tc>
        <w:tc>
          <w:tcPr/>
          <w:p>
            <w:pPr>
              <w:pStyle w:val="Compact"/>
              <w:jc w:val="left"/>
            </w:pPr>
            <w:r>
              <w:t xml:space="preserve">0.9507</w:t>
            </w:r>
          </w:p>
        </w:tc>
        <w:tc>
          <w:tcPr/>
          <w:p>
            <w:pPr>
              <w:pStyle w:val="Compact"/>
              <w:jc w:val="left"/>
            </w:pPr>
            <w:r>
              <w:t xml:space="preserve">0.8595</w:t>
            </w:r>
          </w:p>
        </w:tc>
        <w:tc>
          <w:tcPr/>
          <w:p>
            <w:pPr>
              <w:pStyle w:val="Compact"/>
              <w:jc w:val="left"/>
            </w:pPr>
            <w:r>
              <w:t xml:space="preserve">0.9536</w:t>
            </w:r>
          </w:p>
        </w:tc>
      </w:tr>
      <w:tr>
        <w:tc>
          <w:tcPr/>
          <w:p>
            <w:pPr>
              <w:pStyle w:val="Compact"/>
              <w:jc w:val="left"/>
            </w:pPr>
            <w:r>
              <w:t xml:space="preserve">SHC</w:t>
            </w:r>
          </w:p>
        </w:tc>
        <w:tc>
          <w:tcPr/>
          <w:p>
            <w:pPr>
              <w:pStyle w:val="Compact"/>
              <w:jc w:val="left"/>
            </w:pPr>
            <w:r>
              <w:t xml:space="preserve">0.7200</w:t>
            </w:r>
          </w:p>
        </w:tc>
        <w:tc>
          <w:tcPr/>
          <w:p>
            <w:pPr>
              <w:pStyle w:val="Compact"/>
              <w:jc w:val="left"/>
            </w:pPr>
            <w:r>
              <w:t xml:space="preserve">0.0714</w:t>
            </w:r>
          </w:p>
        </w:tc>
        <w:tc>
          <w:tcPr/>
          <w:p>
            <w:pPr>
              <w:pStyle w:val="Compact"/>
              <w:jc w:val="left"/>
            </w:pPr>
            <w:r>
              <w:t xml:space="preserve">0.0860</w:t>
            </w:r>
          </w:p>
        </w:tc>
      </w:tr>
    </w:tbl>
    <w:bookmarkEnd w:id="57"/>
    <w:bookmarkStart w:id="58" w:name="X0f88d5246c61c2dba540f8e862740b1375d5e27"/>
    <w:p>
      <w:pPr>
        <w:pStyle w:val="Heading2"/>
      </w:pPr>
      <w:r>
        <w:t xml:space="preserve">5.9 Covariate-shift failure is selective, and the selectivity is tested</w:t>
      </w:r>
    </w:p>
    <w:p>
      <w:pPr>
        <w:pStyle w:val="FirstParagraph"/>
      </w:pPr>
      <w:r>
        <w:t xml:space="preserve">UGR’16 exposes every class to one and the same aggregate feature drift, yet the classes do not</w:t>
      </w:r>
      <w:r>
        <w:t xml:space="preserve"> </w:t>
      </w:r>
      <w:r>
        <w:t xml:space="preserve">share a common coverage. Three classes sit at or near nominal, background at 0.949, dos at</w:t>
      </w:r>
      <w:r>
        <w:t xml:space="preserve"> </w:t>
      </w:r>
      <w:r>
        <w:t xml:space="preserve">0.950 and the focal nerisbotnet at 0.947, while scan11 collapses to 0.535 and scan44 to</w:t>
      </w:r>
      <w:r>
        <w:t xml:space="preserve"> </w:t>
      </w:r>
      <w:r>
        <w:t xml:space="preserve">0.799. Cochran’s Q on the five per-class coverages, weighted by inverse variance, is 10,110 on four</w:t>
      </w:r>
      <w:r>
        <w:t xml:space="preserve"> </w:t>
      </w:r>
      <w:r>
        <w:t xml:space="preserve">degrees of freedom with I² of 100 per cent. That statistic assumes independent effect</w:t>
      </w:r>
      <w:r>
        <w:t xml:space="preserve"> </w:t>
      </w:r>
      <w:r>
        <w:t xml:space="preserve">estimates, which these are not: the classes share trained models, probability calibrators,</w:t>
      </w:r>
      <w:r>
        <w:t xml:space="preserve"> </w:t>
      </w:r>
      <w:r>
        <w:t xml:space="preserve">target weeks and matched draws, so the nominal p-value is not formally valid and the statistic</w:t>
      </w:r>
      <w:r>
        <w:t xml:space="preserve"> </w:t>
      </w:r>
      <w:r>
        <w:t xml:space="preserve">is reported as a descriptive measure of heterogeneity magnitude rather than as a test. The</w:t>
      </w:r>
      <w:r>
        <w:t xml:space="preserve"> </w:t>
      </w:r>
      <w:r>
        <w:t xml:space="preserve">heterogeneity is large by any reading, but a class-by-protocol interaction model or a paired</w:t>
      </w:r>
      <w:r>
        <w:t xml:space="preserve"> </w:t>
      </w:r>
      <w:r>
        <w:t xml:space="preserve">cluster bootstrap is required before it is called decisive and</w:t>
      </w:r>
      <w:r>
        <w:t xml:space="preserve"> </w:t>
      </w:r>
      <w:r>
        <w:t xml:space="preserve">essentially all of the between-class variation is genuine heterogeneity rather than</w:t>
      </w:r>
      <w:r>
        <w:t xml:space="preserve"> </w:t>
      </w:r>
      <w:r>
        <w:t xml:space="preserve">sampling noise. Which classes fail cannot be read from the aggregate shift magnitude. The</w:t>
      </w:r>
      <w:r>
        <w:t xml:space="preserve"> </w:t>
      </w:r>
      <w:r>
        <w:t xml:space="preserve">preregistered focal class holds and is reported as such; the scan collapse is a discovered</w:t>
      </w:r>
      <w:r>
        <w:t xml:space="preserve"> </w:t>
      </w:r>
      <w:r>
        <w:t xml:space="preserve">finding, is not retrospectively promoted to focal, and rests on a single covariate</w:t>
      </w:r>
      <w:r>
        <w:t xml:space="preserve"> </w:t>
      </w:r>
      <w:r>
        <w:t xml:space="preserve">environment, so it is offered as a phenomenon requiring replication.</w:t>
      </w:r>
    </w:p>
    <w:bookmarkEnd w:id="58"/>
    <w:bookmarkStart w:id="62" w:name="score-movement-explains-the-failures"/>
    <w:p>
      <w:pPr>
        <w:pStyle w:val="Heading2"/>
      </w:pPr>
      <w:r>
        <w:t xml:space="preserve">5.10 Score movement explains the failures</w:t>
      </w:r>
    </w:p>
    <w:p>
      <w:pPr>
        <w:pStyle w:val="FirstParagraph"/>
      </w:pPr>
      <w:r>
        <w:t xml:space="preserve">Because the three architectures fitted to a given dataset and class share the same data and</w:t>
      </w:r>
      <w:r>
        <w:t xml:space="preserve"> </w:t>
      </w:r>
      <w:r>
        <w:t xml:space="preserve">the same shift, they are not independent observations, so the relationship between score</w:t>
      </w:r>
      <w:r>
        <w:t xml:space="preserve"> </w:t>
      </w:r>
      <w:r>
        <w:t xml:space="preserve">movement and undercoverage is estimated at the class level, one ladder rung per laddered</w:t>
      </w:r>
      <w:r>
        <w:t xml:space="preserve"> </w:t>
      </w:r>
      <w:r>
        <w:t xml:space="preserve">dataset so that no environment dominates the sample. Across the twenty-eight class-level</w:t>
      </w:r>
      <w:r>
        <w:t xml:space="preserve"> </w:t>
      </w:r>
      <w:r>
        <w:t xml:space="preserve">cells of the four datasets, the Kolmogorov-Smirnov distance between source and target</w:t>
      </w:r>
      <w:r>
        <w:t xml:space="preserve"> </w:t>
      </w:r>
      <w:r>
        <w:t xml:space="preserve">true-class score distributions is rank-correlated with realised undercoverage at a Spearman</w:t>
      </w:r>
      <w:r>
        <w:t xml:space="preserve"> </w:t>
      </w:r>
      <w:r>
        <w:t xml:space="preserve">coefficient of 0.844 (p = 1.7 × 10⁻⁸), with a bootstrap interval of [0.610, 0.939]</w:t>
      </w:r>
      <w:r>
        <w:t xml:space="preserve"> </w:t>
      </w:r>
      <w:r>
        <w:t xml:space="preserve">(Figure 2). The relationship spans movement from 0.000 to 0.922 and undercoverage from</w:t>
      </w:r>
      <w:r>
        <w:t xml:space="preserve"> </w:t>
      </w:r>
      <w:r>
        <w:t xml:space="preserve">−0.050 to +0.876.</w:t>
      </w:r>
    </w:p>
    <w:p>
      <w:pPr>
        <w:pStyle w:val="BodyText"/>
      </w:pPr>
      <w:r>
        <w:t xml:space="preserve">This coefficient is lower than the 0.926 obtained over the first three datasets, and the</w:t>
      </w:r>
      <w:r>
        <w:t xml:space="preserve"> </w:t>
      </w:r>
      <w:r>
        <w:t xml:space="preserve">reason is that the fourth environment is a harder test rather than a weaker one: it occupies</w:t>
      </w:r>
      <w:r>
        <w:t xml:space="preserve"> </w:t>
      </w:r>
      <w:r>
        <w:t xml:space="preserve">the low-movement, no-failure corner and forces the relationship to hold across a range the</w:t>
      </w:r>
      <w:r>
        <w:t xml:space="preserve"> </w:t>
      </w:r>
      <w:r>
        <w:t xml:space="preserve">earlier datasets never reached. Two checks establish that the pooled figure is not carried by</w:t>
      </w:r>
      <w:r>
        <w:t xml:space="preserve"> </w:t>
      </w:r>
      <w:r>
        <w:t xml:space="preserve">any single environment. Removing each dataset in turn gives 0.926 without CIC-IoT-2023, 0.873</w:t>
      </w:r>
      <w:r>
        <w:t xml:space="preserve"> </w:t>
      </w:r>
      <w:r>
        <w:t xml:space="preserve">without UGR’16, 0.785 without NSL-KDD and 0.538 without CIC-IDS2017, so the statistic is</w:t>
      </w:r>
      <w:r>
        <w:t xml:space="preserve"> </w:t>
      </w:r>
      <w:r>
        <w:t xml:space="preserve">never dependent on one source and leans least on the environment added last.</w:t>
      </w:r>
    </w:p>
    <w:p>
      <w:pPr>
        <w:pStyle w:val="BodyText"/>
      </w:pPr>
      <w:r>
        <w:t xml:space="preserve">Within-dataset correlations are 0.900 on NSL-KDD, 0.841 on CIC-IDS2017 and 1.000 on UGR’16.</w:t>
      </w:r>
      <w:r>
        <w:t xml:space="preserve"> </w:t>
      </w:r>
      <w:r>
        <w:t xml:space="preserve">On CIC-IoT-2023 it is −0.667, and that value should be read as an artefact of range</w:t>
      </w:r>
      <w:r>
        <w:t xml:space="preserve"> </w:t>
      </w:r>
      <w:r>
        <w:t xml:space="preserve">restriction rather than as counter-evidence. Every class in that environment lies within</w:t>
      </w:r>
      <w:r>
        <w:t xml:space="preserve"> </w:t>
      </w:r>
      <w:r>
        <w:t xml:space="preserve">0.006 of nominal coverage, so there is no failure for score movement to predict, and a rank</w:t>
      </w:r>
      <w:r>
        <w:t xml:space="preserve"> </w:t>
      </w:r>
      <w:r>
        <w:t xml:space="preserve">correlation computed over a variable that never leaves a 0.006 band is ordering measurement</w:t>
      </w:r>
      <w:r>
        <w:t xml:space="preserve"> </w:t>
      </w:r>
      <w:r>
        <w:t xml:space="preserve">noise. A permutation test confirms it: the observed value is not distinguishable from chance</w:t>
      </w:r>
      <w:r>
        <w:t xml:space="preserve"> </w:t>
      </w:r>
      <w:r>
        <w:t xml:space="preserve">at p = 0.079. The environment tests the mechanism’s negative prediction, that low movement</w:t>
      </w:r>
      <w:r>
        <w:t xml:space="preserve"> </w:t>
      </w:r>
      <w:r>
        <w:t xml:space="preserve">implies no failure, and that prediction holds for all eight of its classes. A class undercovers when target score mass crosses above the source-calibrated threshold. The</w:t>
      </w:r>
      <w:r>
        <w:t xml:space="preserve"> </w:t>
      </w:r>
      <w:r>
        <w:t xml:space="preserve">two-sided movement statistic tracks that closely enough across these environments to order the</w:t>
      </w:r>
      <w:r>
        <w:t xml:space="preserve"> </w:t>
      </w:r>
      <w:r>
        <w:t xml:space="preserve">outcomes, but it is a proxy and its relationship to coverage is not constant.</w:t>
      </w:r>
    </w:p>
    <w:p>
      <w:pPr>
        <w:pStyle w:val="BodyText"/>
      </w:pPr>
      <w:r>
        <w:t xml:space="preserve">Coverage is the target distribution function evaluated at the source threshold, so the deficit</w:t>
      </w:r>
      <w:r>
        <w:t xml:space="preserve"> </w:t>
      </w:r>
      <w:r>
        <w:t xml:space="preserve">decomposes exactly as the signed displacement at that threshold plus a finite-sample</w:t>
      </w:r>
      <w:r>
        <w:t xml:space="preserve"> </w:t>
      </w:r>
      <w:r>
        <w:t xml:space="preserve">calibration slack bounded by 1/(n + 1). We verified this identity numerically to 1.1e-16. The</w:t>
      </w:r>
      <w:r>
        <w:t xml:space="preserve"> </w:t>
      </w:r>
      <w:r>
        <w:t xml:space="preserve">diagnostic quantity is then the fraction of the two-sided movement realised at the threshold,</w:t>
      </w:r>
      <w:r>
        <w:t xml:space="preserve"> </w:t>
      </w:r>
      <w:r>
        <w:t xml:space="preserve">which ranges from 0.05 to 0.99 across the class cells of this study. Where a class fails, that</w:t>
      </w:r>
      <w:r>
        <w:t xml:space="preserve"> </w:t>
      </w:r>
      <w:r>
        <w:t xml:space="preserve">fraction is near one: 0.99 for the NSL-KDD focal class, 0.96 and 0.87 for the UGR’16 scan</w:t>
      </w:r>
      <w:r>
        <w:t xml:space="preserve"> </w:t>
      </w:r>
      <w:r>
        <w:t xml:space="preserve">classes. Where a class holds, the movement occurs away from the threshold: 0.05 for UGR’16</w:t>
      </w:r>
      <w:r>
        <w:t xml:space="preserve"> </w:t>
      </w:r>
      <w:r>
        <w:t xml:space="preserve">nerisbotnet and 0.12 to 0.28 for the CIC-IoT-2023 classes. Two distributions can share a</w:t>
      </w:r>
      <w:r>
        <w:t xml:space="preserve"> </w:t>
      </w:r>
      <w:r>
        <w:t xml:space="preserve">movement statistic while one shifts mass below the threshold and the other above; the signed</w:t>
      </w:r>
      <w:r>
        <w:t xml:space="preserve"> </w:t>
      </w:r>
      <w:r>
        <w:t xml:space="preserve">displacement separates them and the two-sided statistic cannot.</w:t>
      </w:r>
    </w:p>
    <w:p>
      <w:pPr>
        <w:pStyle w:val="BodyText"/>
      </w:pPr>
      <w:r>
        <w:t xml:space="preserve">One consequence must be stated because it constrains what the proxy may be used for. In</w:t>
      </w:r>
      <w:r>
        <w:t xml:space="preserve"> </w:t>
      </w:r>
      <w:r>
        <w:t xml:space="preserve">environments where nearly all movement is realised at the threshold, the movement statistic and</w:t>
      </w:r>
      <w:r>
        <w:t xml:space="preserve"> </w:t>
      </w:r>
      <w:r>
        <w:t xml:space="preserve">the coverage deficit become close to the same quantity: on the NSL-KDD focal subtypes the</w:t>
      </w:r>
      <w:r>
        <w:t xml:space="preserve"> </w:t>
      </w:r>
      <w:r>
        <w:t xml:space="preserve">correlation between the measured statistic and (1 - alpha) minus coverage is 0.997. A</w:t>
      </w:r>
      <w:r>
        <w:t xml:space="preserve"> </w:t>
      </w:r>
      <w:r>
        <w:t xml:space="preserve">within-environment correlation between movement and undercoverage there is therefore largely</w:t>
      </w:r>
      <w:r>
        <w:t xml:space="preserve"> </w:t>
      </w:r>
      <w:r>
        <w:t xml:space="preserve">definitional and is not reported as evidence. The cross-dataset correlation retains its meaning</w:t>
      </w:r>
      <w:r>
        <w:t xml:space="preserve"> </w:t>
      </w:r>
      <w:r>
        <w:t xml:space="preserve">precisely because the realised fraction varies so widely between environments. This unifies the preceding sections: it is the movement of the score distribution, whatever its cause, that breaks the guarantee, which is why covariate shift of sufficient magnitude suffices, why failure under a common shift is class-selective, and why support shift that leaves scores in place, as in Section 5.7, breaks nothing at all.</w:t>
      </w:r>
    </w:p>
    <w:p>
      <w:pPr>
        <w:pStyle w:val="CaptionedFigure"/>
      </w:pPr>
      <w:r>
        <w:drawing>
          <wp:inline>
            <wp:extent cx="5334000" cy="3662149"/>
            <wp:effectExtent b="0" l="0" r="0" t="0"/>
            <wp:docPr descr="Figure 2. True-class nonconformity-score movement (KS distance, source vs target) versus realised undercoverage. Because architectures fitted to the same dataset and class are not independent, the reported statistic is estimated at the class level, one ladder rung per laddered dataset, where Spearman is 0.844 (n = 28 across four datasets, 95% CI [0.610, 0.939]). The NSL-KDD focal class R2L, with the largest movement, shows the largest undercoverage; CIC-IoT-2023 occupies the low-movement, no-failure corner." title="" id="60" name="Picture"/>
            <a:graphic>
              <a:graphicData uri="http://schemas.openxmlformats.org/drawingml/2006/picture">
                <pic:pic>
                  <pic:nvPicPr>
                    <pic:cNvPr descr="figs/fig2_mechanism.png" id="61" name="Picture"/>
                    <pic:cNvPicPr>
                      <a:picLocks noChangeArrowheads="1" noChangeAspect="1"/>
                    </pic:cNvPicPr>
                  </pic:nvPicPr>
                  <pic:blipFill>
                    <a:blip r:embed="rId59"/>
                    <a:stretch>
                      <a:fillRect/>
                    </a:stretch>
                  </pic:blipFill>
                  <pic:spPr bwMode="auto">
                    <a:xfrm>
                      <a:off x="0" y="0"/>
                      <a:ext cx="5334000" cy="3662149"/>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True-class nonconformity-score movement (KS distance, source vs target) versus realised undercoverage. Because architectures fitted to the same dataset and class are not independent, the reported statistic is estimated at the class level, one ladder rung per laddered dataset, where Spearman is 0.844 (n = 28 across four datasets, 95% CI [0.610, 0.939]). The NSL-KDD focal class R2L, with the largest movement, shows the largest undercoverage; CIC-IoT-2023 occupies the low-movement, no-failure corner.</w:t>
      </w:r>
    </w:p>
    <w:bookmarkEnd w:id="62"/>
    <w:bookmarkStart w:id="72" w:name="robustness"/>
    <w:p>
      <w:pPr>
        <w:pStyle w:val="Heading2"/>
      </w:pPr>
      <w:r>
        <w:t xml:space="preserve">5.11 Robustness</w:t>
      </w:r>
    </w:p>
    <w:p>
      <w:pPr>
        <w:pStyle w:val="FirstParagraph"/>
      </w:pPr>
      <w:r>
        <w:rPr>
          <w:iCs/>
          <w:i/>
        </w:rPr>
        <w:t xml:space="preserve">Prior shift.</w:t>
      </w:r>
      <w:r>
        <w:t xml:space="preserve"> </w:t>
      </w:r>
      <w:r>
        <w:t xml:space="preserve">Class-conditional coverage is invariant to reweighting the target to the</w:t>
      </w:r>
      <w:r>
        <w:t xml:space="preserve"> </w:t>
      </w:r>
      <w:r>
        <w:t xml:space="preserve">source class prior by construction, and this is verified numerically on CIC-IDS2017 and</w:t>
      </w:r>
      <w:r>
        <w:t xml:space="preserve"> </w:t>
      </w:r>
      <w:r>
        <w:t xml:space="preserve">UGR’16, where the focal coverage changes by 0.0000. On CIC-IDS2017, whose aggregate coverage</w:t>
      </w:r>
      <w:r>
        <w:t xml:space="preserve"> </w:t>
      </w:r>
      <w:r>
        <w:t xml:space="preserve">of 0.936 conceals the focal failure behind a benign majority, reweighting lowers the</w:t>
      </w:r>
      <w:r>
        <w:t xml:space="preserve"> </w:t>
      </w:r>
      <w:r>
        <w:t xml:space="preserve">aggregate to 0.770 and exposes it.</w:t>
      </w:r>
    </w:p>
    <w:p>
      <w:pPr>
        <w:pStyle w:val="BodyText"/>
      </w:pPr>
      <w:r>
        <w:rPr>
          <w:iCs/>
          <w:i/>
        </w:rPr>
        <w:t xml:space="preserve">Analytical choices.</w:t>
      </w:r>
      <w:r>
        <w:t xml:space="preserve"> </w:t>
      </w:r>
      <w:r>
        <w:t xml:space="preserve">The focal failure appears in all sixteen specifications of Section 4.14,</w:t>
      </w:r>
      <w:r>
        <w:t xml:space="preserve"> </w:t>
      </w:r>
      <w:r>
        <w:t xml:space="preserve">formed by two nonconformity scores, two conditioning variants and four miscoverage levels</w:t>
      </w:r>
      <w:r>
        <w:t xml:space="preserve"> </w:t>
      </w:r>
      <w:r>
        <w:t xml:space="preserve">(0.01, 0.05, 0.10, 0.20), with shortfalls ranging from 0.370 to 0.987, so it is not an artefact</w:t>
      </w:r>
      <w:r>
        <w:t xml:space="preserve"> </w:t>
      </w:r>
      <w:r>
        <w:t xml:space="preserve">of the score, the conditioning or the level. The full specification table is released with the</w:t>
      </w:r>
      <w:r>
        <w:t xml:space="preserve"> </w:t>
      </w:r>
      <w:r>
        <w:t xml:space="preserve">code; it is summarised here rather than plotted.</w:t>
      </w:r>
    </w:p>
    <w:p>
      <w:pPr>
        <w:pStyle w:val="BodyText"/>
      </w:pPr>
      <w:r>
        <w:rPr>
          <w:iCs/>
          <w:i/>
        </w:rPr>
        <w:t xml:space="preserve">Miscoverage level.</w:t>
      </w:r>
      <w:r>
        <w:t xml:space="preserve"> </w:t>
      </w:r>
      <w:r>
        <w:t xml:space="preserve">The outcomes do not depend on the choice of alpha (Figure 4). Focal</w:t>
      </w:r>
      <w:r>
        <w:t xml:space="preserve"> </w:t>
      </w:r>
      <w:r>
        <w:t xml:space="preserve">coverage under the deployable protocol is 0.030, 0.023 and 0.017 on NSL-KDD at alpha = 0.05,</w:t>
      </w:r>
      <w:r>
        <w:t xml:space="preserve"> </w:t>
      </w:r>
      <w:r>
        <w:t xml:space="preserve">0.10 and 0.20; 0.604, 0.556 and 0.479 on CIC-IDS2017, with the shortfall widening as the level</w:t>
      </w:r>
      <w:r>
        <w:t xml:space="preserve"> </w:t>
      </w:r>
      <w:r>
        <w:t xml:space="preserve">loosens; 0.947, 0.895 and 0.790 on UGR’16 and 0.952, 0.908 and 0.817 on CIC-IoT-2023, both</w:t>
      </w:r>
      <w:r>
        <w:t xml:space="preserve"> </w:t>
      </w:r>
      <w:r>
        <w:t xml:space="preserve">tracking nominal throughout; and the UGR’16 scan classes fall short at every level. Failures</w:t>
      </w:r>
      <w:r>
        <w:t xml:space="preserve"> </w:t>
      </w:r>
      <w:r>
        <w:t xml:space="preserve">and nulls alike are stable across the grid.</w:t>
      </w:r>
    </w:p>
    <w:p>
      <w:pPr>
        <w:pStyle w:val="BodyText"/>
      </w:pPr>
      <w:r>
        <w:rPr>
          <w:iCs/>
          <w:i/>
        </w:rPr>
        <w:t xml:space="preserve">Architecture.</w:t>
      </w:r>
      <w:r>
        <w:t xml:space="preserve"> </w:t>
      </w:r>
      <w:r>
        <w:t xml:space="preserve">All three architectures fail, with pooled focal coverage of 0.111 for the</w:t>
      </w:r>
      <w:r>
        <w:t xml:space="preserve"> </w:t>
      </w:r>
      <w:r>
        <w:t xml:space="preserve">multilayer perceptron, 0.082 for the gradient-boosted ensemble and 0.064 for the random</w:t>
      </w:r>
      <w:r>
        <w:t xml:space="preserve"> </w:t>
      </w:r>
      <w:r>
        <w:t xml:space="preserve">forest, against a nominal 0.95. The intervals for the perceptron and the random forest do</w:t>
      </w:r>
      <w:r>
        <w:t xml:space="preserve"> </w:t>
      </w:r>
      <w:r>
        <w:t xml:space="preserve">not overlap, so the severity of the failure depends on the classifier by a factor of about</w:t>
      </w:r>
      <w:r>
        <w:t xml:space="preserve"> </w:t>
      </w:r>
      <w:r>
        <w:t xml:space="preserve">1.7, while the ladder slope is unchanged. The qualitative conclusion is architecture</w:t>
      </w:r>
      <w:r>
        <w:t xml:space="preserve"> </w:t>
      </w:r>
      <w:r>
        <w:t xml:space="preserve">independent; its magnitude is not, and a practitioner cannot assume that changing the</w:t>
      </w:r>
      <w:r>
        <w:t xml:space="preserve"> </w:t>
      </w:r>
      <w:r>
        <w:t xml:space="preserve">underlying model repairs the trust layer.</w:t>
      </w:r>
    </w:p>
    <w:p>
      <w:pPr>
        <w:pStyle w:val="BodyText"/>
      </w:pPr>
      <w:r>
        <w:rPr>
          <w:iCs/>
          <w:i/>
        </w:rPr>
        <w:t xml:space="preserve">Efficiency and calibration.</w:t>
      </w:r>
      <w:r>
        <w:t xml:space="preserve"> </w:t>
      </w:r>
      <w:r>
        <w:t xml:space="preserve">The deployable protocol’s narrower prediction sets are a</w:t>
      </w:r>
      <w:r>
        <w:t xml:space="preserve"> </w:t>
      </w:r>
      <w:r>
        <w:t xml:space="preserve">symptom of failure rather than a mark of efficiency, since wherever it undercovers its sets</w:t>
      </w:r>
      <w:r>
        <w:t xml:space="preserve"> </w:t>
      </w:r>
      <w:r>
        <w:t xml:space="preserve">are both smaller and miss coverage, for example 2.04 against 4.68 on NSL-KDD at coverage</w:t>
      </w:r>
      <w:r>
        <w:t xml:space="preserve"> </w:t>
      </w:r>
      <w:r>
        <w:t xml:space="preserve">0.030 against 0.953 (Figure 5). The calibrated probabilities are well calibrated in distribution, with class-averaged expected calibration error at or below 0.002 on all four datasets, including 0.0006 mean and 0.0015 maximum on CIC-IoT-2023 (Figure 6), so the failures are not a base-miscalibration artefact.</w:t>
      </w:r>
    </w:p>
    <w:p>
      <w:pPr>
        <w:pStyle w:val="BodyText"/>
      </w:pPr>
      <w:r>
        <w:rPr>
          <w:iCs/>
          <w:i/>
        </w:rPr>
        <w:t xml:space="preserve">Calibration-set size.</w:t>
      </w:r>
      <w:r>
        <w:t xml:space="preserve"> </w:t>
      </w:r>
      <w:r>
        <w:t xml:space="preserve">The per-class calibration sets differ in size across protocols for a</w:t>
      </w:r>
      <w:r>
        <w:t xml:space="preserve"> </w:t>
      </w:r>
      <w:r>
        <w:t xml:space="preserve">structural reason: on NSL-KDD the deployable protocol calibrates the focal class on 149 source</w:t>
      </w:r>
      <w:r>
        <w:t xml:space="preserve"> </w:t>
      </w:r>
      <w:r>
        <w:t xml:space="preserve">points against 297 for the target-supervised protocol, because R2L is rare at source and common</w:t>
      </w:r>
      <w:r>
        <w:t xml:space="preserve"> </w:t>
      </w:r>
      <w:r>
        <w:t xml:space="preserve">at target. Under exchangeability a smaller calibration set biases towards over-coverage, since the band</w:t>
      </w:r>
      <w:r>
        <w:t xml:space="preserve"> </w:t>
      </w:r>
      <w:r>
        <w:t xml:space="preserve">is bounded above by 1/(n + 1), and the negative control confirms this. That argument does not</w:t>
      </w:r>
      <w:r>
        <w:t xml:space="preserve"> </w:t>
      </w:r>
      <w:r>
        <w:t xml:space="preserve">survive the loss of exchangeability: once the target score distribution has moved, threshold</w:t>
      </w:r>
      <w:r>
        <w:t xml:space="preserve"> </w:t>
      </w:r>
      <w:r>
        <w:t xml:space="preserve">estimation noise from a smaller calibration set can move realised coverage in either</w:t>
      </w:r>
      <w:r>
        <w:t xml:space="preserve"> </w:t>
      </w:r>
      <w:r>
        <w:t xml:space="preserve">direction. We therefore report the asymmetry as an acknowledged confound of the natural-budget</w:t>
      </w:r>
      <w:r>
        <w:t xml:space="preserve"> </w:t>
      </w:r>
      <w:r>
        <w:t xml:space="preserve">design rather than as a bias of known sign. A class-budget-matched contrast, in which TSC and</w:t>
      </w:r>
      <w:r>
        <w:t xml:space="preserve"> </w:t>
      </w:r>
      <w:r>
        <w:t xml:space="preserve">SHC are subsampled to identical per-class calibration counts, is required to separate</w:t>
      </w:r>
      <w:r>
        <w:t xml:space="preserve"> </w:t>
      </w:r>
      <w:r>
        <w:t xml:space="preserve">provenance from support and is not performed here.</w:t>
      </w:r>
    </w:p>
    <w:p>
      <w:pPr>
        <w:pStyle w:val="BodyText"/>
      </w:pPr>
      <w:r>
        <w:rPr>
          <w:iCs/>
          <w:i/>
        </w:rPr>
        <w:t xml:space="preserve">Implementation.</w:t>
      </w:r>
      <w:r>
        <w:t xml:space="preserve"> </w:t>
      </w:r>
      <w:r>
        <w:t xml:space="preserve">An earlier quantile form used in several intermediate analyses returned one</w:t>
      </w:r>
      <w:r>
        <w:t xml:space="preserve"> </w:t>
      </w:r>
      <w:r>
        <w:t xml:space="preserve">order statistic above the definition of Section 4.11, which inflates coverage by approximately</w:t>
      </w:r>
      <w:r>
        <w:t xml:space="preserve"> </w:t>
      </w:r>
      <w:r>
        <w:t xml:space="preserve">1/n and is therefore conservative with respect to every undercoverage finding. Recomputation</w:t>
      </w:r>
      <w:r>
        <w:t xml:space="preserve"> </w:t>
      </w:r>
      <w:r>
        <w:t xml:space="preserve">puts the difference on the reported focal coverages at 0.00005 and 0.00015, below the</w:t>
      </w:r>
      <w:r>
        <w:t xml:space="preserve"> </w:t>
      </w:r>
      <w:r>
        <w:t xml:space="preserve">precision at which results are reported.</w:t>
      </w:r>
    </w:p>
    <w:p>
      <w:pPr>
        <w:pStyle w:val="CaptionedFigure"/>
      </w:pPr>
      <w:r>
        <w:drawing>
          <wp:inline>
            <wp:extent cx="5334000" cy="3703327"/>
            <wp:effectExtent b="0" l="0" r="0" t="0"/>
            <wp:docPr descr="Figure 4. Alpha-sensitivity across all four environments. Focal SHC coverage versus the nominal level (1 - alpha) at alpha in {0.05, 0.10, 0.20}. NSL-KDD R2L and CIC-IDS2017 DoS undercover at every level; UGR’16 nerisbotnet and CIC-IoT-2023 Web track nominal at every level; the UGR’16 scan classes collapse at every level. Neither the failures nor the nulls depend on the choice of alpha." title="" id="64" name="Picture"/>
            <a:graphic>
              <a:graphicData uri="http://schemas.openxmlformats.org/drawingml/2006/picture">
                <pic:pic>
                  <pic:nvPicPr>
                    <pic:cNvPr descr="figs/fig4_alpha.png" id="65" name="Picture"/>
                    <pic:cNvPicPr>
                      <a:picLocks noChangeArrowheads="1" noChangeAspect="1"/>
                    </pic:cNvPicPr>
                  </pic:nvPicPr>
                  <pic:blipFill>
                    <a:blip r:embed="rId63"/>
                    <a:stretch>
                      <a:fillRect/>
                    </a:stretch>
                  </pic:blipFill>
                  <pic:spPr bwMode="auto">
                    <a:xfrm>
                      <a:off x="0" y="0"/>
                      <a:ext cx="5334000" cy="3703327"/>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Alpha-sensitivity across all four environments. Focal SHC coverage versus the nominal level (1 - alpha) at alpha in {0.05, 0.10, 0.20}. NSL-KDD R2L and CIC-IDS2017 DoS undercover at every level; UGR’16 nerisbotnet and CIC-IoT-2023 Web track nominal at every level; the UGR’16 scan classes collapse at every level. Neither the failures nor the nulls depend on the choice of alpha.</w:t>
      </w:r>
    </w:p>
    <w:p>
      <w:pPr>
        <w:pStyle w:val="CaptionedFigure"/>
      </w:pPr>
      <w:r>
        <w:drawing>
          <wp:inline>
            <wp:extent cx="5334000" cy="3774830"/>
            <wp:effectExtent b="0" l="0" r="0" t="0"/>
            <wp:docPr descr="Figure 5. Efficiency across all four environments. Focal coverage versus focal prediction-set size for each protocol and dataset. Wherever SHC undercovers, its sets are smaller and miss coverage; TSC and REC pay a larger set width. On CIC-IoT-2023, where coverage holds, the three protocols sit together." title="" id="67" name="Picture"/>
            <a:graphic>
              <a:graphicData uri="http://schemas.openxmlformats.org/drawingml/2006/picture">
                <pic:pic>
                  <pic:nvPicPr>
                    <pic:cNvPr descr="figs/fig5_efficiency.png" id="68" name="Picture"/>
                    <pic:cNvPicPr>
                      <a:picLocks noChangeArrowheads="1" noChangeAspect="1"/>
                    </pic:cNvPicPr>
                  </pic:nvPicPr>
                  <pic:blipFill>
                    <a:blip r:embed="rId66"/>
                    <a:stretch>
                      <a:fillRect/>
                    </a:stretch>
                  </pic:blipFill>
                  <pic:spPr bwMode="auto">
                    <a:xfrm>
                      <a:off x="0" y="0"/>
                      <a:ext cx="5334000" cy="3774830"/>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Efficiency across all four environments. Focal coverage versus focal prediction-set size for each protocol and dataset. Wherever SHC undercovers, its sets are smaller and miss coverage; TSC and REC pay a larger set width. On CIC-IoT-2023, where coverage holds, the three protocols sit together.</w:t>
      </w:r>
    </w:p>
    <w:p>
      <w:pPr>
        <w:pStyle w:val="CaptionedFigure"/>
      </w:pPr>
      <w:r>
        <w:drawing>
          <wp:inline>
            <wp:extent cx="5334000" cy="2220732"/>
            <wp:effectExtent b="0" l="0" r="0" t="0"/>
            <wp:docPr descr="Figure 6. Calibration quality of the isotonic-calibrated probabilities on the held-out source calibration pool, for all four environments. (a) Per-class expected calibration error and (b) per-class Brier score, by dataset. On CIC-IoT-2023, where coverage holds, this also forecloses the converse objection that the null is an artefact of unusually good or poor calibration. All per-class ECE values fall at or below 0.002 (dashed line), confirming that the probabilities feeding the conformal layer are well calibrated in distribution." title="" id="70" name="Picture"/>
            <a:graphic>
              <a:graphicData uri="http://schemas.openxmlformats.org/drawingml/2006/picture">
                <pic:pic>
                  <pic:nvPicPr>
                    <pic:cNvPr descr="figs/fig6_calibration.png" id="71" name="Picture"/>
                    <pic:cNvPicPr>
                      <a:picLocks noChangeArrowheads="1" noChangeAspect="1"/>
                    </pic:cNvPicPr>
                  </pic:nvPicPr>
                  <pic:blipFill>
                    <a:blip r:embed="rId69"/>
                    <a:stretch>
                      <a:fillRect/>
                    </a:stretch>
                  </pic:blipFill>
                  <pic:spPr bwMode="auto">
                    <a:xfrm>
                      <a:off x="0" y="0"/>
                      <a:ext cx="5334000" cy="2220732"/>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Calibration quality of the isotonic-calibrated probabilities on the held-out source calibration pool, for all four environments. (a) Per-class expected calibration error and (b) per-class Brier score, by dataset. On CIC-IoT-2023, where coverage holds, this also forecloses the converse objection that the null is an artefact of unusually good or poor calibration. All per-class ECE values fall at or below 0.002 (dashed line), confirming that the probabilities feeding the conformal layer are well calibrated in distribution.</w:t>
      </w:r>
    </w:p>
    <w:bookmarkEnd w:id="72"/>
    <w:bookmarkStart w:id="76" w:name="Xd1fd99b15fbf6de93625b06af66c7cda412fe58"/>
    <w:p>
      <w:pPr>
        <w:pStyle w:val="Heading2"/>
      </w:pPr>
      <w:r>
        <w:t xml:space="preserve">5.12 Label-free monitoring, its per-dataset behaviour, and its boundary</w:t>
      </w:r>
    </w:p>
    <w:p>
      <w:pPr>
        <w:pStyle w:val="FirstParagraph"/>
      </w:pPr>
      <w:r>
        <w:t xml:space="preserve">Pooled across the fifty-seven feasible class cells it is rank-correlated with realised</w:t>
      </w:r>
      <w:r>
        <w:t xml:space="preserve"> </w:t>
      </w:r>
      <w:r>
        <w:t xml:space="preserve">undercoverage at 0.738 and separates undercovering classes with an area under the ROC curve</w:t>
      </w:r>
      <w:r>
        <w:t xml:space="preserve"> </w:t>
      </w:r>
      <w:r>
        <w:t xml:space="preserve">of 0.930, with a bootstrap interval of [0.851, 0.990], against an oracle using true labels</w:t>
      </w:r>
      <w:r>
        <w:t xml:space="preserve"> </w:t>
      </w:r>
      <w:r>
        <w:t xml:space="preserve">at 0.925 and 0.96; its performance is stable to the threshold defining an undercovering</w:t>
      </w:r>
      <w:r>
        <w:t xml:space="preserve"> </w:t>
      </w:r>
      <w:r>
        <w:t xml:space="preserve">class (Figure 3).</w:t>
      </w:r>
    </w:p>
    <w:p>
      <w:pPr>
        <w:pStyle w:val="BodyText"/>
      </w:pPr>
      <w:r>
        <w:t xml:space="preserve">The monitor is evaluated on the three environments in which coverage actually fails; on CIC-IoT-2023 there is no failure to predict, so it does not apply there. Across those three, performance is consistent rather than carried by any one of them (Table T11): 0.926 on NSL-KDD, 0.955 on CIC-IDS2017 and 0.981 on UGR’16, with every</w:t>
      </w:r>
      <w:r>
        <w:t xml:space="preserve"> </w:t>
      </w:r>
      <w:r>
        <w:t xml:space="preserve">interval excluding chance. The intervals are nonetheless wide, since each environment</w:t>
      </w:r>
      <w:r>
        <w:t xml:space="preserve"> </w:t>
      </w:r>
      <w:r>
        <w:t xml:space="preserve">contributes between twelve and thirty class cells, so the per-environment estimates should</w:t>
      </w:r>
      <w:r>
        <w:t xml:space="preserve"> </w:t>
      </w:r>
      <w:r>
        <w:t xml:space="preserve">be read as consistent in direction rather than precisely resolved.</w:t>
      </w:r>
    </w:p>
    <w:p>
      <w:pPr>
        <w:pStyle w:val="BodyText"/>
      </w:pPr>
      <w:r>
        <w:rPr>
          <w:bCs/>
          <w:b/>
        </w:rPr>
        <w:t xml:space="preserve">Table T11. Label-free monitor by dataset.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Dataset</w:t>
            </w:r>
          </w:p>
        </w:tc>
        <w:tc>
          <w:tcPr/>
          <w:p>
            <w:pPr>
              <w:pStyle w:val="Compact"/>
              <w:jc w:val="left"/>
            </w:pPr>
            <w:r>
              <w:t xml:space="preserve">Cells</w:t>
            </w:r>
          </w:p>
        </w:tc>
        <w:tc>
          <w:tcPr/>
          <w:p>
            <w:pPr>
              <w:pStyle w:val="Compact"/>
              <w:jc w:val="left"/>
            </w:pPr>
            <w:r>
              <w:t xml:space="preserve">Undercovering</w:t>
            </w:r>
          </w:p>
        </w:tc>
        <w:tc>
          <w:tcPr/>
          <w:p>
            <w:pPr>
              <w:pStyle w:val="Compact"/>
              <w:jc w:val="left"/>
            </w:pPr>
            <w:r>
              <w:t xml:space="preserve">Monitor ρ</w:t>
            </w:r>
          </w:p>
        </w:tc>
        <w:tc>
          <w:tcPr/>
          <w:p>
            <w:pPr>
              <w:pStyle w:val="Compact"/>
              <w:jc w:val="left"/>
            </w:pPr>
            <w:r>
              <w:t xml:space="preserve">AUROC</w:t>
            </w:r>
          </w:p>
        </w:tc>
        <w:tc>
          <w:tcPr/>
          <w:p>
            <w:pPr>
              <w:pStyle w:val="Compact"/>
              <w:jc w:val="left"/>
            </w:pPr>
            <w:r>
              <w:t xml:space="preserve">95% CI</w:t>
            </w:r>
          </w:p>
        </w:tc>
        <w:tc>
          <w:tcPr/>
          <w:p>
            <w:pPr>
              <w:pStyle w:val="Compact"/>
              <w:jc w:val="left"/>
            </w:pPr>
            <w:r>
              <w:t xml:space="preserve">Oracle ρ</w:t>
            </w:r>
          </w:p>
        </w:tc>
      </w:tr>
      <w:tr>
        <w:tc>
          <w:tcPr/>
          <w:p>
            <w:pPr>
              <w:pStyle w:val="Compact"/>
              <w:jc w:val="left"/>
            </w:pPr>
            <w:r>
              <w:t xml:space="preserve">NSL-KDD</w:t>
            </w:r>
          </w:p>
        </w:tc>
        <w:tc>
          <w:tcPr/>
          <w:p>
            <w:pPr>
              <w:pStyle w:val="Compact"/>
              <w:jc w:val="left"/>
            </w:pPr>
            <w:r>
              <w:t xml:space="preserve">12</w:t>
            </w:r>
          </w:p>
        </w:tc>
        <w:tc>
          <w:tcPr/>
          <w:p>
            <w:pPr>
              <w:pStyle w:val="Compact"/>
              <w:jc w:val="left"/>
            </w:pPr>
            <w:r>
              <w:t xml:space="preserve">9</w:t>
            </w:r>
          </w:p>
        </w:tc>
        <w:tc>
          <w:tcPr/>
          <w:p>
            <w:pPr>
              <w:pStyle w:val="Compact"/>
              <w:jc w:val="left"/>
            </w:pPr>
            <w:r>
              <w:t xml:space="preserve">0.776</w:t>
            </w:r>
          </w:p>
        </w:tc>
        <w:tc>
          <w:tcPr/>
          <w:p>
            <w:pPr>
              <w:pStyle w:val="Compact"/>
              <w:jc w:val="left"/>
            </w:pPr>
            <w:r>
              <w:t xml:space="preserve">0.926</w:t>
            </w:r>
          </w:p>
        </w:tc>
        <w:tc>
          <w:tcPr/>
          <w:p>
            <w:pPr>
              <w:pStyle w:val="Compact"/>
              <w:jc w:val="left"/>
            </w:pPr>
            <w:r>
              <w:t xml:space="preserve">[0.667, 1.000]</w:t>
            </w:r>
          </w:p>
        </w:tc>
        <w:tc>
          <w:tcPr/>
          <w:p>
            <w:pPr>
              <w:pStyle w:val="Compact"/>
              <w:jc w:val="left"/>
            </w:pPr>
            <w:r>
              <w:t xml:space="preserve">0.886</w:t>
            </w:r>
          </w:p>
        </w:tc>
      </w:tr>
      <w:tr>
        <w:tc>
          <w:tcPr/>
          <w:p>
            <w:pPr>
              <w:pStyle w:val="Compact"/>
              <w:jc w:val="left"/>
            </w:pPr>
            <w:r>
              <w:t xml:space="preserve">CIC-IDS2017</w:t>
            </w:r>
          </w:p>
        </w:tc>
        <w:tc>
          <w:tcPr/>
          <w:p>
            <w:pPr>
              <w:pStyle w:val="Compact"/>
              <w:jc w:val="left"/>
            </w:pPr>
            <w:r>
              <w:t xml:space="preserve">30</w:t>
            </w:r>
          </w:p>
        </w:tc>
        <w:tc>
          <w:tcPr/>
          <w:p>
            <w:pPr>
              <w:pStyle w:val="Compact"/>
              <w:jc w:val="left"/>
            </w:pPr>
            <w:r>
              <w:t xml:space="preserve">14</w:t>
            </w:r>
          </w:p>
        </w:tc>
        <w:tc>
          <w:tcPr/>
          <w:p>
            <w:pPr>
              <w:pStyle w:val="Compact"/>
              <w:jc w:val="left"/>
            </w:pPr>
            <w:r>
              <w:t xml:space="preserve">0.768</w:t>
            </w:r>
          </w:p>
        </w:tc>
        <w:tc>
          <w:tcPr/>
          <w:p>
            <w:pPr>
              <w:pStyle w:val="Compact"/>
              <w:jc w:val="left"/>
            </w:pPr>
            <w:r>
              <w:t xml:space="preserve">0.955</w:t>
            </w:r>
          </w:p>
        </w:tc>
        <w:tc>
          <w:tcPr/>
          <w:p>
            <w:pPr>
              <w:pStyle w:val="Compact"/>
              <w:jc w:val="left"/>
            </w:pPr>
            <w:r>
              <w:t xml:space="preserve">[0.840, 1.000]</w:t>
            </w:r>
          </w:p>
        </w:tc>
        <w:tc>
          <w:tcPr/>
          <w:p>
            <w:pPr>
              <w:pStyle w:val="Compact"/>
              <w:jc w:val="left"/>
            </w:pPr>
            <w:r>
              <w:t xml:space="preserve">0.896</w:t>
            </w:r>
          </w:p>
        </w:tc>
      </w:tr>
      <w:tr>
        <w:tc>
          <w:tcPr/>
          <w:p>
            <w:pPr>
              <w:pStyle w:val="Compact"/>
              <w:jc w:val="left"/>
            </w:pPr>
            <w:r>
              <w:t xml:space="preserve">UGR’16</w:t>
            </w:r>
          </w:p>
        </w:tc>
        <w:tc>
          <w:tcPr/>
          <w:p>
            <w:pPr>
              <w:pStyle w:val="Compact"/>
              <w:jc w:val="left"/>
            </w:pPr>
            <w:r>
              <w:t xml:space="preserve">15</w:t>
            </w:r>
          </w:p>
        </w:tc>
        <w:tc>
          <w:tcPr/>
          <w:p>
            <w:pPr>
              <w:pStyle w:val="Compact"/>
              <w:jc w:val="left"/>
            </w:pPr>
            <w:r>
              <w:t xml:space="preserve">6</w:t>
            </w:r>
          </w:p>
        </w:tc>
        <w:tc>
          <w:tcPr/>
          <w:p>
            <w:pPr>
              <w:pStyle w:val="Compact"/>
              <w:jc w:val="left"/>
            </w:pPr>
            <w:r>
              <w:t xml:space="preserve">0.824</w:t>
            </w:r>
          </w:p>
        </w:tc>
        <w:tc>
          <w:tcPr/>
          <w:p>
            <w:pPr>
              <w:pStyle w:val="Compact"/>
              <w:jc w:val="left"/>
            </w:pPr>
            <w:r>
              <w:t xml:space="preserve">0.981</w:t>
            </w:r>
          </w:p>
        </w:tc>
        <w:tc>
          <w:tcPr/>
          <w:p>
            <w:pPr>
              <w:pStyle w:val="Compact"/>
              <w:jc w:val="left"/>
            </w:pPr>
            <w:r>
              <w:t xml:space="preserve">[0.893, 1.000]</w:t>
            </w:r>
          </w:p>
        </w:tc>
        <w:tc>
          <w:tcPr/>
          <w:p>
            <w:pPr>
              <w:pStyle w:val="Compact"/>
              <w:jc w:val="left"/>
            </w:pPr>
            <w:r>
              <w:t xml:space="preserve">0.979</w:t>
            </w:r>
          </w:p>
        </w:tc>
      </w:tr>
      <w:tr>
        <w:tc>
          <w:tcPr/>
          <w:p>
            <w:pPr>
              <w:pStyle w:val="Compact"/>
              <w:jc w:val="left"/>
            </w:pPr>
            <w:r>
              <w:t xml:space="preserve">Pooled</w:t>
            </w:r>
          </w:p>
        </w:tc>
        <w:tc>
          <w:tcPr/>
          <w:p>
            <w:pPr>
              <w:pStyle w:val="Compact"/>
              <w:jc w:val="left"/>
            </w:pPr>
            <w:r>
              <w:t xml:space="preserve">57</w:t>
            </w:r>
          </w:p>
        </w:tc>
        <w:tc>
          <w:tcPr/>
          <w:p>
            <w:pPr>
              <w:pStyle w:val="Compact"/>
              <w:jc w:val="left"/>
            </w:pPr>
            <w:r>
              <w:t xml:space="preserve">29</w:t>
            </w:r>
          </w:p>
        </w:tc>
        <w:tc>
          <w:tcPr/>
          <w:p>
            <w:pPr>
              <w:pStyle w:val="Compact"/>
              <w:jc w:val="left"/>
            </w:pPr>
            <w:r>
              <w:t xml:space="preserve">0.738</w:t>
            </w:r>
          </w:p>
        </w:tc>
        <w:tc>
          <w:tcPr/>
          <w:p>
            <w:pPr>
              <w:pStyle w:val="Compact"/>
              <w:jc w:val="left"/>
            </w:pPr>
            <w:r>
              <w:t xml:space="preserve">0.930</w:t>
            </w:r>
          </w:p>
        </w:tc>
        <w:tc>
          <w:tcPr/>
          <w:p>
            <w:pPr>
              <w:pStyle w:val="Compact"/>
              <w:jc w:val="left"/>
            </w:pPr>
            <w:r>
              <w:t xml:space="preserve">[0.851, 0.990]</w:t>
            </w:r>
          </w:p>
        </w:tc>
        <w:tc>
          <w:tcPr/>
          <w:p>
            <w:pPr>
              <w:pStyle w:val="Compact"/>
              <w:jc w:val="left"/>
            </w:pPr>
            <w:r>
              <w:t xml:space="preserve">0.925</w:t>
            </w:r>
          </w:p>
        </w:tc>
      </w:tr>
    </w:tbl>
    <w:p>
      <w:pPr>
        <w:pStyle w:val="BodyText"/>
      </w:pPr>
      <w:r>
        <w:t xml:space="preserve">The monitor’s limitation is structural. It detects displacement-type drift, in which novel</w:t>
      </w:r>
      <w:r>
        <w:t xml:space="preserve"> </w:t>
      </w:r>
      <w:r>
        <w:t xml:space="preserve">behaviour is still predicted as its own class so that the predicted-class distribution</w:t>
      </w:r>
      <w:r>
        <w:t xml:space="preserve"> </w:t>
      </w:r>
      <w:r>
        <w:t xml:space="preserve">moves,</w:t>
      </w:r>
      <w:r>
        <w:t xml:space="preserve"> </w:t>
      </w:r>
      <w:r>
        <w:t xml:space="preserve">but it attenuates on similarity-type drift, in which the detector confidently misroutes</w:t>
      </w:r>
      <w:r>
        <w:t xml:space="preserve"> </w:t>
      </w:r>
      <w:r>
        <w:t xml:space="preserve">novel</w:t>
      </w:r>
      <w:r>
        <w:t xml:space="preserve"> </w:t>
      </w:r>
      <w:r>
        <w:t xml:space="preserve">behaviour into a familiar class so that the predicted-class distribution barely moves. The</w:t>
      </w:r>
      <w:r>
        <w:t xml:space="preserve"> </w:t>
      </w:r>
      <w:r>
        <w:t xml:space="preserve">clearest instance is UGR’16 scan11, which undercovers by 0.415 and whose movement the oracle</w:t>
      </w:r>
      <w:r>
        <w:t xml:space="preserve"> </w:t>
      </w:r>
      <w:r>
        <w:t xml:space="preserve">sees at 0.52, while the label-free signal registers only 0.14 at a misroute rate of 0.56. A</w:t>
      </w:r>
      <w:r>
        <w:t xml:space="preserve"> </w:t>
      </w:r>
      <w:r>
        <w:t xml:space="preserve">formal characterisation of the boundary is not established: the rank correlation between the</w:t>
      </w:r>
      <w:r>
        <w:t xml:space="preserve"> </w:t>
      </w:r>
      <w:r>
        <w:t xml:space="preserve">misroute rate and the size of the blind spot is 0.25 and not significant at the available</w:t>
      </w:r>
      <w:r>
        <w:t xml:space="preserve"> </w:t>
      </w:r>
      <w:r>
        <w:t xml:space="preserve">sample size. We report the boundary as a demonstrated regime rather than a predictive rule.</w:t>
      </w:r>
    </w:p>
    <w:p>
      <w:pPr>
        <w:pStyle w:val="CaptionedFigure"/>
      </w:pPr>
      <w:r>
        <w:drawing>
          <wp:inline>
            <wp:extent cx="5334000" cy="2351548"/>
            <wp:effectExtent b="0" l="0" r="0" t="0"/>
            <wp:docPr descr="Figure 3. The label-free coverage-failure monitor. (a) The monitor signal (predicted-class score drift, requiring no target labels) versus realised undercoverage across the 57 feasible class cells (Spearman 0.738, AUROC 0.930). (b) Label-free drift versus oracle (true-label) drift: points far below the diagonal are the similarity-type blind spot, where a novel class is confidently misrouted so the predicted-class distribution barely moves." title="" id="74" name="Picture"/>
            <a:graphic>
              <a:graphicData uri="http://schemas.openxmlformats.org/drawingml/2006/picture">
                <pic:pic>
                  <pic:nvPicPr>
                    <pic:cNvPr descr="figs/fig3_monitor.png" id="75" name="Picture"/>
                    <pic:cNvPicPr>
                      <a:picLocks noChangeArrowheads="1" noChangeAspect="1"/>
                    </pic:cNvPicPr>
                  </pic:nvPicPr>
                  <pic:blipFill>
                    <a:blip r:embed="rId73"/>
                    <a:stretch>
                      <a:fillRect/>
                    </a:stretch>
                  </pic:blipFill>
                  <pic:spPr bwMode="auto">
                    <a:xfrm>
                      <a:off x="0" y="0"/>
                      <a:ext cx="5334000" cy="2351548"/>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The label-free coverage-failure monitor. (a) The monitor signal (predicted-class score drift, requiring no target labels) versus realised undercoverage across the 57 feasible class cells (Spearman 0.738, AUROC 0.930). (b) Label-free drift versus oracle (true-label) drift: points far below the diagonal are the similarity-type blind spot, where a novel class is confidently misrouted so the predicted-class distribution barely moves.</w:t>
      </w:r>
    </w:p>
    <w:bookmarkEnd w:id="76"/>
    <w:bookmarkStart w:id="80" w:name="X16a250c8eb4fc126f6a6a0f65626899235fc9f8"/>
    <w:p>
      <w:pPr>
        <w:pStyle w:val="Heading2"/>
      </w:pPr>
      <w:r>
        <w:t xml:space="preserve">5.13 Abstention does not repair the failure, and the reason is instructive</w:t>
      </w:r>
    </w:p>
    <w:p>
      <w:pPr>
        <w:pStyle w:val="FirstParagraph"/>
      </w:pPr>
      <w:r>
        <w:t xml:space="preserve">The monitor identifies which classes will undercover, which raises the operational question</w:t>
      </w:r>
      <w:r>
        <w:t xml:space="preserve"> </w:t>
      </w:r>
      <w:r>
        <w:t xml:space="preserve">of what to do next. The natural answer is triage: abstain on the least trustworthy alerts,</w:t>
      </w:r>
      <w:r>
        <w:t xml:space="preserve"> </w:t>
      </w:r>
      <w:r>
        <w:t xml:space="preserve">escalate them to an analyst, and retain the conformal guarantee on the remainder. We</w:t>
      </w:r>
      <w:r>
        <w:t xml:space="preserve"> </w:t>
      </w:r>
      <w:r>
        <w:t xml:space="preserve">evaluate this with a policy that is deployable, in that it never consults a label. For each alert we compute the margin</w:t>
      </w:r>
    </w:p>
    <w:p>
      <w:pPr>
        <w:pStyle w:val="BodyText"/>
      </w:pPr>
      <w:r>
        <w:t xml:space="preserve">m(x) = max over classes c of ( q_c - s(x, c) ),</w:t>
      </w:r>
    </w:p>
    <w:p>
      <w:pPr>
        <w:pStyle w:val="BodyText"/>
      </w:pPr>
      <w:r>
        <w:t xml:space="preserve">where q_c is the source-calibrated threshold for class c and s(x, c) the nonconformity score,</w:t>
      </w:r>
      <w:r>
        <w:t xml:space="preserve"> </w:t>
      </w:r>
      <w:r>
        <w:t xml:space="preserve">and escalate in ascending margin so the most atypical alerts reach the analyst first. A</w:t>
      </w:r>
      <w:r>
        <w:t xml:space="preserve"> </w:t>
      </w:r>
      <w:r>
        <w:t xml:space="preserve">negative margin means an empty prediction set and therefore a certain miss. Classes whose</w:t>
      </w:r>
      <w:r>
        <w:t xml:space="preserve"> </w:t>
      </w:r>
      <w:r>
        <w:t xml:space="preserve">threshold is infinite under the feasibility rule are excluded from the maximisation rather</w:t>
      </w:r>
      <w:r>
        <w:t xml:space="preserve"> </w:t>
      </w:r>
      <w:r>
        <w:t xml:space="preserve">than contributing an infinite margin; scores are on a common scale across classes and are not</w:t>
      </w:r>
      <w:r>
        <w:t xml:space="preserve"> </w:t>
      </w:r>
      <w:r>
        <w:t xml:space="preserve">renormalised; ties are broken by a fixed ordering of the class index; and the retained-coverage</w:t>
      </w:r>
      <w:r>
        <w:t xml:space="preserve"> </w:t>
      </w:r>
      <w:r>
        <w:t xml:space="preserve">denominator is the count of retained alerts whose true class is the focal class.</w:t>
      </w:r>
    </w:p>
    <w:p>
      <w:pPr>
        <w:pStyle w:val="BodyText"/>
      </w:pPr>
      <w:r>
        <w:t xml:space="preserve">The policy substantially improves the marginal guarantee: escalating a tenth of alerts raises</w:t>
      </w:r>
      <w:r>
        <w:t xml:space="preserve"> </w:t>
      </w:r>
      <w:r>
        <w:t xml:space="preserve">aggregate coverage from 0.936 to 0.985 on CIC-IDS2017 and from 0.879 to 0.916 on UGR’16. It</w:t>
      </w:r>
      <w:r>
        <w:t xml:space="preserve"> </w:t>
      </w:r>
      <w:r>
        <w:t xml:space="preserve">does almost nothing for the class-conditional guarantee where that guarantee has failed</w:t>
      </w:r>
      <w:r>
        <w:t xml:space="preserve"> </w:t>
      </w:r>
      <w:r>
        <w:t xml:space="preserve">(Figure 7), and on the classes that fail worst it does something more troubling than nothing.</w:t>
      </w:r>
    </w:p>
    <w:p>
      <w:pPr>
        <w:pStyle w:val="BodyText"/>
      </w:pPr>
      <w:r>
        <w:t xml:space="preserve">Evaluated on the UGR’16 classes that actually fail rather than on focal classes that largely</w:t>
      </w:r>
      <w:r>
        <w:t xml:space="preserve"> </w:t>
      </w:r>
      <w:r>
        <w:t xml:space="preserve">held, scan11 moves from 0.535 to 0.598 and scan44 from 0.799 to 0.853 when half of all alerts</w:t>
      </w:r>
      <w:r>
        <w:t xml:space="preserve"> </w:t>
      </w:r>
      <w:r>
        <w:t xml:space="preserve">are escalated, neither reaching nominal within that budget. Meanwhile the classes that were</w:t>
      </w:r>
      <w:r>
        <w:t xml:space="preserve"> </w:t>
      </w:r>
      <w:r>
        <w:t xml:space="preserve">already sound are pushed into over-coverage, dos to 1.000 and background to 0.996. The</w:t>
      </w:r>
      <w:r>
        <w:t xml:space="preserve"> </w:t>
      </w:r>
      <w:r>
        <w:t xml:space="preserve">disparity between the worst and best served class barely moves, from 0.415 to 0.402, while half</w:t>
      </w:r>
      <w:r>
        <w:t xml:space="preserve"> </w:t>
      </w:r>
      <w:r>
        <w:t xml:space="preserve">the analyst budget is consumed.</w:t>
      </w:r>
    </w:p>
    <w:p>
      <w:pPr>
        <w:pStyle w:val="BodyText"/>
      </w:pPr>
      <w:r>
        <w:t xml:space="preserve">The reason is that the policy is anti-correlated with need. Uniform escalation would retain</w:t>
      </w:r>
      <w:r>
        <w:t xml:space="preserve"> </w:t>
      </w:r>
      <w:r>
        <w:t xml:space="preserve">exactly one minus the escalated fraction of every class. Instead the failing classes are</w:t>
      </w:r>
      <w:r>
        <w:t xml:space="preserve"> </w:t>
      </w:r>
      <w:r>
        <w:t xml:space="preserve">retained</w:t>
      </w:r>
      <w:r>
        <w:t xml:space="preserve"> </w:t>
      </w:r>
      <w:r>
        <w:rPr>
          <w:iCs/>
          <w:i/>
        </w:rPr>
        <w:t xml:space="preserve">above</w:t>
      </w:r>
      <w:r>
        <w:t xml:space="preserve"> </w:t>
      </w:r>
      <w:r>
        <w:t xml:space="preserve">uniform at every budget, scan11 by 0.028 to 0.053 and scan44 by 0.021 to</w:t>
      </w:r>
      <w:r>
        <w:t xml:space="preserve"> </w:t>
      </w:r>
      <w:r>
        <w:t xml:space="preserve">0.044, while the sound classes are retained below it, dos by -0.020 to -0.033. The mean</w:t>
      </w:r>
      <w:r>
        <w:t xml:space="preserve"> </w:t>
      </w:r>
      <w:r>
        <w:t xml:space="preserve">deviation is +0.039 for the failing classes against -0.009 for the holding ones. A queue</w:t>
      </w:r>
      <w:r>
        <w:t xml:space="preserve"> </w:t>
      </w:r>
      <w:r>
        <w:t xml:space="preserve">ordered by typicality reaches the confident misroutes last, because a confident misroute is by</w:t>
      </w:r>
      <w:r>
        <w:t xml:space="preserve"> </w:t>
      </w:r>
      <w:r>
        <w:t xml:space="preserve">construction atypical of nothing. On NSL-KDD, escalating half of all alerts moves focal coverage from 0.029</w:t>
      </w:r>
      <w:r>
        <w:t xml:space="preserve"> </w:t>
      </w:r>
      <w:r>
        <w:t xml:space="preserve">to 0.030. On CIC-IDS2017 the same budget moves it from 0.604 to 0.667, still far below</w:t>
      </w:r>
      <w:r>
        <w:t xml:space="preserve"> </w:t>
      </w:r>
      <w:r>
        <w:t xml:space="preserve">nominal, and by then almost half the focal-class alerts have been escalated. Only UGR’16</w:t>
      </w:r>
      <w:r>
        <w:t xml:space="preserve"> </w:t>
      </w:r>
      <w:r>
        <w:t xml:space="preserve">reaches nominal, at an escalation of 0.025, and its focal class was already at 0.947 before</w:t>
      </w:r>
      <w:r>
        <w:t xml:space="preserve"> </w:t>
      </w:r>
      <w:r>
        <w:t xml:space="preserve">any abstention.</w:t>
      </w:r>
    </w:p>
    <w:p>
      <w:pPr>
        <w:pStyle w:val="BodyText"/>
      </w:pPr>
      <w:r>
        <w:t xml:space="preserve">The reason is the mechanism of Section 5.10, and it explains a limit rather than a</w:t>
      </w:r>
      <w:r>
        <w:t xml:space="preserve"> </w:t>
      </w:r>
      <w:r>
        <w:t xml:space="preserve">shortcoming of the policy. On NSL-KDD the empty-set fraction is exactly zero: every flow</w:t>
      </w:r>
      <w:r>
        <w:t xml:space="preserve"> </w:t>
      </w:r>
      <w:r>
        <w:t xml:space="preserve">receives a non-empty prediction set that simply does not contain its true class. The alerts</w:t>
      </w:r>
      <w:r>
        <w:t xml:space="preserve"> </w:t>
      </w:r>
      <w:r>
        <w:t xml:space="preserve">that break class-conditional coverage are not atypical flows sitting near the edge of every</w:t>
      </w:r>
      <w:r>
        <w:t xml:space="preserve"> </w:t>
      </w:r>
      <w:r>
        <w:t xml:space="preserve">quantile, but flows the shifted detector confidently assigns to the wrong class, which</w:t>
      </w:r>
      <w:r>
        <w:t xml:space="preserve"> </w:t>
      </w:r>
      <w:r>
        <w:t xml:space="preserve">therefore carry a large margin and are escalated last. This is the same identifiability</w:t>
      </w:r>
      <w:r>
        <w:t xml:space="preserve"> </w:t>
      </w:r>
      <w:r>
        <w:t xml:space="preserve">limit that produces the monitor’s similarity-type blind spot in Section 5.10: a flow whose</w:t>
      </w:r>
      <w:r>
        <w:t xml:space="preserve"> </w:t>
      </w:r>
      <w:r>
        <w:t xml:space="preserve">true class is R2L but which the model confidently predicts as Normal is, to any label-free</w:t>
      </w:r>
      <w:r>
        <w:t xml:space="preserve"> </w:t>
      </w:r>
      <w:r>
        <w:t xml:space="preserve">statistic, indistinguishable from a confident correct prediction.</w:t>
      </w:r>
    </w:p>
    <w:p>
      <w:pPr>
        <w:pStyle w:val="BodyText"/>
      </w:pPr>
      <w:r>
        <w:t xml:space="preserve">The practical consequence is that the failure is not repairable by alert-level triage. An</w:t>
      </w:r>
      <w:r>
        <w:t xml:space="preserve"> </w:t>
      </w:r>
      <w:r>
        <w:t xml:space="preserve">operator can buy back the marginal guarantee cheaply, and can use the monitor to know which</w:t>
      </w:r>
      <w:r>
        <w:t xml:space="preserve"> </w:t>
      </w:r>
      <w:r>
        <w:t xml:space="preserve">classes are affected, but restoring the per-class guarantee requires information the target</w:t>
      </w:r>
      <w:r>
        <w:t xml:space="preserve"> </w:t>
      </w:r>
      <w:r>
        <w:t xml:space="preserve">does not supply. That returns the argument to the lever identified in Section 6: obtaining</w:t>
      </w:r>
      <w:r>
        <w:t xml:space="preserve"> </w:t>
      </w:r>
      <w:r>
        <w:t xml:space="preserve">even a small labelled sample of target traffic, which is expensive but not impossible,</w:t>
      </w:r>
      <w:r>
        <w:t xml:space="preserve"> </w:t>
      </w:r>
      <w:r>
        <w:t xml:space="preserve">whereas triage alone is neither sufficient nor, on the evidence here, of any material help.</w:t>
      </w:r>
    </w:p>
    <w:p>
      <w:pPr>
        <w:pStyle w:val="CaptionedFigure"/>
      </w:pPr>
      <w:r>
        <w:drawing>
          <wp:inline>
            <wp:extent cx="5334000" cy="2262909"/>
            <wp:effectExtent b="0" l="0" r="0" t="0"/>
            <wp:docPr descr="Figure 7. Label-free selective prediction on UGR’16, showing the classes that actually fail rather than focal classes that largely held. (a) Coverage among retained alerts against the fraction escalated to an analyst; the policy orders by margin and never consults a label. (b) The fraction of each class still retained. The failing classes scan11 and scan44 are retained above the uniform rate at every budget while the sound classes are retained below it, so the policy escalates the alerts that least need review." title="" id="78" name="Picture"/>
            <a:graphic>
              <a:graphicData uri="http://schemas.openxmlformats.org/drawingml/2006/picture">
                <pic:pic>
                  <pic:nvPicPr>
                    <pic:cNvPr descr="figs/fig7_selective.png" id="79" name="Picture"/>
                    <pic:cNvPicPr>
                      <a:picLocks noChangeArrowheads="1" noChangeAspect="1"/>
                    </pic:cNvPicPr>
                  </pic:nvPicPr>
                  <pic:blipFill>
                    <a:blip r:embed="rId77"/>
                    <a:stretch>
                      <a:fillRect/>
                    </a:stretch>
                  </pic:blipFill>
                  <pic:spPr bwMode="auto">
                    <a:xfrm>
                      <a:off x="0" y="0"/>
                      <a:ext cx="5334000" cy="2262909"/>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Label-free selective prediction on UGR’16, showing the classes that actually fail rather than focal classes that largely held. (a) Coverage among retained alerts against the fraction escalated to an analyst; the policy orders by margin and never consults a label. (b) The fraction of each class still retained. The failing classes scan11 and scan44 are retained above the uniform rate at every budget while the sound classes are retained below it, so the policy escalates the alerts that least need review.</w:t>
      </w:r>
    </w:p>
    <w:bookmarkEnd w:id="80"/>
    <w:bookmarkStart w:id="81" w:name="X551aa0c7c6324edaa2bbe6c3d6a8d327e1ba887"/>
    <w:p>
      <w:pPr>
        <w:pStyle w:val="Heading2"/>
      </w:pPr>
      <w:r>
        <w:t xml:space="preserve">5.14 Secondary analysis: pooled cross-dataset model</w:t>
      </w:r>
    </w:p>
    <w:p>
      <w:pPr>
        <w:pStyle w:val="FirstParagraph"/>
      </w:pPr>
      <w:r>
        <w:t xml:space="preserve">For completeness we fit the preregistered pooled model over all 49,500 coverage cells, with</w:t>
      </w:r>
      <w:r>
        <w:t xml:space="preserve"> </w:t>
      </w:r>
      <w:r>
        <w:t xml:space="preserve">the caveat that it cannot support inference at this design. The interaction between the</w:t>
      </w:r>
      <w:r>
        <w:t xml:space="preserve"> </w:t>
      </w:r>
      <w:r>
        <w:t xml:space="preserve">deployable protocol and support shift is negative under every specification, at −0.374, and</w:t>
      </w:r>
      <w:r>
        <w:t xml:space="preserve"> </w:t>
      </w:r>
      <w:r>
        <w:t xml:space="preserve">the interaction with covariate shift is sign-unstable across estimators. The pooled</w:t>
      </w:r>
      <w:r>
        <w:t xml:space="preserve"> </w:t>
      </w:r>
      <w:r>
        <w:t xml:space="preserve">sample is</w:t>
      </w:r>
      <w:r>
        <w:t xml:space="preserve"> </w:t>
      </w:r>
      <w:r>
        <w:t xml:space="preserve">dominated by one dataset, with 36,000 of 49,500 cells from NSL-KDD, the shift covariates</w:t>
      </w:r>
      <w:r>
        <w:t xml:space="preserve"> </w:t>
      </w:r>
      <w:r>
        <w:t xml:space="preserve">vary</w:t>
      </w:r>
      <w:r>
        <w:t xml:space="preserve"> </w:t>
      </w:r>
      <w:r>
        <w:t xml:space="preserve">almost entirely between three clusters, and clustering at the dataset level widens the</w:t>
      </w:r>
      <w:r>
        <w:t xml:space="preserve"> </w:t>
      </w:r>
      <w:r>
        <w:t xml:space="preserve">standard errors by a factor of 4.3 while three-cluster inference is itself unreliable</w:t>
      </w:r>
      <w:r>
        <w:t xml:space="preserve"> </w:t>
      </w:r>
      <w:r>
        <w:t xml:space="preserve">(Cameron and Miller, 2015). We</w:t>
      </w:r>
      <w:r>
        <w:t xml:space="preserve"> </w:t>
      </w:r>
      <w:r>
        <w:t xml:space="preserve">therefore treat the pooled coefficients as descriptive and rest the causal claim on the</w:t>
      </w:r>
      <w:r>
        <w:t xml:space="preserve"> </w:t>
      </w:r>
      <w:r>
        <w:t xml:space="preserve">within-dataset dose-response of Section 5.3 and the decomposition of Section 5.5.</w:t>
      </w:r>
    </w:p>
    <w:bookmarkEnd w:id="81"/>
    <w:bookmarkEnd w:id="82"/>
    <w:bookmarkStart w:id="83" w:name="discussion"/>
    <w:p>
      <w:pPr>
        <w:pStyle w:val="Heading1"/>
      </w:pPr>
      <w:r>
        <w:t xml:space="preserve">6. Discussion</w:t>
      </w:r>
    </w:p>
    <w:p>
      <w:pPr>
        <w:pStyle w:val="FirstParagraph"/>
      </w:pPr>
      <w:r>
        <w:rPr>
          <w:bCs/>
          <w:b/>
        </w:rPr>
        <w:t xml:space="preserve">The deployable protocol does not deliver its promise where it matters most.</w:t>
      </w:r>
      <w:r>
        <w:t xml:space="preserve"> </w:t>
      </w:r>
      <w:r>
        <w:t xml:space="preserve">The</w:t>
      </w:r>
      <w:r>
        <w:t xml:space="preserve"> </w:t>
      </w:r>
      <w:r>
        <w:t xml:space="preserve">central practical message is that adopting conformal prediction as a trust layer for</w:t>
      </w:r>
      <w:r>
        <w:t xml:space="preserve"> </w:t>
      </w:r>
      <w:r>
        <w:t xml:space="preserve">intrusion detection, calibrated in the only way an operator can calibrate it, does not</w:t>
      </w:r>
      <w:r>
        <w:t xml:space="preserve"> </w:t>
      </w:r>
      <w:r>
        <w:t xml:space="preserve">deliver the advertised class-conditional coverage under realistic shift, and the failure</w:t>
      </w:r>
      <w:r>
        <w:t xml:space="preserve"> </w:t>
      </w:r>
      <w:r>
        <w:t xml:space="preserve">concentrates precisely on the classes an operator most needs to trust: rare attack</w:t>
      </w:r>
      <w:r>
        <w:t xml:space="preserve"> </w:t>
      </w:r>
      <w:r>
        <w:t xml:space="preserve">classes and novel attack variants. On the two support-shift datasets the focal attack</w:t>
      </w:r>
      <w:r>
        <w:t xml:space="preserve"> </w:t>
      </w:r>
      <w:r>
        <w:t xml:space="preserve">class is covered at 0.030 and 0.604 against a nominal 0.95, a shortfall large enough that</w:t>
      </w:r>
      <w:r>
        <w:t xml:space="preserve"> </w:t>
      </w:r>
      <w:r>
        <w:t xml:space="preserve">a set-valued detector deployed under this protocol would silently omit the true class</w:t>
      </w:r>
      <w:r>
        <w:t xml:space="preserve"> </w:t>
      </w:r>
      <w:r>
        <w:t xml:space="preserve">from a large fraction of its predictions on exactly the traffic that motivates the</w:t>
      </w:r>
      <w:r>
        <w:t xml:space="preserve"> </w:t>
      </w:r>
      <w:r>
        <w:t xml:space="preserve">system. Because the target-supervised and recalibrated protocols, which differ only in</w:t>
      </w:r>
      <w:r>
        <w:t xml:space="preserve"> </w:t>
      </w:r>
      <w:r>
        <w:t xml:space="preserve">the calibration set, retain nominal coverage, the failure is not a defect of conformal</w:t>
      </w:r>
      <w:r>
        <w:t xml:space="preserve"> </w:t>
      </w:r>
      <w:r>
        <w:t xml:space="preserve">prediction; it is a defect of source-only calibration under shift. Because a negative control on exchangeable data places every class inside its guarantee band, these failures are attributable to shift and not to the implementation. Nor are they repairable by triage: a label-free abstention policy that escalates the least trustworthy alerts recovers the marginal guarantee cheaply but leaves the per-class guarantee essentially untouched (Section 5.14), because the alerts that break it are confident misroutes rather than atypical flows. And because all three</w:t>
      </w:r>
      <w:r>
        <w:t xml:space="preserve"> </w:t>
      </w:r>
      <w:r>
        <w:t xml:space="preserve">architectures fail, though by margins differing by a factor of about 1.7, changing the</w:t>
      </w:r>
      <w:r>
        <w:t xml:space="preserve"> </w:t>
      </w:r>
      <w:r>
        <w:t xml:space="preserve">underlying classifier does not repair the trust layer. This reframes the practitioner’s</w:t>
      </w:r>
      <w:r>
        <w:t xml:space="preserve"> </w:t>
      </w:r>
      <w:r>
        <w:t xml:space="preserve">question from</w:t>
      </w:r>
      <w:r>
        <w:t xml:space="preserve"> </w:t>
      </w:r>
      <w:r>
        <w:t xml:space="preserve">“</w:t>
      </w:r>
      <w:r>
        <w:t xml:space="preserve">should I use conformal prediction</w:t>
      </w:r>
      <w:r>
        <w:t xml:space="preserve">”</w:t>
      </w:r>
      <w:r>
        <w:t xml:space="preserve"> </w:t>
      </w:r>
      <w:r>
        <w:t xml:space="preserve">to</w:t>
      </w:r>
      <w:r>
        <w:t xml:space="preserve"> </w:t>
      </w:r>
      <w:r>
        <w:t xml:space="preserve">“</w:t>
      </w:r>
      <w:r>
        <w:t xml:space="preserve">can I obtain even a small labelled</w:t>
      </w:r>
      <w:r>
        <w:t xml:space="preserve"> </w:t>
      </w:r>
      <w:r>
        <w:t xml:space="preserve">sample of target traffic,</w:t>
      </w:r>
      <w:r>
        <w:t xml:space="preserve">”</w:t>
      </w:r>
      <w:r>
        <w:t xml:space="preserve"> </w:t>
      </w:r>
      <w:r>
        <w:t xml:space="preserve">since where such a sample is available the</w:t>
      </w:r>
      <w:r>
        <w:t xml:space="preserve"> </w:t>
      </w:r>
      <w:r>
        <w:t xml:space="preserve">target-supervised protocol restores coverage, making periodic active labelling of a</w:t>
      </w:r>
      <w:r>
        <w:t xml:space="preserve"> </w:t>
      </w:r>
      <w:r>
        <w:t xml:space="preserve">target sample a concrete and effective lever.</w:t>
      </w:r>
    </w:p>
    <w:p>
      <w:pPr>
        <w:pStyle w:val="BodyText"/>
      </w:pPr>
      <w:r>
        <w:rPr>
          <w:bCs/>
          <w:b/>
        </w:rPr>
        <w:t xml:space="preserve">Neither the category nor the nominal magnitude of shift predicts the failure, and aggregate drift monitoring is insufficient.</w:t>
      </w:r>
      <w:r>
        <w:t xml:space="preserve"> </w:t>
      </w:r>
      <w:r>
        <w:t xml:space="preserve">A placebo ladder built only from subtypes the source has already seen moves focal coverage by 0.298 with the support shift held at zero, against 0.113 for the novelty ladder itself. A fourth environment closes the argument from</w:t>
      </w:r>
      <w:r>
        <w:t xml:space="preserve"> </w:t>
      </w:r>
      <w:r>
        <w:t xml:space="preserve">the other side: on modern IoT traffic with covariate shift pinned at the permutation null,</w:t>
      </w:r>
      <w:r>
        <w:t xml:space="preserve"> </w:t>
      </w:r>
      <w:r>
        <w:t xml:space="preserve">support shift swept to 0.80 produces no coverage failure at all. Covariate shift of</w:t>
      </w:r>
      <w:r>
        <w:t xml:space="preserve"> </w:t>
      </w:r>
      <w:r>
        <w:t xml:space="preserve">sufficient magnitude is therefore by itself enough to break the guarantee, and support</w:t>
      </w:r>
      <w:r>
        <w:t xml:space="preserve"> </w:t>
      </w:r>
      <w:r>
        <w:t xml:space="preserve">shift compounds a failure it did not cause. This also reconciles the environments, since</w:t>
      </w:r>
      <w:r>
        <w:t xml:space="preserve"> </w:t>
      </w:r>
      <w:r>
        <w:t xml:space="preserve">UGR’16 retains its focal coverage at a covariate shift of 0.69 where NSL-KDD loses it at</w:t>
      </w:r>
      <w:r>
        <w:t xml:space="preserve"> </w:t>
      </w:r>
      <w:r>
        <w:t xml:space="preserve">0.85. What the classes that fail have in common is neither a taxonomic category of shift nor a</w:t>
      </w:r>
      <w:r>
        <w:t xml:space="preserve"> </w:t>
      </w:r>
      <w:r>
        <w:t xml:space="preserve">larger nominal shift value, since the fourth environment reaches a class-conditional novel</w:t>
      </w:r>
      <w:r>
        <w:t xml:space="preserve"> </w:t>
      </w:r>
      <w:r>
        <w:t xml:space="preserve">fraction of 0.80 without failing while NSL-KDD fails at 0.45. What they share is the movement</w:t>
      </w:r>
      <w:r>
        <w:t xml:space="preserve"> </w:t>
      </w:r>
      <w:r>
        <w:t xml:space="preserve">of their score distributions. Neither aggregate measure predicts the outcome: the</w:t>
      </w:r>
      <w:r>
        <w:t xml:space="preserve"> </w:t>
      </w:r>
      <w:r>
        <w:t xml:space="preserve">same nominal support shift destroys coverage on one dataset and leaves it untouched on</w:t>
      </w:r>
      <w:r>
        <w:t xml:space="preserve"> </w:t>
      </w:r>
      <w:r>
        <w:t xml:space="preserve">another, and the same is true of covariate shift across classes within a single dataset. Covariate shift additionally produces a</w:t>
      </w:r>
      <w:r>
        <w:t xml:space="preserve"> </w:t>
      </w:r>
      <w:r>
        <w:t xml:space="preserve">failure that is selective and invisible to aggregate shift statistics. Under one</w:t>
      </w:r>
      <w:r>
        <w:t xml:space="preserve"> </w:t>
      </w:r>
      <w:r>
        <w:t xml:space="preserve">covariate shift of fixed magnitude, some classes</w:t>
      </w:r>
      <w:r>
        <w:t xml:space="preserve"> </w:t>
      </w:r>
      <w:r>
        <w:t xml:space="preserve">held coverage and others collapsed, and no dataset-level shift measure distinguished</w:t>
      </w:r>
      <w:r>
        <w:t xml:space="preserve"> </w:t>
      </w:r>
      <w:r>
        <w:t xml:space="preserve">them. The operational implication is direct: a monitoring dashboard that reports an</w:t>
      </w:r>
      <w:r>
        <w:t xml:space="preserve"> </w:t>
      </w:r>
      <w:r>
        <w:t xml:space="preserve">aggregate drift score is not sufficient to certify a conformal detector’s trustworthiness,</w:t>
      </w:r>
      <w:r>
        <w:t xml:space="preserve"> </w:t>
      </w:r>
      <w:r>
        <w:t xml:space="preserve">because the same aggregate shift can leave one class safe and break another. Trust must</w:t>
      </w:r>
      <w:r>
        <w:t xml:space="preserve"> </w:t>
      </w:r>
      <w:r>
        <w:t xml:space="preserve">therefore be assessed per class rather than in aggregate.</w:t>
      </w:r>
    </w:p>
    <w:p>
      <w:pPr>
        <w:pStyle w:val="BodyText"/>
      </w:pPr>
      <w:r>
        <w:rPr>
          <w:bCs/>
          <w:b/>
        </w:rPr>
        <w:t xml:space="preserve">Why the failures happen, and what a label-free monitor can and cannot see.</w:t>
      </w:r>
      <w:r>
        <w:t xml:space="preserve"> </w:t>
      </w:r>
      <w:r>
        <w:t xml:space="preserve">The</w:t>
      </w:r>
      <w:r>
        <w:t xml:space="preserve"> </w:t>
      </w:r>
      <w:r>
        <w:t xml:space="preserve">mechanism analysis reduces the phenomenon to a single, measurable cause: a class</w:t>
      </w:r>
      <w:r>
        <w:t xml:space="preserve"> </w:t>
      </w:r>
      <w:r>
        <w:t xml:space="preserve">undercovers exactly when its nonconformity-score distribution moves past the source-</w:t>
      </w:r>
      <w:r>
        <w:t xml:space="preserve"> </w:t>
      </w:r>
      <w:r>
        <w:t xml:space="preserve">calibrated quantile. This is intuitive in hindsight, the source quantile is fixed and the</w:t>
      </w:r>
      <w:r>
        <w:t xml:space="preserve"> </w:t>
      </w:r>
      <w:r>
        <w:t xml:space="preserve">target scores drift out from under it, but it is not trivial, because it holds tightly</w:t>
      </w:r>
      <w:r>
        <w:t xml:space="preserve"> </w:t>
      </w:r>
      <w:r>
        <w:t xml:space="preserve">and uniformly across classes, architectures and shift types, and it explains the selective</w:t>
      </w:r>
      <w:r>
        <w:t xml:space="preserve"> </w:t>
      </w:r>
      <w:r>
        <w:t xml:space="preserve">covariate-shift result that no aggregate measure could. It is also constructive, because a</w:t>
      </w:r>
      <w:r>
        <w:t xml:space="preserve"> </w:t>
      </w:r>
      <w:r>
        <w:t xml:space="preserve">signal that detects such movement without labels would predict failure, which is what our monitor does at a pooled area under the ROC curve of 0.93, consistently across the three environments in which coverage fails. The monitor’s</w:t>
      </w:r>
      <w:r>
        <w:t xml:space="preserve"> </w:t>
      </w:r>
      <w:r>
        <w:t xml:space="preserve">boundary is equally</w:t>
      </w:r>
      <w:r>
        <w:t xml:space="preserve"> </w:t>
      </w:r>
      <w:r>
        <w:t xml:space="preserve">important and is a genuine identifiability limit rather than an engineering shortfall. When</w:t>
      </w:r>
      <w:r>
        <w:t xml:space="preserve"> </w:t>
      </w:r>
      <w:r>
        <w:t xml:space="preserve">a shifted detector confidently misroutes a novel class into a familiar one, the novel</w:t>
      </w:r>
      <w:r>
        <w:t xml:space="preserve"> </w:t>
      </w:r>
      <w:r>
        <w:t xml:space="preserve">traffic never enters the predicted-class distribution being watched, so no predicted-class</w:t>
      </w:r>
      <w:r>
        <w:t xml:space="preserve"> </w:t>
      </w:r>
      <w:r>
        <w:t xml:space="preserve">signal moves, and the failure is invisible to any label-free monitor of that form; our</w:t>
      </w:r>
      <w:r>
        <w:t xml:space="preserve"> </w:t>
      </w:r>
      <w:r>
        <w:t xml:space="preserve">predicted-share-collapse fallback recovers such cases only partially. Distinguishing</w:t>
      </w:r>
      <w:r>
        <w:t xml:space="preserve"> </w:t>
      </w:r>
      <w:r>
        <w:t xml:space="preserve">displacement-type drift, where the monitor succeeds, from similarity-type drift, where it</w:t>
      </w:r>
      <w:r>
        <w:t xml:space="preserve"> </w:t>
      </w:r>
      <w:r>
        <w:t xml:space="preserve">is blind, is therefore not a tuning detail but the fundamental question a label-free trust</w:t>
      </w:r>
      <w:r>
        <w:t xml:space="preserve"> </w:t>
      </w:r>
      <w:r>
        <w:t xml:space="preserve">signal for intrusion detection must confront.</w:t>
      </w:r>
    </w:p>
    <w:p>
      <w:pPr>
        <w:pStyle w:val="BodyText"/>
      </w:pPr>
      <w:r>
        <w:rPr>
          <w:bCs/>
          <w:b/>
        </w:rPr>
        <w:t xml:space="preserve">Relation to validity-restoring methods.</w:t>
      </w:r>
      <w:r>
        <w:t xml:space="preserve"> </w:t>
      </w:r>
      <w:r>
        <w:t xml:space="preserve">The support-versus-covariate distinction also</w:t>
      </w:r>
      <w:r>
        <w:t xml:space="preserve"> </w:t>
      </w:r>
      <w:r>
        <w:t xml:space="preserve">clarifies when restoration methods would help. Weighted conformal prediction can, in</w:t>
      </w:r>
      <w:r>
        <w:t xml:space="preserve"> </w:t>
      </w:r>
      <w:r>
        <w:t xml:space="preserve">principle, restore coverage under covariate shift, but it requires estimating a source-to-</w:t>
      </w:r>
      <w:r>
        <w:t xml:space="preserve"> </w:t>
      </w:r>
      <w:r>
        <w:t xml:space="preserve">target likelihood ratio, an estimation that is itself undermined by support shift and by</w:t>
      </w:r>
      <w:r>
        <w:t xml:space="preserve"> </w:t>
      </w:r>
      <w:r>
        <w:t xml:space="preserve">the confident misrouting of novel classes, exactly the regime in which our monitor is</w:t>
      </w:r>
      <w:r>
        <w:t xml:space="preserve"> </w:t>
      </w:r>
      <w:r>
        <w:t xml:space="preserve">blind. Our diagnosis thus delineates the conditions under which such methods are and are</w:t>
      </w:r>
      <w:r>
        <w:t xml:space="preserve"> </w:t>
      </w:r>
      <w:r>
        <w:t xml:space="preserve">not applicable, and suggests that the hardest cases for coverage restoration coincide with</w:t>
      </w:r>
      <w:r>
        <w:t xml:space="preserve"> </w:t>
      </w:r>
      <w:r>
        <w:t xml:space="preserve">the hardest cases for label-free failure detection.</w:t>
      </w:r>
    </w:p>
    <w:bookmarkEnd w:id="83"/>
    <w:bookmarkStart w:id="84" w:name="limitations"/>
    <w:p>
      <w:pPr>
        <w:pStyle w:val="Heading1"/>
      </w:pPr>
      <w:r>
        <w:t xml:space="preserve">7. Limitations</w:t>
      </w:r>
    </w:p>
    <w:p>
      <w:pPr>
        <w:pStyle w:val="FirstParagraph"/>
      </w:pPr>
      <w:r>
        <w:t xml:space="preserve">Several limitations bound the claims of this paper and are stated plainly. First, the</w:t>
      </w:r>
      <w:r>
        <w:t xml:space="preserve"> </w:t>
      </w:r>
      <w:r>
        <w:t xml:space="preserve">boundary between the regime in which the monitor succeeds and the regime in which it is blind</w:t>
      </w:r>
      <w:r>
        <w:t xml:space="preserve"> </w:t>
      </w:r>
      <w:r>
        <w:t xml:space="preserve">is demonstrated but not formally characterised (Section 5.12), so the misroute rate should be</w:t>
      </w:r>
      <w:r>
        <w:t xml:space="preserve"> </w:t>
      </w:r>
      <w:r>
        <w:t xml:space="preserve">read as a first, insufficient proxy rather than an established predictor. Second, the preregistered pooled cross-dataset</w:t>
      </w:r>
      <w:r>
        <w:t xml:space="preserve"> </w:t>
      </w:r>
      <w:r>
        <w:t xml:space="preserve">model cannot support inference at this design, for the reasons given in Section 5.14, and no</w:t>
      </w:r>
      <w:r>
        <w:t xml:space="preserve"> </w:t>
      </w:r>
      <w:r>
        <w:t xml:space="preserve">better-specified fit would repair it; the causal claim rests instead on the within-dataset</w:t>
      </w:r>
      <w:r>
        <w:t xml:space="preserve"> </w:t>
      </w:r>
      <w:r>
        <w:t xml:space="preserve">dose-response and its replications. Third, the monitor is evaluated only on the three environments in which coverage fails, since CIC-IoT-2023 provides nothing to predict, and although its performance is consistent across those three, each contributes only twelve to thirty class cells, so the per-environment intervals are wide and</w:t>
      </w:r>
      <w:r>
        <w:t xml:space="preserve"> </w:t>
      </w:r>
      <w:r>
        <w:t xml:space="preserve">the estimates are resolved in direction rather than magnitude. Fourth, the</w:t>
      </w:r>
      <w:r>
        <w:t xml:space="preserve"> </w:t>
      </w:r>
      <w:r>
        <w:t xml:space="preserve">monitor is diagnostic; it flags coverage failure but does not correct it. Fifth, the</w:t>
      </w:r>
      <w:r>
        <w:t xml:space="preserve"> </w:t>
      </w:r>
      <w:r>
        <w:t xml:space="preserve">mechanism and monitor analyses use a deterministic mid-point randomisation of the</w:t>
      </w:r>
      <w:r>
        <w:t xml:space="preserve"> </w:t>
      </w:r>
      <w:r>
        <w:t xml:space="preserve">nonconformity score to obtain reproducible score distributions, which is consistent with,</w:t>
      </w:r>
      <w:r>
        <w:t xml:space="preserve"> </w:t>
      </w:r>
      <w:r>
        <w:t xml:space="preserve">but not identical to, the randomised score that defines the coverage of record. Sixth,</w:t>
      </w:r>
      <w:r>
        <w:t xml:space="preserve"> </w:t>
      </w:r>
      <w:r>
        <w:t xml:space="preserve">the per-class calibration sets are not equal in size across protocols, for the structural</w:t>
      </w:r>
      <w:r>
        <w:t xml:space="preserve"> </w:t>
      </w:r>
      <w:r>
        <w:t xml:space="preserve">reason given in Section 5.9; the asymmetry biases the reported effect towards</w:t>
      </w:r>
      <w:r>
        <w:t xml:space="preserve"> </w:t>
      </w:r>
      <w:r>
        <w:t xml:space="preserve">conservatism but prevents a strictly size-matched comparison. Seventh, the source</w:t>
      </w:r>
      <w:r>
        <w:t xml:space="preserve"> </w:t>
      </w:r>
      <w:r>
        <w:t xml:space="preserve">partition is drawn once and shared by all models, so the reported intervals capture model</w:t>
      </w:r>
      <w:r>
        <w:t xml:space="preserve"> </w:t>
      </w:r>
      <w:r>
        <w:t xml:space="preserve">and draw variability but not partition variability and are correspondingly optimistic.</w:t>
      </w:r>
      <w:r>
        <w:t xml:space="preserve"> </w:t>
      </w:r>
      <w:r>
        <w:t xml:space="preserve">Eighth, the severity of the failure depends on the classifier, with pooled focal coverage</w:t>
      </w:r>
      <w:r>
        <w:t xml:space="preserve"> </w:t>
      </w:r>
      <w:r>
        <w:t xml:space="preserve">differing by a factor of about 1.7 across the three architectures, so the magnitudes</w:t>
      </w:r>
      <w:r>
        <w:t xml:space="preserve"> </w:t>
      </w:r>
      <w:r>
        <w:t xml:space="preserve">reported here should not be read as architecture-free constants. Ninth, the calibration</w:t>
      </w:r>
      <w:r>
        <w:t xml:space="preserve"> </w:t>
      </w:r>
      <w:r>
        <w:t xml:space="preserve">evidence reports the quality of the calibrated probabilities only; the raw</w:t>
      </w:r>
      <w:r>
        <w:t xml:space="preserve"> </w:t>
      </w:r>
      <w:r>
        <w:t xml:space="preserve">pre-calibration probabilities were not cached, so a before-and-after comparison would</w:t>
      </w:r>
      <w:r>
        <w:t xml:space="preserve"> </w:t>
      </w:r>
      <w:r>
        <w:t xml:space="preserve">require retraining and is out of scope. Finally, three of the four datasets are established benchmarks rather than contemporary</w:t>
      </w:r>
      <w:r>
        <w:t xml:space="preserve"> </w:t>
      </w:r>
      <w:r>
        <w:t xml:space="preserve">captures. CIC-IoT-2023, collected from 105 devices and released in 2023, addresses that</w:t>
      </w:r>
      <w:r>
        <w:t xml:space="preserve"> </w:t>
      </w:r>
      <w:r>
        <w:t xml:space="preserve">directly, and the mechanism transfers to it unchanged. For the older three the objection</w:t>
      </w:r>
      <w:r>
        <w:t xml:space="preserve"> </w:t>
      </w:r>
      <w:r>
        <w:t xml:space="preserve">still deserves a direct answer rather than a concession. What is under test here is a</w:t>
      </w:r>
      <w:r>
        <w:t xml:space="preserve"> </w:t>
      </w:r>
      <w:r>
        <w:t xml:space="preserve">property of a calibration protocol, not the detection performance of a particular model on</w:t>
      </w:r>
      <w:r>
        <w:t xml:space="preserve"> </w:t>
      </w:r>
      <w:r>
        <w:t xml:space="preserve">current traffic: the question is whether a quantile fitted on labelled source data remains</w:t>
      </w:r>
      <w:r>
        <w:t xml:space="preserve"> </w:t>
      </w:r>
      <w:r>
        <w:t xml:space="preserve">valid on shifted, unlabelled target data. What an environment must supply to answer it is a</w:t>
      </w:r>
      <w:r>
        <w:t xml:space="preserve"> </w:t>
      </w:r>
      <w:r>
        <w:t xml:space="preserve">fitted classifier’s score distribution, a shift that can be constructed and measured, and</w:t>
      </w:r>
      <w:r>
        <w:t xml:space="preserve"> </w:t>
      </w:r>
      <w:r>
        <w:t xml:space="preserve">enough per-class data to calibrate, none of which depends on the year the traffic was</w:t>
      </w:r>
      <w:r>
        <w:t xml:space="preserve"> </w:t>
      </w:r>
      <w:r>
        <w:t xml:space="preserve">captured. The mechanism we identify is stated in terms of scores rather than packets, and it</w:t>
      </w:r>
      <w:r>
        <w:t xml:space="preserve"> </w:t>
      </w:r>
      <w:r>
        <w:t xml:space="preserve">holds across three architectures and three unrelated shift constructions. For a diagnostic</w:t>
      </w:r>
      <w:r>
        <w:t xml:space="preserve"> </w:t>
      </w:r>
      <w:r>
        <w:t xml:space="preserve">study, well-characterised benchmarks are in this respect an advantage rather than a</w:t>
      </w:r>
      <w:r>
        <w:t xml:space="preserve"> </w:t>
      </w:r>
      <w:r>
        <w:t xml:space="preserve">compromise, since their labelling errors are documented and corrected and the shift</w:t>
      </w:r>
      <w:r>
        <w:t xml:space="preserve"> </w:t>
      </w:r>
      <w:r>
        <w:t xml:space="preserve">constructions can be verified independently by any reader.</w:t>
      </w:r>
    </w:p>
    <w:p>
      <w:pPr>
        <w:pStyle w:val="BodyText"/>
      </w:pPr>
      <w:r>
        <w:t xml:space="preserve">What does not transfer automatically is magnitude. Encrypted traffic, different class</w:t>
      </w:r>
      <w:r>
        <w:t xml:space="preserve"> </w:t>
      </w:r>
      <w:r>
        <w:t xml:space="preserve">balance and different attack families may produce different gap sizes and a different pattern</w:t>
      </w:r>
      <w:r>
        <w:t xml:space="preserve"> </w:t>
      </w:r>
      <w:r>
        <w:t xml:space="preserve">of which classes fail, so the values reported here should be read as evidence that the</w:t>
      </w:r>
      <w:r>
        <w:t xml:space="preserve"> </w:t>
      </w:r>
      <w:r>
        <w:t xml:space="preserve">failure occurs and why, not as calibrated expectations for a modern deployment. Within that</w:t>
      </w:r>
      <w:r>
        <w:t xml:space="preserve"> </w:t>
      </w:r>
      <w:r>
        <w:t xml:space="preserve">scope the individual datasets impose their own caveats: NSL-KDD is dated, CIC-IDS2017’s</w:t>
      </w:r>
      <w:r>
        <w:t xml:space="preserve"> </w:t>
      </w:r>
      <w:r>
        <w:t xml:space="preserve">attacks are synthetically generated and its base classifier is near-perfect on the chosen</w:t>
      </w:r>
      <w:r>
        <w:t xml:space="preserve"> </w:t>
      </w:r>
      <w:r>
        <w:t xml:space="preserve">day, and UGR’16 required subsampling and the dropping of a non-comparable protocol field, so</w:t>
      </w:r>
      <w:r>
        <w:t xml:space="preserve"> </w:t>
      </w:r>
      <w:r>
        <w:t xml:space="preserve">its covariate environment represents temporal drift in one provider’s traffic rather than</w:t>
      </w:r>
      <w:r>
        <w:t xml:space="preserve"> </w:t>
      </w:r>
      <w:r>
        <w:t xml:space="preserve">intrusion traffic in general.</w:t>
      </w:r>
    </w:p>
    <w:bookmarkEnd w:id="84"/>
    <w:bookmarkStart w:id="85" w:name="future-work"/>
    <w:p>
      <w:pPr>
        <w:pStyle w:val="Heading1"/>
      </w:pPr>
      <w:r>
        <w:t xml:space="preserve">8. Future work</w:t>
      </w:r>
    </w:p>
    <w:p>
      <w:pPr>
        <w:pStyle w:val="FirstParagraph"/>
      </w:pPr>
      <w:r>
        <w:t xml:space="preserve">Several analyses identified above are required before the claims reach their strongest form,</w:t>
      </w:r>
      <w:r>
        <w:t xml:space="preserve"> </w:t>
      </w:r>
      <w:r>
        <w:t xml:space="preserve">and are listed here rather than left implicit. Class-conditional covariate shift, S_cov,c,</w:t>
      </w:r>
      <w:r>
        <w:t xml:space="preserve"> </w:t>
      </w:r>
      <w:r>
        <w:t xml:space="preserve">computed by a domain classifier restricted to each class in turn, would replace the aggregate</w:t>
      </w:r>
      <w:r>
        <w:t xml:space="preserve"> </w:t>
      </w:r>
      <w:r>
        <w:t xml:space="preserve">statistic that Section 5.9 shows cannot predict class-conditional outcomes. The</w:t>
      </w:r>
      <w:r>
        <w:t xml:space="preserve"> </w:t>
      </w:r>
      <w:r>
        <w:t xml:space="preserve">threshold-specific displacement of Section 4.7, the signed change in the target distribution</w:t>
      </w:r>
      <w:r>
        <w:t xml:space="preserve"> </w:t>
      </w:r>
      <w:r>
        <w:t xml:space="preserve">function at the source quantile, should be reported alongside the two-sided proxy. A</w:t>
      </w:r>
      <w:r>
        <w:t xml:space="preserve"> </w:t>
      </w:r>
      <w:r>
        <w:t xml:space="preserve">class-budget-matched contrast, subsampling TSC and SHC to identical per-class calibration</w:t>
      </w:r>
      <w:r>
        <w:t xml:space="preserve"> </w:t>
      </w:r>
      <w:r>
        <w:t xml:space="preserve">counts, would separate calibration provenance from calibration support. Composition-adjusted</w:t>
      </w:r>
      <w:r>
        <w:t xml:space="preserve"> </w:t>
      </w:r>
      <w:r>
        <w:t xml:space="preserve">and leave-one-subtype-out analyses of the NSL-KDD ladder would separate the novelty fraction</w:t>
      </w:r>
      <w:r>
        <w:t xml:space="preserve"> </w:t>
      </w:r>
      <w:r>
        <w:t xml:space="preserve">from subtype identity. Leave-one-environment-out validation of the monitor, with CIC-IoT-2023</w:t>
      </w:r>
      <w:r>
        <w:t xml:space="preserve"> </w:t>
      </w:r>
      <w:r>
        <w:t xml:space="preserve">included as an all-negative environment measuring specificity and false-alarm burden rather</w:t>
      </w:r>
      <w:r>
        <w:t xml:space="preserve"> </w:t>
      </w:r>
      <w:r>
        <w:t xml:space="preserve">than excluded for lacking positives, would establish that the monitor is not fitted to the</w:t>
      </w:r>
      <w:r>
        <w:t xml:space="preserve"> </w:t>
      </w:r>
      <w:r>
        <w:t xml:space="preserve">environments that motivated it. Selective-prediction curves for the UGR’16 scan classes, the</w:t>
      </w:r>
      <w:r>
        <w:t xml:space="preserve"> </w:t>
      </w:r>
      <w:r>
        <w:t xml:space="preserve">classes that actually fail, would extend the abstention result beyond focal classes that</w:t>
      </w:r>
      <w:r>
        <w:t xml:space="preserve"> </w:t>
      </w:r>
      <w:r>
        <w:t xml:space="preserve">largely hold. Calibration quality on CIC-IoT-2023 remains to be computed.</w:t>
      </w:r>
    </w:p>
    <w:p>
      <w:pPr>
        <w:pStyle w:val="BodyText"/>
      </w:pPr>
      <w:r>
        <w:t xml:space="preserve">The most immediate extension is to complete the characterisation of the monitor’s</w:t>
      </w:r>
      <w:r>
        <w:t xml:space="preserve"> </w:t>
      </w:r>
      <w:r>
        <w:t xml:space="preserve">boundary. This calls for a continuous, model-internal measure of class confusability to</w:t>
      </w:r>
      <w:r>
        <w:t xml:space="preserve"> </w:t>
      </w:r>
      <w:r>
        <w:t xml:space="preserve">replace the misroute proxy, and for additional environments rich in similarity-type drift,</w:t>
      </w:r>
      <w:r>
        <w:t xml:space="preserve"> </w:t>
      </w:r>
      <w:r>
        <w:t xml:space="preserve">for which a modern dataset containing confusable attack classes would serve as the</w:t>
      </w:r>
      <w:r>
        <w:t xml:space="preserve"> </w:t>
      </w:r>
      <w:r>
        <w:t xml:space="preserve">exemplar needed to bring the boundary result to statistical significance. A second</w:t>
      </w:r>
      <w:r>
        <w:t xml:space="preserve"> </w:t>
      </w:r>
      <w:r>
        <w:t xml:space="preserve">direction is constructive: to convert the monitor from a diagnostic into a remedy by using</w:t>
      </w:r>
      <w:r>
        <w:t xml:space="preserve"> </w:t>
      </w:r>
      <w:r>
        <w:t xml:space="preserve">its label-free signal to widen prediction sets on the classes it flags, and to test whether</w:t>
      </w:r>
      <w:r>
        <w:t xml:space="preserve"> </w:t>
      </w:r>
      <w:r>
        <w:t xml:space="preserve">this restores coverage on displacement-type drift while conceding, honestly, that it cannot</w:t>
      </w:r>
      <w:r>
        <w:t xml:space="preserve"> </w:t>
      </w:r>
      <w:r>
        <w:t xml:space="preserve">on the similarity-type drift where the signal is absent. The negative result of Section 5.14 sharpens this: because alert-level triage cannot reach confident misroutes, a remedy must act on the calibration itself rather than on the alert stream. A second and more immediate direction is replication on contemporary traffic. Because the</w:t>
      </w:r>
      <w:r>
        <w:t xml:space="preserve"> </w:t>
      </w:r>
      <w:r>
        <w:t xml:space="preserve">mechanism is expressed in terms of score movement rather than packet content, it should</w:t>
      </w:r>
      <w:r>
        <w:t xml:space="preserve"> </w:t>
      </w:r>
      <w:r>
        <w:t xml:space="preserve">transfer, and a modern IoT or 5G intrusion corpus with a family-holdout construction would</w:t>
      </w:r>
      <w:r>
        <w:t xml:space="preserve"> </w:t>
      </w:r>
      <w:r>
        <w:t xml:space="preserve">test that prediction directly while supplying the confusable attack classes the boundary</w:t>
      </w:r>
      <w:r>
        <w:t xml:space="preserve"> </w:t>
      </w:r>
      <w:r>
        <w:t xml:space="preserve">analysis needs. A third direction is inferential, and it is a matter of design rather than of</w:t>
      </w:r>
      <w:r>
        <w:t xml:space="preserve"> </w:t>
      </w:r>
      <w:r>
        <w:t xml:space="preserve">estimator: no refitting of the</w:t>
      </w:r>
      <w:r>
        <w:t xml:space="preserve"> </w:t>
      </w:r>
      <w:r>
        <w:t xml:space="preserve">pooled model can identify a covariate interaction that varies only between three dataset</w:t>
      </w:r>
      <w:r>
        <w:t xml:space="preserve"> </w:t>
      </w:r>
      <w:r>
        <w:t xml:space="preserve">clusters, so what is required is a substantially larger panel of covariate-shift</w:t>
      </w:r>
      <w:r>
        <w:t xml:space="preserve"> </w:t>
      </w:r>
      <w:r>
        <w:t xml:space="preserve">environments, or repeated shift configurations within datasets of the kind the ladder</w:t>
      </w:r>
      <w:r>
        <w:t xml:space="preserve"> </w:t>
      </w:r>
      <w:r>
        <w:t xml:space="preserve">provides for support shift. Beyond</w:t>
      </w:r>
      <w:r>
        <w:t xml:space="preserve"> </w:t>
      </w:r>
      <w:r>
        <w:t xml:space="preserve">these, the framework extends naturally to streaming and online conformal calibration, in</w:t>
      </w:r>
      <w:r>
        <w:t xml:space="preserve"> </w:t>
      </w:r>
      <w:r>
        <w:t xml:space="preserve">which the monitor could trigger recalibration events, and to adjacent security tasks such</w:t>
      </w:r>
      <w:r>
        <w:t xml:space="preserve"> </w:t>
      </w:r>
      <w:r>
        <w:t xml:space="preserve">as malware classification, where the same tension between a source-calibrated trust layer</w:t>
      </w:r>
      <w:r>
        <w:t xml:space="preserve"> </w:t>
      </w:r>
      <w:r>
        <w:t xml:space="preserve">and an unlabelled, drifting target arises.</w:t>
      </w:r>
    </w:p>
    <w:bookmarkEnd w:id="85"/>
    <w:bookmarkStart w:id="86" w:name="conclusion"/>
    <w:p>
      <w:pPr>
        <w:pStyle w:val="Heading1"/>
      </w:pPr>
      <w:r>
        <w:t xml:space="preserve">9. Conclusion</w:t>
      </w:r>
    </w:p>
    <w:p>
      <w:pPr>
        <w:pStyle w:val="FirstParagraph"/>
      </w:pPr>
      <w:r>
        <w:t xml:space="preserve">We asked, under preregistration, whether the only deployable conformal calibration</w:t>
      </w:r>
      <w:r>
        <w:t xml:space="preserve"> </w:t>
      </w:r>
      <w:r>
        <w:t xml:space="preserve">protocol for network intrusion detection retains its class-conditional coverage guarantee</w:t>
      </w:r>
      <w:r>
        <w:t xml:space="preserve"> </w:t>
      </w:r>
      <w:r>
        <w:t xml:space="preserve">under distribution shift, and if not, whether its failures can be detected without target</w:t>
      </w:r>
      <w:r>
        <w:t xml:space="preserve"> </w:t>
      </w:r>
      <w:r>
        <w:t xml:space="preserve">labels. The answer to the first question is that it does not. Against a negative control</w:t>
      </w:r>
      <w:r>
        <w:t xml:space="preserve"> </w:t>
      </w:r>
      <w:r>
        <w:t xml:space="preserve">that places every class inside its guarantee band on exchangeable data, source-held-out calibration under shift falls below that band on every feasible class of three environments, by as much as 0.86, while calibration on target data holds; a fourth environment shows no failure at all. A placebo ladder with no support shift moves coverage more than twice as far as the novelty ladder does, and a fourth environment isolating support shift on modern IoT traffic produces no failure at all.</w:t>
      </w:r>
      <w:r>
        <w:t xml:space="preserve"> </w:t>
      </w:r>
      <w:r>
        <w:t xml:space="preserve">Under pure covariate shift the failure is selective, invisible to aggregate shift</w:t>
      </w:r>
      <w:r>
        <w:t xml:space="preserve"> </w:t>
      </w:r>
      <w:r>
        <w:t xml:space="preserve">measures, and confirmed heterogeneous by test rather than by inspection. We reduced the phenomenon to a single measurable cause, the movement of a class’s</w:t>
      </w:r>
      <w:r>
        <w:t xml:space="preserve"> </w:t>
      </w:r>
      <w:r>
        <w:t xml:space="preserve">nonconformity-score distribution past the source-calibrated quantile, which orders</w:t>
      </w:r>
      <w:r>
        <w:t xml:space="preserve"> </w:t>
      </w:r>
      <w:r>
        <w:t xml:space="preserve">undercoverage across twenty-eight class-level cells spanning four datasets at a rank</w:t>
      </w:r>
      <w:r>
        <w:t xml:space="preserve"> </w:t>
      </w:r>
      <w:r>
        <w:t xml:space="preserve">correlation of 0.84. Building on that cause,</w:t>
      </w:r>
      <w:r>
        <w:t xml:space="preserve"> </w:t>
      </w:r>
      <w:r>
        <w:t xml:space="preserve">we answered the second question in the affirmative but with an explicit boundary: the label-free monitor predicts coverage failure without target labels, consistently across the three environments in which coverage fails, yet it necessarily attenuates on similarity-type drift, a limit we demonstrate rather than hide. For practitioners, the message is</w:t>
      </w:r>
      <w:r>
        <w:t xml:space="preserve"> </w:t>
      </w:r>
      <w:r>
        <w:t xml:space="preserve">that a source-calibrated conformal trust layer cannot be assumed to hold under realistic</w:t>
      </w:r>
      <w:r>
        <w:t xml:space="preserve"> </w:t>
      </w:r>
      <w:r>
        <w:t xml:space="preserve">network drift, that trust must be assessed per class rather than in aggregate, and that a</w:t>
      </w:r>
      <w:r>
        <w:t xml:space="preserve"> </w:t>
      </w:r>
      <w:r>
        <w:t xml:space="preserve">label-free monitor can flag much but not all of the failure. All data, code and the</w:t>
      </w:r>
      <w:r>
        <w:t xml:space="preserve"> </w:t>
      </w:r>
      <w:r>
        <w:t xml:space="preserve">preregistration are released to support scrutiny and extension.</w:t>
      </w:r>
    </w:p>
    <w:bookmarkEnd w:id="86"/>
    <w:bookmarkStart w:id="87" w:name="references"/>
    <w:p>
      <w:pPr>
        <w:pStyle w:val="Heading1"/>
      </w:pPr>
      <w:r>
        <w:t xml:space="preserve">References</w:t>
      </w:r>
    </w:p>
    <w:p>
      <w:pPr>
        <w:pStyle w:val="FirstParagraph"/>
      </w:pPr>
      <w:r>
        <w:t xml:space="preserve">Angelopoulos, A.N., Bates, S., 2023. Conformal prediction: a gentle introduction.</w:t>
      </w:r>
      <w:r>
        <w:t xml:space="preserve"> </w:t>
      </w:r>
      <w:r>
        <w:t xml:space="preserve">Foundations and Trends in Machine Learning 16 (4), 494-591.</w:t>
      </w:r>
      <w:r>
        <w:t xml:space="preserve"> </w:t>
      </w:r>
      <w:r>
        <w:t xml:space="preserve">https://doi.org/10.1561/2200000101</w:t>
      </w:r>
    </w:p>
    <w:p>
      <w:pPr>
        <w:pStyle w:val="BodyText"/>
      </w:pPr>
      <w:r>
        <w:t xml:space="preserve">Barber, R.F., Candès, E.J., Ramdas, A., Tibshirani, R.J., 2023. Conformal prediction</w:t>
      </w:r>
      <w:r>
        <w:t xml:space="preserve"> </w:t>
      </w:r>
      <w:r>
        <w:t xml:space="preserve">beyond exchangeability. The Annals of Statistics 51 (2), 816-845.</w:t>
      </w:r>
      <w:r>
        <w:t xml:space="preserve"> </w:t>
      </w:r>
      <w:r>
        <w:t xml:space="preserve">https://doi.org/10.1214/23-AOS2276</w:t>
      </w:r>
    </w:p>
    <w:p>
      <w:pPr>
        <w:pStyle w:val="BodyText"/>
      </w:pPr>
      <w:r>
        <w:t xml:space="preserve">Bates, D., Mächler, M., Bolker, B., Walker, S., 2015. Fitting linear mixed-effects models</w:t>
      </w:r>
      <w:r>
        <w:t xml:space="preserve"> </w:t>
      </w:r>
      <w:r>
        <w:t xml:space="preserve">using lme4. Journal of Statistical Software 67 (1), 1-48.</w:t>
      </w:r>
      <w:r>
        <w:t xml:space="preserve"> </w:t>
      </w:r>
      <w:r>
        <w:t xml:space="preserve">https://doi.org/10.18637/jss.v067.i01</w:t>
      </w:r>
    </w:p>
    <w:p>
      <w:pPr>
        <w:pStyle w:val="BodyText"/>
      </w:pPr>
      <w:r>
        <w:t xml:space="preserve">Ben-David, S., Blitzer, J., Crammer, K., Kulesza, A., Pereira, F., Vaughan, J.W., 2010. A</w:t>
      </w:r>
      <w:r>
        <w:t xml:space="preserve"> </w:t>
      </w:r>
      <w:r>
        <w:t xml:space="preserve">theory of learning from different domains. Machine Learning 79 (1-2), 151-175.</w:t>
      </w:r>
      <w:r>
        <w:t xml:space="preserve"> </w:t>
      </w:r>
      <w:r>
        <w:t xml:space="preserve">https://doi.org/10.1007/s10994-009-5152-4</w:t>
      </w:r>
    </w:p>
    <w:p>
      <w:pPr>
        <w:pStyle w:val="BodyText"/>
      </w:pPr>
      <w:r>
        <w:t xml:space="preserve">Breslow, N.E., Clayton, D.G., 1993. Approximate inference in generalized linear mixed</w:t>
      </w:r>
      <w:r>
        <w:t xml:space="preserve"> </w:t>
      </w:r>
      <w:r>
        <w:t xml:space="preserve">models. Journal of the American Statistical Association 88 (421), 9-25.</w:t>
      </w:r>
      <w:r>
        <w:t xml:space="preserve"> </w:t>
      </w:r>
      <w:r>
        <w:t xml:space="preserve">https://doi.org/10.1080/01621459.1993.10594284</w:t>
      </w:r>
    </w:p>
    <w:p>
      <w:pPr>
        <w:pStyle w:val="BodyText"/>
      </w:pPr>
      <w:r>
        <w:t xml:space="preserve">Brier, G.W., 1950. Verification of forecasts expressed in terms of probability. Monthly</w:t>
      </w:r>
      <w:r>
        <w:t xml:space="preserve"> </w:t>
      </w:r>
      <w:r>
        <w:t xml:space="preserve">Weather Review 78 (1), 1-3.</w:t>
      </w:r>
      <w:r>
        <w:t xml:space="preserve"> </w:t>
      </w:r>
      <w:r>
        <w:t xml:space="preserve">https://doi.org/10.1175/1520-0493(1950)078&lt;0001:VOFEIT&gt;2.0.CO;2</w:t>
      </w:r>
    </w:p>
    <w:p>
      <w:pPr>
        <w:pStyle w:val="BodyText"/>
      </w:pPr>
      <w:r>
        <w:t xml:space="preserve">Cameron, A.C., Miller, D.L., 2015. A practitioner’s guide to cluster-robust inference.</w:t>
      </w:r>
      <w:r>
        <w:t xml:space="preserve"> </w:t>
      </w:r>
      <w:r>
        <w:t xml:space="preserve">Journal of Human Resources 50 (2), 317-372. https://doi.org/10.3368/jhr.50.2.317</w:t>
      </w:r>
    </w:p>
    <w:p>
      <w:pPr>
        <w:pStyle w:val="BodyText"/>
      </w:pPr>
      <w:r>
        <w:t xml:space="preserve">Chen, T., Guestrin, C., 2016. XGBoost: a scalable tree boosting system. In: Proceedings of</w:t>
      </w:r>
      <w:r>
        <w:t xml:space="preserve"> </w:t>
      </w:r>
      <w:r>
        <w:t xml:space="preserve">the 22nd ACM SIGKDD International Conference on Knowledge Discovery and Data Mining.</w:t>
      </w:r>
      <w:r>
        <w:t xml:space="preserve"> </w:t>
      </w:r>
      <w:r>
        <w:t xml:space="preserve">ACM, pp. 785-794. https://doi.org/10.1145/2939672.2939785</w:t>
      </w:r>
    </w:p>
    <w:p>
      <w:pPr>
        <w:pStyle w:val="BodyText"/>
      </w:pPr>
      <w:r>
        <w:t xml:space="preserve">Engelen, G., Rimmer, V., Joosen, W., 2021. Troubleshooting an intrusion detection dataset:</w:t>
      </w:r>
      <w:r>
        <w:t xml:space="preserve"> </w:t>
      </w:r>
      <w:r>
        <w:t xml:space="preserve">the CICIDS2017 case study. In: 2021 IEEE Security and Privacy Workshops (SPW). IEEE,</w:t>
      </w:r>
      <w:r>
        <w:t xml:space="preserve"> </w:t>
      </w:r>
      <w:r>
        <w:t xml:space="preserve">pp. 7-12. https://doi.org/10.1109/SPW53761.2021.00009</w:t>
      </w:r>
    </w:p>
    <w:p>
      <w:pPr>
        <w:pStyle w:val="BodyText"/>
      </w:pPr>
      <w:r>
        <w:t xml:space="preserve">Gibbs, I., Candès, E.J., 2021. Adaptive conformal inference under distribution shift. In:</w:t>
      </w:r>
      <w:r>
        <w:t xml:space="preserve"> </w:t>
      </w:r>
      <w:r>
        <w:t xml:space="preserve">Advances in Neural Information Processing Systems, vol. 34. Curran Associates,</w:t>
      </w:r>
      <w:r>
        <w:t xml:space="preserve"> </w:t>
      </w:r>
      <w:r>
        <w:t xml:space="preserve">pp. 1660-1672.</w:t>
      </w:r>
    </w:p>
    <w:p>
      <w:pPr>
        <w:pStyle w:val="BodyText"/>
      </w:pPr>
      <w:r>
        <w:t xml:space="preserve">Guo, C., Pleiss, G., Sun, Y., Weinberger, K.Q., 2017. On calibration of modern neural</w:t>
      </w:r>
      <w:r>
        <w:t xml:space="preserve"> </w:t>
      </w:r>
      <w:r>
        <w:t xml:space="preserve">networks. In: Proceedings of the 34th International Conference on Machine Learning.</w:t>
      </w:r>
      <w:r>
        <w:t xml:space="preserve"> </w:t>
      </w:r>
      <w:r>
        <w:t xml:space="preserve">Proceedings of Machine Learning Research, vol. 70. PMLR, pp. 1321-1330.</w:t>
      </w:r>
    </w:p>
    <w:p>
      <w:pPr>
        <w:pStyle w:val="BodyText"/>
      </w:pPr>
      <w:r>
        <w:t xml:space="preserve">Horvitz, D.G., Thompson, D.J., 1952. A generalization of sampling without replacement from</w:t>
      </w:r>
      <w:r>
        <w:t xml:space="preserve"> </w:t>
      </w:r>
      <w:r>
        <w:t xml:space="preserve">a finite universe. Journal of the American Statistical Association 47 (260), 663-685.</w:t>
      </w:r>
      <w:r>
        <w:t xml:space="preserve"> </w:t>
      </w:r>
      <w:r>
        <w:t xml:space="preserve">https://doi.org/10.1080/01621459.1952.10483446</w:t>
      </w:r>
    </w:p>
    <w:p>
      <w:pPr>
        <w:pStyle w:val="BodyText"/>
      </w:pPr>
      <w:r>
        <w:t xml:space="preserve">Liu, L., Engelen, G., Lynar, T., Essam, D., Joosen, W., 2022. Error prevalence in NIDS</w:t>
      </w:r>
      <w:r>
        <w:t xml:space="preserve"> </w:t>
      </w:r>
      <w:r>
        <w:t xml:space="preserve">datasets: a case study on CIC-IDS-2017 and CSE-CIC-IDS-2018. In: 2022 IEEE Conference on</w:t>
      </w:r>
      <w:r>
        <w:t xml:space="preserve"> </w:t>
      </w:r>
      <w:r>
        <w:t xml:space="preserve">Communications and Network Security (CNS). IEEE, pp. 254-262.</w:t>
      </w:r>
      <w:r>
        <w:t xml:space="preserve"> </w:t>
      </w:r>
      <w:r>
        <w:t xml:space="preserve">https://doi.org/10.1109/CNS56114.2022.9947235</w:t>
      </w:r>
    </w:p>
    <w:p>
      <w:pPr>
        <w:pStyle w:val="BodyText"/>
      </w:pPr>
      <w:r>
        <w:t xml:space="preserve">Lopez-Paz, D., Oquab, M., 2017. Revisiting classifier two-sample tests. In: International</w:t>
      </w:r>
      <w:r>
        <w:t xml:space="preserve"> </w:t>
      </w:r>
      <w:r>
        <w:t xml:space="preserve">Conference on Learning Representations (ICLR).</w:t>
      </w:r>
    </w:p>
    <w:p>
      <w:pPr>
        <w:pStyle w:val="BodyText"/>
      </w:pPr>
      <w:r>
        <w:t xml:space="preserve">Maciá-Fernández, G., Camacho, J., Magán-Carrión, R., García-Teodoro, P., Therón, R., 2018.</w:t>
      </w:r>
      <w:r>
        <w:t xml:space="preserve"> </w:t>
      </w:r>
      <w:r>
        <w:t xml:space="preserve">UGR’16: a new dataset for the evaluation of cyclostationarity-based network IDSs.</w:t>
      </w:r>
      <w:r>
        <w:t xml:space="preserve"> </w:t>
      </w:r>
      <w:r>
        <w:t xml:space="preserve">Computers &amp; Security 73, 411-424. https://doi.org/10.1016/j.cose.2017.11.004</w:t>
      </w:r>
    </w:p>
    <w:p>
      <w:pPr>
        <w:pStyle w:val="BodyText"/>
      </w:pPr>
      <w:r>
        <w:t xml:space="preserve">Neto, E.C.P., Dadkhah, S., Ferreira, R., Zohourian, A., Lu, R., Ghorbani, A.A., 2023.</w:t>
      </w:r>
      <w:r>
        <w:t xml:space="preserve"> </w:t>
      </w:r>
      <w:r>
        <w:t xml:space="preserve">CICIoT2023: a real-time dataset and benchmark for large-scale attacks in IoT environment.</w:t>
      </w:r>
      <w:r>
        <w:t xml:space="preserve"> </w:t>
      </w:r>
      <w:r>
        <w:t xml:space="preserve">Sensors 23 (13), 5941. https://doi.org/10.3390/s23135941</w:t>
      </w:r>
    </w:p>
    <w:p>
      <w:pPr>
        <w:pStyle w:val="BodyText"/>
      </w:pPr>
      <w:r>
        <w:t xml:space="preserve">Naeini, M.P., Cooper, G.F., Hauskrecht, M., 2015. Obtaining well calibrated probabilities</w:t>
      </w:r>
      <w:r>
        <w:t xml:space="preserve"> </w:t>
      </w:r>
      <w:r>
        <w:t xml:space="preserve">using Bayesian binning. In: Proceedings of the Twenty-Ninth AAAI Conference on Artificial</w:t>
      </w:r>
      <w:r>
        <w:t xml:space="preserve"> </w:t>
      </w:r>
      <w:r>
        <w:t xml:space="preserve">Intelligence. AAAI Press, pp. 2901-2907.</w:t>
      </w:r>
    </w:p>
    <w:p>
      <w:pPr>
        <w:pStyle w:val="BodyText"/>
      </w:pPr>
      <w:r>
        <w:t xml:space="preserve">Pendlebury, F., Pierazzi, F., Jordaney, R., Kinder, J., Cavallaro, L., 2019. TESSERACT:</w:t>
      </w:r>
      <w:r>
        <w:t xml:space="preserve"> </w:t>
      </w:r>
      <w:r>
        <w:t xml:space="preserve">eliminating experimental bias in malware classification across space and time. In:</w:t>
      </w:r>
      <w:r>
        <w:t xml:space="preserve"> </w:t>
      </w:r>
      <w:r>
        <w:t xml:space="preserve">Proceedings of the 28th USENIX Security Symposium. USENIX Association, pp. 729-746.</w:t>
      </w:r>
    </w:p>
    <w:p>
      <w:pPr>
        <w:pStyle w:val="BodyText"/>
      </w:pPr>
      <w:r>
        <w:t xml:space="preserve">Podkopaev, A., Ramdas, A., 2022. Tracking the risk of a deployed model and detecting</w:t>
      </w:r>
      <w:r>
        <w:t xml:space="preserve"> </w:t>
      </w:r>
      <w:r>
        <w:t xml:space="preserve">harmful distribution shifts. In: International Conference on Learning Representations</w:t>
      </w:r>
      <w:r>
        <w:t xml:space="preserve"> </w:t>
      </w:r>
      <w:r>
        <w:t xml:space="preserve">(ICLR).</w:t>
      </w:r>
    </w:p>
    <w:p>
      <w:pPr>
        <w:pStyle w:val="BodyText"/>
      </w:pPr>
      <w:r>
        <w:t xml:space="preserve">Roelofs, R., Cain, N., Shlens, J., Mozer, M.C., 2022. Mitigating bias in calibration error</w:t>
      </w:r>
      <w:r>
        <w:t xml:space="preserve"> </w:t>
      </w:r>
      <w:r>
        <w:t xml:space="preserve">estimation. In: Proceedings of the 25th International Conference on Artificial Intelligence</w:t>
      </w:r>
      <w:r>
        <w:t xml:space="preserve"> </w:t>
      </w:r>
      <w:r>
        <w:t xml:space="preserve">and Statistics. Proceedings of Machine Learning Research, vol. 151. PMLR, pp. 4036-4054.</w:t>
      </w:r>
    </w:p>
    <w:p>
      <w:pPr>
        <w:pStyle w:val="BodyText"/>
      </w:pPr>
      <w:r>
        <w:t xml:space="preserve">Romano, Y., Sesia, M., Candès, E.J., 2020. Classification with valid and adaptive coverage.</w:t>
      </w:r>
      <w:r>
        <w:t xml:space="preserve"> </w:t>
      </w:r>
      <w:r>
        <w:t xml:space="preserve">In: Advances in Neural Information Processing Systems, vol. 33. Curran Associates,</w:t>
      </w:r>
      <w:r>
        <w:t xml:space="preserve"> </w:t>
      </w:r>
      <w:r>
        <w:t xml:space="preserve">pp. 3581-3591.</w:t>
      </w:r>
    </w:p>
    <w:p>
      <w:pPr>
        <w:pStyle w:val="BodyText"/>
      </w:pPr>
      <w:r>
        <w:t xml:space="preserve">Sadinle, M., Lei, J., Wasserman, L., 2019. Least ambiguous set-valued classifiers with</w:t>
      </w:r>
      <w:r>
        <w:t xml:space="preserve"> </w:t>
      </w:r>
      <w:r>
        <w:t xml:space="preserve">bounded error levels. Journal of the American Statistical Association 114 (525), 223-234.</w:t>
      </w:r>
      <w:r>
        <w:t xml:space="preserve"> </w:t>
      </w:r>
      <w:r>
        <w:t xml:space="preserve">https://doi.org/10.1080/01621459.2017.1395341</w:t>
      </w:r>
    </w:p>
    <w:p>
      <w:pPr>
        <w:pStyle w:val="BodyText"/>
      </w:pPr>
      <w:r>
        <w:t xml:space="preserve">Shafer, G., Vovk, V., 2008. A tutorial on conformal prediction. Journal of Machine Learning</w:t>
      </w:r>
      <w:r>
        <w:t xml:space="preserve"> </w:t>
      </w:r>
      <w:r>
        <w:t xml:space="preserve">Research 9, 371-421.</w:t>
      </w:r>
    </w:p>
    <w:p>
      <w:pPr>
        <w:pStyle w:val="BodyText"/>
      </w:pPr>
      <w:r>
        <w:t xml:space="preserve">Sharafaldin, I., Habibi Lashkari, A., Ghorbani, A.A., 2018. Toward generating a new</w:t>
      </w:r>
      <w:r>
        <w:t xml:space="preserve"> </w:t>
      </w:r>
      <w:r>
        <w:t xml:space="preserve">intrusion detection dataset and intrusion traffic characterization. In: Proceedings of the</w:t>
      </w:r>
      <w:r>
        <w:t xml:space="preserve"> </w:t>
      </w:r>
      <w:r>
        <w:t xml:space="preserve">4th International Conference on Information Systems Security and Privacy (ICISSP).</w:t>
      </w:r>
      <w:r>
        <w:t xml:space="preserve"> </w:t>
      </w:r>
      <w:r>
        <w:t xml:space="preserve">SciTePress, pp. 108-116. https://doi.org/10.5220/0006639801080116</w:t>
      </w:r>
    </w:p>
    <w:p>
      <w:pPr>
        <w:pStyle w:val="BodyText"/>
      </w:pPr>
      <w:r>
        <w:t xml:space="preserve">Tavallaee, M., Bagheri, E., Lu, W., Ghorbani, A.A., 2009. A detailed analysis of the KDD</w:t>
      </w:r>
      <w:r>
        <w:t xml:space="preserve"> </w:t>
      </w:r>
      <w:r>
        <w:t xml:space="preserve">CUP 99 data set. In: 2009 IEEE Symposium on Computational Intelligence for Security and</w:t>
      </w:r>
      <w:r>
        <w:t xml:space="preserve"> </w:t>
      </w:r>
      <w:r>
        <w:t xml:space="preserve">Defense Applications (CISDA). IEEE, pp. 1-6.</w:t>
      </w:r>
      <w:r>
        <w:t xml:space="preserve"> </w:t>
      </w:r>
      <w:r>
        <w:t xml:space="preserve">https://doi.org/10.1109/CISDA.2009.5356528</w:t>
      </w:r>
    </w:p>
    <w:p>
      <w:pPr>
        <w:pStyle w:val="BodyText"/>
      </w:pPr>
      <w:r>
        <w:t xml:space="preserve">Tibshirani, R.J., Foygel Barber, R., Candès, E.J., Ramdas, A., 2019. Conformal prediction</w:t>
      </w:r>
      <w:r>
        <w:t xml:space="preserve"> </w:t>
      </w:r>
      <w:r>
        <w:t xml:space="preserve">under covariate shift. In: Advances in Neural Information Processing Systems, vol. 32.</w:t>
      </w:r>
      <w:r>
        <w:t xml:space="preserve"> </w:t>
      </w:r>
      <w:r>
        <w:t xml:space="preserve">Curran Associates, pp. 2530-2540.</w:t>
      </w:r>
    </w:p>
    <w:p>
      <w:pPr>
        <w:pStyle w:val="BodyText"/>
      </w:pPr>
      <w:r>
        <w:t xml:space="preserve">Vovk, V., Gammerman, A., Shafer, G., 2005. Algorithmic Learning in a Random World.</w:t>
      </w:r>
      <w:r>
        <w:t xml:space="preserve"> </w:t>
      </w:r>
      <w:r>
        <w:t xml:space="preserve">Springer, New York. https://doi.org/10.1007/b106715</w:t>
      </w:r>
    </w:p>
    <w:p>
      <w:pPr>
        <w:pStyle w:val="BodyText"/>
      </w:pPr>
      <w:r>
        <w:t xml:space="preserve">Vovk, V., Nouretdinov, I., Gammerman, A., 2003. Testing exchangeability online. In:</w:t>
      </w:r>
      <w:r>
        <w:t xml:space="preserve"> </w:t>
      </w:r>
      <w:r>
        <w:t xml:space="preserve">Proceedings of the 20th International Conference on Machine Learning (ICML). AAAI Press,</w:t>
      </w:r>
      <w:r>
        <w:t xml:space="preserve"> </w:t>
      </w:r>
      <w:r>
        <w:t xml:space="preserve">pp. 768-775.</w:t>
      </w:r>
    </w:p>
    <w:p>
      <w:pPr>
        <w:pStyle w:val="BodyText"/>
      </w:pPr>
      <w:r>
        <w:t xml:space="preserve">Zadrozny, B., Elkan, C., 2002. Transforming classifier scores into accurate multiclass</w:t>
      </w:r>
      <w:r>
        <w:t xml:space="preserve"> </w:t>
      </w:r>
      <w:r>
        <w:t xml:space="preserve">probability estimates. In: Proceedings of the 8th ACM SIGKDD International Conference on</w:t>
      </w:r>
      <w:r>
        <w:t xml:space="preserve"> </w:t>
      </w:r>
      <w:r>
        <w:t xml:space="preserve">Knowledge Discovery and Data Mining. ACM, pp. 694-699.</w:t>
      </w:r>
      <w:r>
        <w:t xml:space="preserve"> </w:t>
      </w:r>
      <w:r>
        <w:t xml:space="preserve">https://doi.org/10.1145/775047.775151</w:t>
      </w:r>
    </w:p>
    <w:bookmarkEnd w:id="87"/>
    <w:sectPr>
      <w:footerReference w:type="default" r:id="rIdFooterPg"/>
      <w:pgSz w:w="11906" w:h="16838"/>
      <w:pgMar w:top="1440" w:right="1440" w:bottom="1440" w:left="1440" w:header="708" w:footer="708"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Pg.xml><?xml version="1.0" encoding="utf-8"?>
<w:ftr xmlns:w="http://schemas.openxmlformats.org/wordprocessingml/2006/main">
  <w:p>
    <w:pP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hAnsi="Times New Roman"/>
      <w:sz w:val="24"/>
      <w:szCs w:val="24"/>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240" w:before="0" w:line="276" w:lineRule="auto"/>
      <w:contextualSpacing w:val="0"/>
      <w:jc w:val="center"/>
    </w:pPr>
    <w:rPr>
      <w:rFonts w:ascii="Times New Roman" w:cs="Times New Roman" w:hAnsi="Times New Roman"/>
      <w:b/>
      <w:sz w:val="34"/>
      <w:szCs w:val="3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spacing w:after="80" w:line="276" w:lineRule="auto"/>
      <w:jc w:val="center"/>
    </w:pPr>
    <w:rPr>
      <w:rFonts w:ascii="Times New Roman" w:cs="Times New Roman" w:hAnsi="Times New Roman"/>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spacing w:after="120" w:line="276" w:lineRule="auto"/>
      <w:ind w:left="0" w:right="0"/>
      <w:jc w:val="both"/>
    </w:pPr>
    <w:rPr>
      <w:rFonts w:ascii="Times New Roman" w:cs="Times New Roman" w:hAnsi="Times New Roman"/>
      <w:sz w:val="22"/>
    </w:rPr>
  </w:style>
  <w:style w:styleId="Bibliography" w:type="paragraph">
    <w:name w:val="Bibliography"/>
    <w:basedOn w:val="Normal"/>
    <w:next w:val="Bibliography"/>
    <w:qFormat/>
    <w:pPr>
      <w:spacing w:after="100" w:line="240" w:lineRule="auto"/>
      <w:ind w:hanging="454" w:left="454"/>
      <w:jc w:val="left"/>
    </w:pPr>
    <w:rPr>
      <w:rFonts w:ascii="Times New Roman" w:cs="Times New Roman" w:hAnsi="Times New Roman"/>
      <w:sz w:val="22"/>
    </w:rPr>
  </w:style>
  <w:style w:styleId="Heading1" w:type="paragraph">
    <w:name w:val="Heading 1"/>
    <w:basedOn w:val="Normal"/>
    <w:next w:val="BodyText"/>
    <w:uiPriority w:val="9"/>
    <w:qFormat/>
    <w:pPr>
      <w:keepNext/>
      <w:spacing w:after="140" w:before="360" w:line="276" w:lineRule="auto"/>
      <w:jc w:val="left"/>
      <w:outlineLvl w:val="0"/>
    </w:pPr>
    <w:rPr>
      <w:rFonts w:ascii="Times New Roman" w:cs="Times New Roman" w:hAnsi="Times New Roman"/>
      <w:b/>
      <w:color w:val="000000"/>
      <w:sz w:val="28"/>
      <w:szCs w:val="28"/>
    </w:rPr>
  </w:style>
  <w:style w:styleId="Heading2" w:type="paragraph">
    <w:name w:val="Heading 2"/>
    <w:basedOn w:val="Normal"/>
    <w:next w:val="BodyText"/>
    <w:uiPriority w:val="9"/>
    <w:unhideWhenUsed/>
    <w:qFormat/>
    <w:pPr>
      <w:keepNext/>
      <w:spacing w:after="110" w:before="280" w:line="276" w:lineRule="auto"/>
      <w:jc w:val="left"/>
      <w:outlineLvl w:val="1"/>
    </w:pPr>
    <w:rPr>
      <w:rFonts w:ascii="Times New Roman" w:cs="Times New Roman" w:hAnsi="Times New Roman"/>
      <w:b/>
      <w:color w:val="000000"/>
      <w:sz w:val="25"/>
      <w:szCs w:val="25"/>
    </w:rPr>
  </w:style>
  <w:style w:styleId="Heading3" w:type="paragraph">
    <w:name w:val="Heading 3"/>
    <w:basedOn w:val="Normal"/>
    <w:next w:val="BodyText"/>
    <w:uiPriority w:val="9"/>
    <w:unhideWhenUsed/>
    <w:qFormat/>
    <w:pPr>
      <w:keepNext/>
      <w:spacing w:after="90" w:before="220" w:line="276" w:lineRule="auto"/>
      <w:jc w:val="left"/>
      <w:outlineLvl w:val="2"/>
    </w:pPr>
    <w:rPr>
      <w:rFonts w:ascii="Times New Roman" w:cs="Times New Roman" w:hAnsi="Times New Roman"/>
      <w:b/>
      <w:i/>
      <w:color w:val="000000"/>
      <w:sz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rPr>
      <w:rFonts w:ascii="Times New Roman" w:cs="Times New Roman" w:hAnsi="Times New Roman"/>
      <w:sz w:val="20"/>
      <w:szCs w:val="20"/>
    </w:r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keepLines/>
      <w:spacing w:after="80" w:before="240" w:line="240" w:lineRule="auto"/>
      <w:jc w:val="left"/>
    </w:pPr>
    <w:rPr>
      <w:rFonts w:ascii="Times New Roman" w:cs="Times New Roman" w:hAnsi="Times New Roman"/>
      <w:sz w:val="20"/>
      <w:szCs w:val="20"/>
    </w:rPr>
  </w:style>
  <w:style w:customStyle="1" w:styleId="TableCaption" w:type="paragraph">
    <w:name w:val="Table Caption"/>
    <w:basedOn w:val="Caption"/>
    <w:pPr>
      <w:keepNext/>
      <w:keepLines/>
      <w:spacing w:after="80" w:before="240" w:line="240" w:lineRule="auto"/>
      <w:jc w:val="left"/>
    </w:pPr>
    <w:rPr>
      <w:rFonts w:ascii="Times New Roman" w:cs="Times New Roman" w:hAnsi="Times New Roman"/>
      <w:sz w:val="20"/>
      <w:szCs w:val="20"/>
    </w:rPr>
  </w:style>
  <w:style w:customStyle="1" w:styleId="ImageCaption" w:type="paragraph">
    <w:name w:val="Image Caption"/>
    <w:basedOn w:val="Caption"/>
    <w:pPr>
      <w:keepLines/>
      <w:spacing w:after="240" w:before="0" w:line="240" w:lineRule="auto"/>
      <w:ind w:left="454" w:right="454"/>
      <w:jc w:val="left"/>
    </w:pPr>
    <w:rPr>
      <w:rFonts w:ascii="Times New Roman" w:cs="Times New Roman" w:hAnsi="Times New Roman"/>
      <w:sz w:val="20"/>
      <w:szCs w:val="20"/>
    </w:rPr>
  </w:style>
  <w:style w:customStyle="1" w:styleId="Figure" w:type="paragraph">
    <w:name w:val="Figure"/>
    <w:basedOn w:val="Normal"/>
  </w:style>
  <w:style w:customStyle="1" w:styleId="CaptionedFigure" w:type="paragraph">
    <w:name w:val="Captioned Figure"/>
    <w:basedOn w:val="Figure"/>
    <w:pPr>
      <w:keepNext/>
      <w:spacing w:after="60" w:before="20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50" Target="media/rId50.png" /><Relationship Type="http://schemas.openxmlformats.org/officeDocument/2006/relationships/image" Id="rId21" Target="media/rId21.png" /><Relationship Id="rIdFooterPg" Type="http://schemas.openxmlformats.org/officeDocument/2006/relationships/footer" Target="footerPg.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Deployable Conformal Intrusion Detection Undercovers under Distribution Shift: A Preregistered Diagnosis and a Label-Free Failure Monitor</dc:title>
  <dc:creator>Md Anas Biswas1,*; [Co-author]1</dc:creator>
  <cp:keywords/>
  <dcterms:created xsi:type="dcterms:W3CDTF">2026-07-27T18:52:53Z</dcterms:created>
  <dcterms:modified xsi:type="dcterms:W3CDTF">2026-07-27T18:52:53Z</dcterms:modified>
</cp:coreProperties>
</file>

<file path=docProps/custom.xml><?xml version="1.0" encoding="utf-8"?>
<Properties xmlns="http://schemas.openxmlformats.org/officeDocument/2006/custom-properties" xmlns:vt="http://schemas.openxmlformats.org/officeDocument/2006/docPropsVTypes"/>
</file>