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EXHEART — BRFSS 2015 Results Report</w:t>
      </w:r>
    </w:p>
    <w:p/>
    <w:p>
      <w:pPr>
        <w:jc w:val="center"/>
      </w:pPr>
      <w:r>
        <w:rPr>
          <w:rFonts w:ascii="Arial" w:hAnsi="Arial"/>
          <w:i/>
          <w:color w:val="555555"/>
          <w:sz w:val="22"/>
        </w:rPr>
        <w:t>Notebook 01 Complete Results | Md Anas Biswas | University of Portsmouth | June 2026</w:t>
      </w:r>
    </w:p>
    <w:p/>
    <w:p>
      <w:pPr>
        <w:jc w:val="center"/>
      </w:pPr>
      <w:r>
        <w:rPr>
          <w:rFonts w:ascii="Arial" w:hAnsi="Arial"/>
          <w:color w:val="2E75B6"/>
          <w:sz w:val="20"/>
        </w:rPr>
        <w:t>github.com/anasbiswas1/exheart-research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Model Performance Metrics</w:t>
      </w:r>
    </w:p>
    <w:p>
      <w:r>
        <w:rPr>
          <w:rFonts w:ascii="Arial" w:hAnsi="Arial"/>
          <w:b w:val="0"/>
          <w:i w:val="0"/>
          <w:sz w:val="20"/>
        </w:rPr>
        <w:t>Full stacked ensemble (XGBoost + LightGBM + Random Forest + MLP) with Platt scaling calibration on BRFSS 2015 (n=253,680, 9.4% positive class). Test set n=50,736. Operational threshold pt=0.12.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F4E79"/>
            <w:tcW w:w="50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AUC-ROC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Discriminative performance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AUPRC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0.371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4x above random baseline (0.094)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Brier Score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0.071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Calibrated probability quality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ECE pre-calibration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0.252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25% average miscalibration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ECE post-calibration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0.012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95% ECE reduction after Platt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Sensitivity @ pt=0.12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True positive rate at threshold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Specificity @ pt=0.12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0.772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True negative rate at threshold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AUC weighted (survey)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0.8599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Population-representative estimate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AUC unweighted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0.8505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Raw test set estimate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Brier weighted (survey)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0.063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Population-weighted calibration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MLP standalone AUC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0.8500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Strongest individual base learner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Meta-learner MLP coef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2.998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MLP dominates stack (XGB=0.092)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1.1 ROC &amp; Precision-Recall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9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oc_p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1. ROC curve (AUC=0.850) and Precision-Recall curve (AUPRC=0.371). Both curves show strong discriminative performance despite 9.6:1 class imbalance.</w:t>
      </w:r>
    </w:p>
    <w:p>
      <w:pPr>
        <w:pStyle w:val="Heading2"/>
      </w:pPr>
      <w:r>
        <w:rPr>
          <w:rFonts w:ascii="Arial" w:hAnsi="Arial"/>
          <w:color w:val="2E75B6"/>
        </w:rPr>
        <w:t>1.2 MLP Training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mlp_trai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2. MLP training history. Early stopping triggered at epoch 15. Val AUC=0.8517 with healthy convergence — no overfitting.</w:t>
      </w:r>
    </w:p>
    <w:p>
      <w:pPr>
        <w:pStyle w:val="Heading2"/>
      </w:pPr>
      <w:r>
        <w:rPr>
          <w:rFonts w:ascii="Arial" w:hAnsi="Arial"/>
          <w:color w:val="2E75B6"/>
        </w:rPr>
        <w:t>1.3 Calibration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3. Calibration curves before (ECE=0.252) and after (ECE=0.012) Platt scaling. 95% ECE reduction demonstrates the clinical reliability of output probabilities.</w:t>
      </w:r>
    </w:p>
    <w:p>
      <w:pPr>
        <w:pStyle w:val="Heading2"/>
      </w:pPr>
      <w:r>
        <w:rPr>
          <w:rFonts w:ascii="Arial" w:hAnsi="Arial"/>
          <w:color w:val="2E75B6"/>
        </w:rPr>
        <w:t>1.4 Decision Curve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7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4. Decision Curve Analysis. EXHEART stack provides positive net benefit over treat-all and treat-none baselines across a wide threshold range (0.05-0.40).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2. Explainability Analysis</w:t>
      </w:r>
    </w:p>
    <w:p>
      <w:pPr>
        <w:pStyle w:val="Heading2"/>
      </w:pPr>
      <w:r>
        <w:rPr>
          <w:rFonts w:ascii="Arial" w:hAnsi="Arial"/>
          <w:color w:val="2E75B6"/>
        </w:rPr>
        <w:t>2.1 SHAP Global Feature Importance</w:t>
      </w:r>
    </w:p>
    <w:p>
      <w:r>
        <w:rPr>
          <w:rFonts w:ascii="Arial" w:hAnsi="Arial"/>
          <w:b w:val="0"/>
          <w:i w:val="0"/>
          <w:sz w:val="20"/>
        </w:rPr>
        <w:t>Global SHAP importance computed via TreeSHAP on XGBoost. Age dominates with nearly 2x the importance of the next feature (GenHlth). The top-5 features align with established CVD risk factors.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SHAP Rank</w:t>
            </w:r>
          </w:p>
        </w:tc>
        <w:tc>
          <w:tcPr>
            <w:tcW w:type="dxa" w:w="1881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 |SHAP|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LIME Rank</w:t>
            </w:r>
          </w:p>
        </w:tc>
        <w:tc>
          <w:tcPr>
            <w:tcW w:type="dxa" w:w="1881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 |LIME|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Age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0.7645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0.0525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GenHlth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0.4968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0.048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HighBP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0.4739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0.0326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Sex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0.3548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0.0453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HighChol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0.3224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0.0398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Smoker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0.1844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0.0213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DiffWalk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0.1335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0.0205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Stroke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0.1284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0.1077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Income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0.1082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0.0084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Diabetes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0.1058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0.0188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PhysHlth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0.0719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0.0061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BMI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0.064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0.0052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Education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0.0467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0.0048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NoDocbcCost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0.0355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0.0093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HvyAlcoholConsump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0.034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0.0158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CholCheck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0.0321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MentHlth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0.0294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0.0055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PhysActivity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0.0202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Veggies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0.0149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Fruits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0.0125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0.0046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AnyHealthcare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0.0076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28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hap_glob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5. SHAP global feature importance (mean |SHAP value|). Age is the dominant predictor, followed by GenHlth, HighBP, Sex, and HighChol.</w:t>
      </w:r>
    </w:p>
    <w:p>
      <w:pPr>
        <w:pStyle w:val="Heading2"/>
      </w:pPr>
      <w:r>
        <w:rPr>
          <w:rFonts w:ascii="Arial" w:hAnsi="Arial"/>
          <w:color w:val="2E75B6"/>
        </w:rPr>
        <w:t>2.2 SHAP Interaction Heatmap</w:t>
      </w:r>
    </w:p>
    <w:p>
      <w:r>
        <w:rPr>
          <w:rFonts w:ascii="Arial" w:hAnsi="Arial"/>
          <w:b w:val="0"/>
          <w:i w:val="0"/>
          <w:sz w:val="20"/>
        </w:rPr>
        <w:t>Pairwise SHAP interaction values reveal which feature pairs amplify each other. Key interactions include Age x GenHlth, Age x HighBP, and Sex x Age — directly motivating the subgroup-stratified fairness audit.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9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nterac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6. Pairwise SHAP interaction heatmap. Warmer colours indicate stronger interaction effects. Age-related interactions dominate.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2E75B6"/>
        </w:rPr>
        <w:t>2.3 SHAP-LIME Consistency Analysis</w:t>
      </w:r>
    </w:p>
    <w:p>
      <w:r>
        <w:rPr>
          <w:rFonts w:ascii="Arial" w:hAnsi="Arial"/>
          <w:b w:val="0"/>
          <w:i w:val="0"/>
          <w:sz w:val="20"/>
        </w:rPr>
        <w:t>Kendall-τ=0.743, Spearman-ρ=0.895, Jaccard@3=0.5, Jaccard@5=0.667. Both p-values=0.000.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F4E79"/>
            <w:tcW w:w="50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Kendall-τ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0.743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Strong global rank agreement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Spearman-ρ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0.895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Very high overall rank correlation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p-value (both)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&lt; 0.0001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Highly significant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Jaccard@3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0.5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Age &amp; GenHlth agree; Stroke vs HighBP disagree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Jaccard@5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0.667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4 of 6 top features shared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SHAP top-3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Age, GenHlth, HighBP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Global SHAP leaders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LIME top-3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Age, GenHlth, Stroke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LIME elevates Stroke to rank 1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Stroke SHAP rank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Moderate global importance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Stroke LIME rank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Dominant local importance — context-dependent effect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50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hap_lime_ran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7. SHAP vs LIME feature rank scatter. Points on the diagonal indicate agreement. Stroke (rank 8 SHAP vs rank 1 LIME) is the key outlier — its effect is highly localised.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3. Fairness Audit</w:t>
      </w:r>
    </w:p>
    <w:p>
      <w:r>
        <w:rPr>
          <w:rFonts w:ascii="Arial" w:hAnsi="Arial"/>
          <w:b w:val="0"/>
          <w:i w:val="0"/>
          <w:sz w:val="20"/>
        </w:rPr>
        <w:t>All fairness metrics computed at operational threshold pt=0.12. TPR = True Positive Rate (sensitivity per group). Selection rate = proportion of group predicted positive.</w:t>
      </w:r>
    </w:p>
    <w:p/>
    <w:p>
      <w:pPr>
        <w:pStyle w:val="Heading2"/>
      </w:pPr>
      <w:r>
        <w:rPr>
          <w:rFonts w:ascii="Arial" w:hAnsi="Arial"/>
          <w:color w:val="2E75B6"/>
        </w:rPr>
        <w:t>3.1 Sex Fairness</w:t>
      </w:r>
    </w:p>
    <w:p>
      <w:r>
        <w:rPr>
          <w:rFonts w:ascii="Arial" w:hAnsi="Arial"/>
          <w:b w:val="0"/>
          <w:i w:val="0"/>
          <w:sz w:val="20"/>
        </w:rPr>
        <w:t>Sex TPR gap: 0.135. Female patients (group 0) are systematically under-detected despite lower baseline prevalence.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28300.0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0.072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0.693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0.211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22436.0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0.122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0.828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0.365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3.2 Age Fairness</w:t>
      </w:r>
    </w:p>
    <w:p>
      <w:r>
        <w:rPr>
          <w:rFonts w:ascii="Arial" w:hAnsi="Arial"/>
          <w:b w:val="0"/>
          <w:i w:val="0"/>
          <w:sz w:val="20"/>
        </w:rPr>
        <w:t>Age TPR range: 0.000 - 0.890. Young adults (groups 1-2) are near-completely missed. Direct consequence of Age being SHAP rank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1123.0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0.006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0.143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0.002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1567.0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0.008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0.001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2228.0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0.01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0.261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0.009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2811.0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0.014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0.128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0.021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3214.0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0.02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0.317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0.042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4024.0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0.039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0.458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0.079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7.0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5238.0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0.058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0.559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0.138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8.0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6262.0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0.072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0.687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0.205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9.0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6606.0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0.1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0.744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0.298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10.0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6399.0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0.133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0.791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0.412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11.0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4650.0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0.163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0.854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0.537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12.0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3156.0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0.193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0.875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0.625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13.0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3458.0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0.243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0.89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0.734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3.3 Income Fairness</w:t>
      </w:r>
    </w:p>
    <w:p>
      <w:r>
        <w:rPr>
          <w:rFonts w:ascii="Arial" w:hAnsi="Arial"/>
          <w:b w:val="0"/>
          <w:i w:val="0"/>
          <w:sz w:val="20"/>
        </w:rPr>
        <w:t>Income TPR gap: 0.238. High-income patients under-detected due to lower prevalence pushing them below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1984.0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0.157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0.872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0.508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2295.0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0.186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0.876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0.568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3239.0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0.152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0.842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0.484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4094.0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0.141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0.813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0.431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5096.0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0.124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0.8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0.362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7294.0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0.102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0.782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0.313</w:t>
            </w:r>
          </w:p>
        </w:tc>
      </w:tr>
      <w:tr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7.0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8648.0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0.081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0.703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0.225</w:t>
            </w:r>
          </w:p>
        </w:tc>
      </w:tr>
      <w:tr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8.0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18086.0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0.05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0.638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0.135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color w:val="2E75B6"/>
        </w:rPr>
        <w:t>3.4 Intersectional Fairness</w:t>
      </w:r>
    </w:p>
    <w:p>
      <w:r>
        <w:rPr>
          <w:rFonts w:ascii="Arial" w:hAnsi="Arial"/>
          <w:b w:val="0"/>
          <w:i w:val="0"/>
          <w:sz w:val="20"/>
        </w:rPr>
        <w:t>Single-attribute audits mask severe intersectional disparities. Sex x Age shows a TPR gap of 0.972 — nearly 7x the Sex-only gap of 0.135.</w:t>
      </w:r>
    </w:p>
    <w:p/>
    <w:p>
      <w:r>
        <w:rPr>
          <w:rFonts w:ascii="Arial" w:hAnsi="Arial"/>
          <w:b/>
          <w:i w:val="0"/>
          <w:sz w:val="20"/>
        </w:rPr>
        <w:t>Sex x Age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F4E79"/>
            <w:tcW w:w="50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Cells with n&gt;=30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Statistically reliable intersections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TPR range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0.000 - 0.972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Near-complete failure to near-perfect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Max TPR gap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0.972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6.8x larger than Sex-only gap</w:t>
            </w:r>
          </w:p>
        </w:tc>
      </w:tr>
    </w:tbl>
    <w:p/>
    <w:p>
      <w:r>
        <w:rPr>
          <w:rFonts w:ascii="Arial" w:hAnsi="Arial"/>
          <w:b/>
          <w:i w:val="0"/>
          <w:sz w:val="20"/>
        </w:rPr>
        <w:t>Sex x Income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F4E79"/>
            <w:tcW w:w="50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Cells with n&gt;=30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TPR range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0.447 - 0.918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Max TPR gap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0.471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  <w:b/>
          <w:i w:val="0"/>
          <w:sz w:val="20"/>
        </w:rPr>
        <w:t>Age x Income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F4E79"/>
            <w:tcW w:w="50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Cells with n&gt;=30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TPR range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0.000 - 0.962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Max TPR gap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0.962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83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ntersectional_fair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8. Intersectional TPR heatmap: Sex x Age. Cells show TPR per group combination. Young females (top-left) are the hardest-to-detect group. Empty cells indicate n&lt;30.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4. Fairness Mitigation — Pareto Frontier</w:t>
      </w:r>
    </w:p>
    <w:p>
      <w:r>
        <w:rPr>
          <w:rFonts w:ascii="Arial" w:hAnsi="Arial"/>
          <w:b w:val="0"/>
          <w:i w:val="0"/>
          <w:sz w:val="20"/>
        </w:rPr>
        <w:t>Threshold shifting mitigation applied with strength swept from 0 (no mitigation) to 1 (full equalisation). Pareto frontier shows the fairness-utility trade-off for Sex TPR gap vs AUC.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3135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AUC</w:t>
            </w:r>
          </w:p>
        </w:tc>
        <w:tc>
          <w:tcPr>
            <w:tcW w:type="dxa" w:w="3135"/>
            <w:shd w:val="clear" w:color="auto" w:fill="1F4E79"/>
            <w:tcW w:w="50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Sex TPR Gap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No mitigation (s=0.00)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AUC=0.8505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Sex TPR gap=0.1349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Moderate (s=0.50)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AUC=0.8464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Sex TPR gap=0.1237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Full (s=1.00)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AUC=0.8440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Sex TPR gap=0.1121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Max fairness gain</w:t>
            </w:r>
          </w:p>
        </w:tc>
        <w:tc>
          <w:tcPr>
            <w:tcW w:type="dxa" w:w="3135"/>
            <w:shd w:val="clear" w:color="auto" w:fill="F2F2F2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16.9% TPR gap reduction</w:t>
            </w:r>
          </w:p>
        </w:tc>
        <w:tc>
          <w:tcPr>
            <w:tcW w:type="dxa" w:w="3135"/>
            <w:shd w:val="clear" w:color="auto" w:fill="F2F2F2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From 0.1349 to 0.1121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AUC cost (full mitigation)</w:t>
            </w:r>
          </w:p>
        </w:tc>
        <w:tc>
          <w:tcPr>
            <w:tcW w:type="dxa" w:w="3135"/>
            <w:shd w:val="clear" w:color="auto" w:fill="FFFFFF"/>
            <w:tcW w:w="2160" w:type="dxa"/>
          </w:tcPr>
          <w:p>
            <w:r>
              <w:rPr>
                <w:rFonts w:ascii="Arial" w:hAnsi="Arial"/>
                <w:b w:val="0"/>
                <w:sz w:val="18"/>
              </w:rPr>
              <w:t>0.0065</w:t>
            </w:r>
          </w:p>
        </w:tc>
        <w:tc>
          <w:tcPr>
            <w:tcW w:type="dxa" w:w="3135"/>
            <w:shd w:val="clear" w:color="auto" w:fill="FFFFFF"/>
            <w:tcW w:w="5040" w:type="dxa"/>
          </w:tcPr>
          <w:p>
            <w:r>
              <w:rPr>
                <w:rFonts w:ascii="Arial" w:hAnsi="Arial"/>
                <w:b w:val="0"/>
                <w:sz w:val="18"/>
              </w:rPr>
              <w:t>Less than 1% absolute loss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55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pareto_fronti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5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9. Fairness-Utility Pareto Frontier. Each point is a mitigation strength setting. Colour indicates strength (green=low, red=high). The curve is smooth with no cliff edges — clinicians can choose any operating point.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5. Key Findings Summary</w:t>
      </w:r>
    </w:p>
    <w:p>
      <w:r>
        <w:rPr>
          <w:rFonts w:ascii="Arial" w:hAnsi="Arial"/>
          <w:b w:val="0"/>
          <w:i w:val="0"/>
          <w:sz w:val="20"/>
        </w:rPr>
        <w:t>All findings from BRFSS 2015 Notebook 01, ready for paper writing: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3"/>
            <w:shd w:val="clear" w:color="auto" w:fill="1F4E79"/>
            <w:tcW w:w="676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 — Performance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AUC=0.850, AUPRC=0.371, Brier=0.071. Survey-weighted AUC=0.860 (BRFSS oversamples older adults).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 — Calibration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Platt scaling reduces ECE from 0.252 to 0.012 (95% reduction). Model probabilities are clinically reliable post-calibration.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F3 — MLP contribution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MLP is the strongest base learner (AUC=0.850) and receives the highest meta-learner weight (2.998 vs XGB 0.092). Neural network adds unique signal over tree ensemble.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F4 — DCA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EXHEART provides positive net benefit over treat-all and treat-none across threshold range 0.05-0.40, validating clinical utility.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F5 — SHAP ranking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Age (0.764) &gt;&gt; GenHlth (0.497) &gt; HighBP (0.474) &gt; Sex (0.355) &gt; HighChol (0.322). GenHlth (subjective self-rating) outranks clinical measurements — noteworthy for discussion.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F6 — SHAP-LIME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Global agreement is strong (τ=0.743, ρ=0.895) but top-3 diverges (Jaccard=0.500). Stroke flips from SHAP rank 8 to LIME rank 1 — context-dependent local effect.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F7 — Sex fairness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Female TPR=0.693 vs Male TPR=0.828. Gap=0.135. Female heart disease systematically under-detected.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F8 — Age fairness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Age group 2 (25-30): TPR=0.000. Age group 13 (80+): TPR=0.890. Range=0.890. Young adults completely missed — direct consequence of Age as dominant SHAP feature.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F9 — Income fairness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Inverted gradient: low-income TPR=0.872, high-income TPR=0.638. High-income under-detection due to low prevalence at threshold pt=0.12.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F10 — Intersectional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Sex x Age TPR gap=0.972 (6.8x larger than Sex-only). Age x Income gap=0.962. Single-attribute audits severely understate true disparities.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F11 — Mitigation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16.9% Sex TPR gap reduction at only 0.0065 AUC cost. Smooth Pareto frontier — favourable fairness-utility trade-off.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F12 — Survey weights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Weighted AUC=0.860 vs unweighted=0.851. BRFSS oversampling of older adults slightly deflates apparent performance.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6. Next Steps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NB02 — BRFSS 2020: </w:t>
      </w:r>
      <w:r>
        <w:rPr>
          <w:rFonts w:ascii="Arial" w:hAnsi="Arial"/>
          <w:sz w:val="20"/>
        </w:rPr>
        <w:t>Temporal transport: apply frozen 2015 model to 2020. Measure AUC/ECE/fairness drift. Also run independent 2020 pipeline. Race/ethnicity fairness audit (6 groups).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NB03 — Cardio: </w:t>
      </w:r>
      <w:r>
        <w:rPr>
          <w:rFonts w:ascii="Arial" w:hAnsi="Arial"/>
          <w:sz w:val="20"/>
        </w:rPr>
        <w:t>Cross-domain validation on clinical exam dataset (70,000 records). SHAP-LIME consistency comparison across instruments.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NB04 — Cross-Dataset: </w:t>
      </w:r>
      <w:r>
        <w:rPr>
          <w:rFonts w:ascii="Arial" w:hAnsi="Arial"/>
          <w:sz w:val="20"/>
        </w:rPr>
        <w:t>Aggregate all results. Temporal drift analysis. Cross-dataset Pareto comparison. Survey-weighted summary table.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Paper §I-IV: </w:t>
      </w:r>
      <w:r>
        <w:rPr>
          <w:rFonts w:ascii="Arial" w:hAnsi="Arial"/>
          <w:sz w:val="20"/>
        </w:rPr>
        <w:t>Introduction, related work, datasets, methodology. Use F1-F12 findings to populate results sections.</w:t>
      </w:r>
    </w:p>
    <w:p/>
    <w:p>
      <w:pPr>
        <w:jc w:val="center"/>
      </w:pPr>
      <w:r>
        <w:rPr>
          <w:rFonts w:ascii="Arial" w:hAnsi="Arial"/>
          <w:i/>
          <w:color w:val="888888"/>
          <w:sz w:val="16"/>
        </w:rPr>
        <w:t>Generated June 2026  •  github.com/anasbiswas1/exheart-research  •  NB01 Complete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