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EXHEART — BRFSS 2020 Results Report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Notebook 02 Complete Results | Temporal Transport + Independent Pipeline</w:t>
      </w:r>
    </w:p>
    <w:p/>
    <w:p>
      <w:pPr>
        <w:jc w:val="center"/>
      </w:pPr>
      <w:r>
        <w:rPr>
          <w:rFonts w:ascii="Arial" w:hAnsi="Arial"/>
          <w:i/>
          <w:color w:val="777777"/>
          <w:sz w:val="20"/>
        </w:rPr>
        <w:t>Md Anas Biswas | University of Portsmouth | June 2026</w:t>
      </w:r>
    </w:p>
    <w:p/>
    <w:p>
      <w:pPr>
        <w:jc w:val="center"/>
      </w:pPr>
      <w:r>
        <w:rPr>
          <w:rFonts w:ascii="Arial" w:hAnsi="Arial"/>
          <w:color w:val="2E75B6"/>
          <w:sz w:val="20"/>
        </w:rPr>
        <w:t>github.com/anasbiswas1/exheart-research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Cross-Dataset Performance Comparison</w:t>
      </w:r>
    </w:p>
    <w:p>
      <w:r>
        <w:rPr>
          <w:rFonts w:ascii="Arial" w:hAnsi="Arial"/>
          <w:b w:val="0"/>
          <w:i w:val="0"/>
          <w:sz w:val="20"/>
        </w:rPr>
        <w:t>Summary of all three experimental conditions. Transport = frozen 2015 model applied to 2020. Retrained = full pipeline on 2020 data.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8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568"/>
            <w:shd w:val="clear" w:color="auto" w:fill="1F4E79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2020 Transport</w:t>
            </w:r>
          </w:p>
        </w:tc>
        <w:tc>
          <w:tcPr>
            <w:tcW w:type="dxa" w:w="1568"/>
            <w:shd w:val="clear" w:color="auto" w:fill="1F4E79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2020 Retrained</w:t>
            </w:r>
          </w:p>
        </w:tc>
        <w:tc>
          <w:tcPr>
            <w:tcW w:type="dxa" w:w="1568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Transport Drift</w:t>
            </w:r>
          </w:p>
        </w:tc>
        <w:tc>
          <w:tcPr>
            <w:tcW w:type="dxa" w:w="1568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Retrain vs 2015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0.7798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-0.0707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-0.0097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0.2274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0.3524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-0.1436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-0.0186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Brier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0.071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0.0762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0.0663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+0.0052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-0.0047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ECE post-calib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0.0508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0.0122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+0.0388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+0.0002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Sensitivity@0.12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0.2606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0.7319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-0.5094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-0.0381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Specificity@0.12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0.772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0.7845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+0.0125</w:t>
            </w:r>
          </w:p>
        </w:tc>
      </w:tr>
    </w:tbl>
    <w:p/>
    <w:p>
      <w:r>
        <w:rPr>
          <w:rFonts w:ascii="Arial" w:hAnsi="Arial"/>
          <w:b w:val="0"/>
          <w:i/>
          <w:color w:val="333333"/>
          <w:sz w:val="20"/>
        </w:rPr>
        <w:t>Key insight: Retraining fully restores calibration (ECE 0.051→0.012) and largely recovers sensitivity (0.261→0.732). The AUC gap is small (0.850 vs 0.840), confirming that transport degradation reflects distribution shift rather than inherent dataset difficulty.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2. Part A — Temporal Transport Results</w:t>
      </w:r>
    </w:p>
    <w:p>
      <w:r>
        <w:rPr>
          <w:rFonts w:ascii="Arial" w:hAnsi="Arial"/>
          <w:b w:val="0"/>
          <w:i w:val="0"/>
          <w:sz w:val="20"/>
        </w:rPr>
        <w:t>Frozen BRFSS 2015 model (XGB + LGBM + RF + MLP + Platt) applied directly to all 319,795 BRFSS 2020 records without retraining. 10 missing features filled with 2015 training medians.</w:t>
      </w:r>
    </w:p>
    <w:p/>
    <w:p>
      <w:pPr>
        <w:pStyle w:val="Heading2"/>
      </w:pPr>
      <w:r>
        <w:rPr>
          <w:rFonts w:ascii="Arial" w:hAnsi="Arial"/>
          <w:color w:val="2E75B6"/>
        </w:rPr>
        <w:t>2.1 Transport Drift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2015 Value</w:t>
            </w:r>
          </w:p>
        </w:tc>
        <w:tc>
          <w:tcPr>
            <w:tcW w:type="dxa" w:w="1881"/>
            <w:shd w:val="clear" w:color="auto" w:fill="1F4E79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2020 Transport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Drift</w:t>
            </w:r>
          </w:p>
        </w:tc>
        <w:tc>
          <w:tcPr>
            <w:tcW w:type="dxa" w:w="1881"/>
            <w:shd w:val="clear" w:color="auto" w:fill="1F4E79"/>
            <w:tcW w:w="432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0.8505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0.7798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-0.0707</w:t>
            </w:r>
          </w:p>
        </w:tc>
        <w:tc>
          <w:tcPr>
            <w:tcW w:type="dxa" w:w="188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Moderate discrimination retained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ECE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0.0508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+0.0388</w:t>
            </w:r>
          </w:p>
        </w:tc>
        <w:tc>
          <w:tcPr>
            <w:tcW w:type="dxa" w:w="188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Calibration degraded 4x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Sensitivity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0.2606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-0.5094</w:t>
            </w:r>
          </w:p>
        </w:tc>
        <w:tc>
          <w:tcPr>
            <w:tcW w:type="dxa" w:w="188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CRITICAL: 74% detection lost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0.2274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-0.1436</w:t>
            </w:r>
          </w:p>
        </w:tc>
        <w:tc>
          <w:tcPr>
            <w:tcW w:type="dxa" w:w="188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Precision-recall degraded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Brier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0.071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0.0762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+0.0052</w:t>
            </w:r>
          </w:p>
        </w:tc>
        <w:tc>
          <w:tcPr>
            <w:tcW w:type="dxa" w:w="188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Minimal probability quality change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Prevalence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0.094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0.0856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2020 slightly lower prevalence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5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nsport_dri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1. Temporal transport results: ROC curve (left), calibration drift (centre), metric comparison bar chart (right). AUC drop is moderate but sensitivity collapses from 0.770 to 0.261 at pt=0.12.</w:t>
      </w:r>
    </w:p>
    <w:p>
      <w:pPr>
        <w:pStyle w:val="Heading2"/>
      </w:pPr>
      <w:r>
        <w:rPr>
          <w:rFonts w:ascii="Arial" w:hAnsi="Arial"/>
          <w:color w:val="2E75B6"/>
        </w:rPr>
        <w:t>2.2 Transport Fairness Drift</w:t>
      </w:r>
    </w:p>
    <w:p>
      <w:r>
        <w:rPr>
          <w:rFonts w:ascii="Arial" w:hAnsi="Arial"/>
          <w:b w:val="0"/>
          <w:i w:val="0"/>
          <w:sz w:val="20"/>
        </w:rPr>
        <w:t>Sex TPR gap widens from 0.135 (2015) to 0.208 (2020 transport). Deployment without retraining amplifies existing disparities.</w:t>
      </w:r>
    </w:p>
    <w:p/>
    <w:p>
      <w:r>
        <w:rPr>
          <w:rFonts w:ascii="Arial" w:hAnsi="Arial"/>
          <w:b/>
          <w:i w:val="0"/>
          <w:sz w:val="20"/>
        </w:rPr>
        <w:t>Sex Fairness — Transport: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167805.0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0.067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0.138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0.035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151990.0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0.106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0.346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0.137</w:t>
            </w:r>
          </w:p>
        </w:tc>
      </w:tr>
    </w:tbl>
    <w:p/>
    <w:p>
      <w:r>
        <w:rPr>
          <w:rFonts w:ascii="Arial" w:hAnsi="Arial"/>
          <w:b/>
          <w:i w:val="0"/>
          <w:sz w:val="20"/>
        </w:rPr>
        <w:t>Age Fairness — Transport:</w:t>
      </w:r>
    </w:p>
    <w:p>
      <w:r>
        <w:rPr>
          <w:rFonts w:ascii="Arial" w:hAnsi="Arial"/>
          <w:b w:val="0"/>
          <w:i w:val="0"/>
          <w:color w:val="444444"/>
          <w:sz w:val="20"/>
        </w:rPr>
        <w:t>Age TPR range (transport): 0.000 – 0.439 (2015: 0.000 – 0.890). Ceiling collapsed — even elderly patients under-detected.</w:t>
      </w:r>
    </w:p>
    <w:p/>
    <w:p>
      <w:r>
        <w:rPr>
          <w:rFonts w:ascii="Arial" w:hAnsi="Arial"/>
          <w:b/>
          <w:i w:val="0"/>
          <w:sz w:val="20"/>
        </w:rPr>
        <w:t>Race/Ethnicity Fairness — Transport (first look, 2015 model has no race feature):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5202.0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0.104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0.26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0.073</w:t>
            </w:r>
          </w:p>
        </w:tc>
      </w:tr>
      <w:tr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8068.0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0.033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0.207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0.035</w:t>
            </w:r>
          </w:p>
        </w:tc>
      </w:tr>
      <w:tr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22939.0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0.075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0.221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0.064</w:t>
            </w:r>
          </w:p>
        </w:tc>
      </w:tr>
      <w:tr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27446.0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0.053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0.159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0.03</w:t>
            </w:r>
          </w:p>
        </w:tc>
      </w:tr>
      <w:tr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10928.0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0.081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0.235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0.062</w:t>
            </w:r>
          </w:p>
        </w:tc>
      </w:tr>
      <w:tr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5.0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245212.0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0.092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0.272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0.094</w:t>
            </w:r>
          </w:p>
        </w:tc>
      </w:tr>
    </w:tbl>
    <w:p/>
    <w:p>
      <w:r>
        <w:rPr>
          <w:rFonts w:ascii="Arial" w:hAnsi="Arial"/>
          <w:b w:val="0"/>
          <w:i/>
          <w:color w:val="444444"/>
          <w:sz w:val="20"/>
        </w:rPr>
        <w:t>Race TPR gap (transport): 0.113. Hispanic patients most under-detected (TPR=0.159). Racial disparities emerge purely through feature-race correlations even when race is excluded from training.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3. Part B — Independent BRFSS 2020 Pipeline</w:t>
      </w:r>
    </w:p>
    <w:p>
      <w:r>
        <w:rPr>
          <w:rFonts w:ascii="Arial" w:hAnsi="Arial"/>
          <w:b w:val="0"/>
          <w:i w:val="0"/>
          <w:sz w:val="20"/>
        </w:rPr>
        <w:t>Full retrain on BRFSS 2020 (n=319,795, 8.6% positive). Same 4-model stacked ensemble architecture as NB01. Test set n=63,959. Operational threshold pt=0.12.</w:t>
      </w:r>
    </w:p>
    <w:p/>
    <w:p>
      <w:pPr>
        <w:pStyle w:val="Heading2"/>
      </w:pPr>
      <w:r>
        <w:rPr>
          <w:rFonts w:ascii="Arial" w:hAnsi="Arial"/>
          <w:color w:val="2E75B6"/>
        </w:rPr>
        <w:t>3.1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tcW w:w="316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1"/>
            <w:shd w:val="clear" w:color="auto" w:fill="1F4E79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vs 2015</w:t>
            </w:r>
          </w:p>
        </w:tc>
        <w:tc>
          <w:tcPr>
            <w:tcW w:type="dxa" w:w="2351"/>
            <w:shd w:val="clear" w:color="auto" w:fill="1F4E79"/>
            <w:tcW w:w="432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-0.0097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Near-identical performance</w:t>
            </w:r>
          </w:p>
        </w:tc>
      </w:tr>
      <w:tr>
        <w:tc>
          <w:tcPr>
            <w:tcW w:type="dxa" w:w="235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235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0.3524</w:t>
            </w:r>
          </w:p>
        </w:tc>
        <w:tc>
          <w:tcPr>
            <w:tcW w:type="dxa" w:w="2351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-0.0186</w:t>
            </w:r>
          </w:p>
        </w:tc>
        <w:tc>
          <w:tcPr>
            <w:tcW w:type="dxa" w:w="235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Slightly lower (lower prevalence)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Brier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0.0663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-0.0047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Marginally better calibration</w:t>
            </w:r>
          </w:p>
        </w:tc>
      </w:tr>
      <w:tr>
        <w:tc>
          <w:tcPr>
            <w:tcW w:type="dxa" w:w="235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ECE pre-calibration</w:t>
            </w:r>
          </w:p>
        </w:tc>
        <w:tc>
          <w:tcPr>
            <w:tcW w:type="dxa" w:w="235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0.267</w:t>
            </w:r>
          </w:p>
        </w:tc>
        <w:tc>
          <w:tcPr>
            <w:tcW w:type="dxa" w:w="2351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+0.0150</w:t>
            </w:r>
          </w:p>
        </w:tc>
        <w:tc>
          <w:tcPr>
            <w:tcW w:type="dxa" w:w="235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Raw stack poorly calibrated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ECE post-calibration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0.0122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+0.0002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Platt scaling fully restores calibration</w:t>
            </w:r>
          </w:p>
        </w:tc>
      </w:tr>
      <w:tr>
        <w:tc>
          <w:tcPr>
            <w:tcW w:type="dxa" w:w="235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Sensitivity@0.12</w:t>
            </w:r>
          </w:p>
        </w:tc>
        <w:tc>
          <w:tcPr>
            <w:tcW w:type="dxa" w:w="235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0.7319</w:t>
            </w:r>
          </w:p>
        </w:tc>
        <w:tc>
          <w:tcPr>
            <w:tcW w:type="dxa" w:w="2351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-0.0381</w:t>
            </w:r>
          </w:p>
        </w:tc>
        <w:tc>
          <w:tcPr>
            <w:tcW w:type="dxa" w:w="235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Largely recovered after retraining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Specificity@0.12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0.7845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+0.0125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Slightly improved</w:t>
            </w:r>
          </w:p>
        </w:tc>
      </w:tr>
      <w:tr>
        <w:tc>
          <w:tcPr>
            <w:tcW w:type="dxa" w:w="235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XGB</w:t>
            </w:r>
          </w:p>
        </w:tc>
        <w:tc>
          <w:tcPr>
            <w:tcW w:type="dxa" w:w="235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-0.404</w:t>
            </w:r>
          </w:p>
        </w:tc>
        <w:tc>
          <w:tcPr>
            <w:tcW w:type="dxa" w:w="2351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vs 0.092 in 2015</w:t>
            </w:r>
          </w:p>
        </w:tc>
        <w:tc>
          <w:tcPr>
            <w:tcW w:type="dxa" w:w="235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XGB down-weighted — negative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LGBM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3.427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vs 0.882 in 2015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LGBM dominant in 2020</w:t>
            </w:r>
          </w:p>
        </w:tc>
      </w:tr>
      <w:tr>
        <w:tc>
          <w:tcPr>
            <w:tcW w:type="dxa" w:w="235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RF</w:t>
            </w:r>
          </w:p>
        </w:tc>
        <w:tc>
          <w:tcPr>
            <w:tcW w:type="dxa" w:w="235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0.730</w:t>
            </w:r>
          </w:p>
        </w:tc>
        <w:tc>
          <w:tcPr>
            <w:tcW w:type="dxa" w:w="2351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vs 1.572 in 2015</w:t>
            </w:r>
          </w:p>
        </w:tc>
        <w:tc>
          <w:tcPr>
            <w:tcW w:type="dxa" w:w="2351"/>
            <w:shd w:val="clear" w:color="auto" w:fill="F2F2F2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RF reduced</w:t>
            </w:r>
          </w:p>
        </w:tc>
      </w:tr>
      <w:tr>
        <w:tc>
          <w:tcPr>
            <w:tcW w:type="dxa" w:w="235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MLP</w:t>
            </w:r>
          </w:p>
        </w:tc>
        <w:tc>
          <w:tcPr>
            <w:tcW w:type="dxa" w:w="235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1.574</w:t>
            </w:r>
          </w:p>
        </w:tc>
        <w:tc>
          <w:tcPr>
            <w:tcW w:type="dxa" w:w="2351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vs 2.998 in 2015</w:t>
            </w:r>
          </w:p>
        </w:tc>
        <w:tc>
          <w:tcPr>
            <w:tcW w:type="dxa" w:w="2351"/>
            <w:shd w:val="clear" w:color="auto" w:fill="FFFFFF"/>
            <w:tcW w:w="4320" w:type="dxa"/>
          </w:tcPr>
          <w:p>
            <w:r>
              <w:rPr>
                <w:rFonts w:ascii="Arial" w:hAnsi="Arial"/>
                <w:b w:val="0"/>
                <w:sz w:val="18"/>
              </w:rPr>
              <w:t>MLP strong but not dominant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3.2 Race/Ethnicity Fairness Audit (NEW)</w:t>
      </w:r>
    </w:p>
    <w:p>
      <w:r>
        <w:rPr>
          <w:rFonts w:ascii="Arial" w:hAnsi="Arial"/>
          <w:b w:val="0"/>
          <w:i w:val="0"/>
          <w:sz w:val="20"/>
        </w:rPr>
        <w:t>Race/ethnicity fairness audit on retrained 2020 model. Race TPR gap: 0.189. Asian and Hispanic patients most under-detected.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568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568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568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568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  <w:tc>
          <w:tcPr>
            <w:tcW w:type="dxa" w:w="1568"/>
            <w:shd w:val="clear" w:color="auto" w:fill="2E75B6"/>
            <w:tcW w:w="3456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race_label</w:t>
            </w:r>
          </w:p>
        </w:tc>
      </w:tr>
      <w:tr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1055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0.109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0.739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0.282</w:t>
            </w:r>
          </w:p>
        </w:tc>
        <w:tc>
          <w:tcPr>
            <w:tcW w:type="dxa" w:w="1568"/>
            <w:shd w:val="clear" w:color="auto" w:fill="FFFFFF"/>
            <w:tcW w:w="3456" w:type="dxa"/>
          </w:tcPr>
          <w:p>
            <w:r>
              <w:rPr>
                <w:rFonts w:ascii="Arial" w:hAnsi="Arial"/>
                <w:sz w:val="16"/>
              </w:rPr>
              <w:t>American Indian/Alaskan Native</w:t>
            </w:r>
          </w:p>
        </w:tc>
      </w:tr>
      <w:tr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1607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0.037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0.559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0.078</w:t>
            </w:r>
          </w:p>
        </w:tc>
        <w:tc>
          <w:tcPr>
            <w:tcW w:type="dxa" w:w="1568"/>
            <w:shd w:val="clear" w:color="auto" w:fill="F2F2F2"/>
            <w:tcW w:w="3456" w:type="dxa"/>
          </w:tcPr>
          <w:p>
            <w:r>
              <w:rPr>
                <w:rFonts w:ascii="Arial" w:hAnsi="Arial"/>
                <w:sz w:val="16"/>
              </w:rPr>
              <w:t>Asian</w:t>
            </w:r>
          </w:p>
        </w:tc>
      </w:tr>
      <w:tr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4596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0.073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0.71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0.224</w:t>
            </w:r>
          </w:p>
        </w:tc>
        <w:tc>
          <w:tcPr>
            <w:tcW w:type="dxa" w:w="1568"/>
            <w:shd w:val="clear" w:color="auto" w:fill="FFFFFF"/>
            <w:tcW w:w="3456" w:type="dxa"/>
          </w:tcPr>
          <w:p>
            <w:r>
              <w:rPr>
                <w:rFonts w:ascii="Arial" w:hAnsi="Arial"/>
                <w:sz w:val="16"/>
              </w:rPr>
              <w:t>Black</w:t>
            </w:r>
          </w:p>
        </w:tc>
      </w:tr>
      <w:tr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5452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0.051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0.561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0.144</w:t>
            </w:r>
          </w:p>
        </w:tc>
        <w:tc>
          <w:tcPr>
            <w:tcW w:type="dxa" w:w="1568"/>
            <w:shd w:val="clear" w:color="auto" w:fill="F2F2F2"/>
            <w:tcW w:w="3456" w:type="dxa"/>
          </w:tcPr>
          <w:p>
            <w:r>
              <w:rPr>
                <w:rFonts w:ascii="Arial" w:hAnsi="Arial"/>
                <w:sz w:val="16"/>
              </w:rPr>
              <w:t>Hispanic</w:t>
            </w:r>
          </w:p>
        </w:tc>
      </w:tr>
      <w:tr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2234</w:t>
            </w:r>
          </w:p>
        </w:tc>
        <w:tc>
          <w:tcPr>
            <w:tcW w:type="dxa" w:w="1568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0.082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0.679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0.224</w:t>
            </w:r>
          </w:p>
        </w:tc>
        <w:tc>
          <w:tcPr>
            <w:tcW w:type="dxa" w:w="1568"/>
            <w:shd w:val="clear" w:color="auto" w:fill="FFFFFF"/>
            <w:tcW w:w="3456" w:type="dxa"/>
          </w:tcPr>
          <w:p>
            <w:r>
              <w:rPr>
                <w:rFonts w:ascii="Arial" w:hAnsi="Arial"/>
                <w:sz w:val="16"/>
              </w:rPr>
              <w:t>Other</w:t>
            </w:r>
          </w:p>
        </w:tc>
      </w:tr>
      <w:tr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49015</w:t>
            </w:r>
          </w:p>
        </w:tc>
        <w:tc>
          <w:tcPr>
            <w:tcW w:type="dxa" w:w="1568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0.092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0.748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0.283</w:t>
            </w:r>
          </w:p>
        </w:tc>
        <w:tc>
          <w:tcPr>
            <w:tcW w:type="dxa" w:w="1568"/>
            <w:shd w:val="clear" w:color="auto" w:fill="F2F2F2"/>
            <w:tcW w:w="3456" w:type="dxa"/>
          </w:tcPr>
          <w:p>
            <w:r>
              <w:rPr>
                <w:rFonts w:ascii="Arial" w:hAnsi="Arial"/>
                <w:sz w:val="16"/>
              </w:rPr>
              <w:t>White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98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ce_fair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2. Race/Ethnicity fairness audit on retrained BRFSS 2020 model. Left: TPR per group. Right: Selection rate per group. Asian (0.559) and Hispanic (0.561) patients face the largest TPR deficits relative to White (0.748).</w:t>
      </w:r>
    </w:p>
    <w:p>
      <w:pPr>
        <w:pStyle w:val="Heading2"/>
      </w:pPr>
      <w:r>
        <w:rPr>
          <w:rFonts w:ascii="Arial" w:hAnsi="Arial"/>
          <w:color w:val="2E75B6"/>
        </w:rPr>
        <w:t>3.3 Sex &amp; Age Fairness</w:t>
      </w:r>
    </w:p>
    <w:p>
      <w:r>
        <w:rPr>
          <w:rFonts w:ascii="Arial" w:hAnsi="Arial"/>
          <w:b w:val="0"/>
          <w:i w:val="0"/>
          <w:sz w:val="20"/>
        </w:rPr>
        <w:t>Sex TPR gap (2020 retrained): 0.163 (2015: 0.135). Female under-detection persists and worsens slightly across survey years.</w:t>
      </w:r>
    </w:p>
    <w:p/>
    <w:p>
      <w:r>
        <w:rPr>
          <w:rFonts w:ascii="Arial" w:hAnsi="Arial"/>
          <w:b/>
          <w:i w:val="0"/>
          <w:sz w:val="20"/>
        </w:rPr>
        <w:t>Sex Fairness: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33513.0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0.068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0.637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0.193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30446.0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0.105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0.333</w:t>
            </w:r>
          </w:p>
        </w:tc>
      </w:tr>
    </w:tbl>
    <w:p/>
    <w:p>
      <w:r>
        <w:rPr>
          <w:rFonts w:ascii="Arial" w:hAnsi="Arial"/>
          <w:b w:val="0"/>
          <w:i w:val="0"/>
          <w:color w:val="444444"/>
          <w:sz w:val="20"/>
        </w:rPr>
        <w:t>Age TPR range (2020): 0.074 – 0.911 (2015: 0.000 – 0.890). Young adult under-detection replicates across survey years.</w:t>
      </w:r>
    </w:p>
    <w:p/>
    <w:p>
      <w:r>
        <w:rPr>
          <w:rFonts w:ascii="Arial" w:hAnsi="Arial"/>
          <w:b/>
          <w:i w:val="0"/>
          <w:sz w:val="20"/>
        </w:rPr>
        <w:t>Age Fairness: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4294.0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0.006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0.125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0.003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3384.0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0.008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0.074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0.004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3740.0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0.012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0.152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0.006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4053.0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0.016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0.078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0.012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4113.0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0.024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0.23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0.024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5.0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4407.0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0.031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0.368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0.057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6.0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5055.0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0.058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0.433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0.114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7.0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6012.0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0.074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0.529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0.192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8.0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6685.0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0.67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0.299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9.0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6883.0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0.119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0.731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0.38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6207.0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0.153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0.826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0.551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11.0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4237.0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0.186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0.898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0.643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12.0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4889.0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0.228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0.911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0.752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4. SHAP Feature Importance — Temporal Stability</w:t>
      </w:r>
    </w:p>
    <w:p>
      <w:r>
        <w:rPr>
          <w:rFonts w:ascii="Arial" w:hAnsi="Arial"/>
          <w:b w:val="0"/>
          <w:i w:val="0"/>
          <w:sz w:val="20"/>
        </w:rPr>
        <w:t>Comparison of SHAP global rankings between BRFSS 2015 and BRFSS 2020 retrained models. High rank stability confirms the underlying CVD risk factor structure is temporally stable.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rank_2015</w:t>
            </w:r>
          </w:p>
        </w:tc>
        <w:tc>
          <w:tcPr>
            <w:tcW w:type="dxa" w:w="1568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shap_2015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rank_2020</w:t>
            </w:r>
          </w:p>
        </w:tc>
        <w:tc>
          <w:tcPr>
            <w:tcW w:type="dxa" w:w="1568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shap_2020</w:t>
            </w:r>
          </w:p>
        </w:tc>
        <w:tc>
          <w:tcPr>
            <w:tcW w:type="dxa" w:w="1568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rank_shift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0.7645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GenHlth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0.4968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HighBP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0.4739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Sex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0.3548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0.3263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-1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HighChol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0.3224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Smoker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0.1844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DiffWalk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7.0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0.1335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Stroke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0.1284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7.0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0.129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-1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Income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9.0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0.1082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Diabetes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10.0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0.1058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PhysHlth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0.0719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12.0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0.064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9.0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0.0969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-3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Education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13.0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0.0467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NoDocbcCost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14.0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0.0355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568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HvyAlcoholConsump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15.0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0.034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</w:tr>
    </w:tbl>
    <w:p/>
    <w:p>
      <w:r>
        <w:rPr>
          <w:rFonts w:ascii="Arial" w:hAnsi="Arial"/>
          <w:b w:val="0"/>
          <w:i/>
          <w:color w:val="333333"/>
          <w:sz w:val="20"/>
        </w:rPr>
        <w:t>Age and GenHealth occupy the top two positions in both years with consistent magnitude. Age importance increased (0.764→0.981), making the 2020 model even more age-dependent. HighBP and HighChol absent from 2020 feature set — remaining features shift up accordingly.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5. Cross-Dataset Fairness Comparison</w:t>
      </w:r>
    </w:p>
    <w:p>
      <w:r>
        <w:rPr>
          <w:rFonts w:ascii="Arial" w:hAnsi="Arial"/>
          <w:b w:val="0"/>
          <w:i w:val="0"/>
          <w:sz w:val="20"/>
        </w:rPr>
        <w:t>Summary of all fairness metrics across experimental conditions at pt=0.12.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tcW w:w="288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Fairness Metric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881"/>
            <w:shd w:val="clear" w:color="auto" w:fill="1F4E79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2020 Transport</w:t>
            </w:r>
          </w:p>
        </w:tc>
        <w:tc>
          <w:tcPr>
            <w:tcW w:type="dxa" w:w="1881"/>
            <w:shd w:val="clear" w:color="auto" w:fill="1F4E79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2020 Retrained</w:t>
            </w:r>
          </w:p>
        </w:tc>
        <w:tc>
          <w:tcPr>
            <w:tcW w:type="dxa" w:w="1881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Sex TPR gap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0.135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0.208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0.163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Widens under transport, persists after retraining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Age TPR range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0.000 – 0.890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0.000 – 0.439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0.074 – 0.911</w:t>
            </w:r>
          </w:p>
        </w:tc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Young adult failure replicates across years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Race TPR gap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0.113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0.189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Retraining with race feature worsens gap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Most under-detected (race)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Hispanic (0.159)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Asian &amp; Hispanic (~0.56)</w:t>
            </w:r>
          </w:p>
        </w:tc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Consistent across conditions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Female TPR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0.693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0.138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b w:val="0"/>
                <w:sz w:val="18"/>
              </w:rPr>
              <w:t>0.637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Female under-detection is systemic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6. Key Findings Summary — NB02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3"/>
            <w:shd w:val="clear" w:color="auto" w:fill="1F4E79"/>
            <w:tcW w:w="676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F13 — Transport AUC drift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AUC drops from 0.850 to 0.780 (−0.071) under temporal transport. Moderate discrimination retained.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F14 — Sensitivity collapse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Sensitivity collapses from 0.770 to 0.261 (−0.509) under transport. 74% of detectable cases lost at pt=0.12. Clinically unacceptable for deployed screening.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F15 — Calibration degradation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ECE increases from 0.012 to 0.051 under transport. Frozen Platt scaler loses calibration validity over 5 years.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F16 — Retraining restores performance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Retraining on 2020 restores AUC=0.840, ECE=0.012, Sensitivity=0.732. Confirms degradation is distribution shift, not dataset difficulty.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F17 — Fairness amplification under transport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Sex TPR gap widens from 0.135 to 0.208 under transport. Deployment without retraining does not preserve fairness properties.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F18 — Race/ethnicity disparities (NEW)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Hispanic and Asian patients face largest TPR deficits in both transport (0.159, 0.207) and retrained (0.561, 0.559) models. Race TPR gap increases from 0.113 to 0.189 after retraining.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F19 — Race feature amplifies disparity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Retraining with explicit race feature worsens race TPR gap (0.113→0.189). Targeted fairness mitigation required when race is included.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F20 — SHAP temporal stability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Age and GenHealth rank 1–2 in both 2015 and 2020. Age importance increases (0.764→0.981). CVD risk factor structure is temporally stable.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F21 — Meta-learner shift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XGB receives negative meta-weight in 2020 (−0.404 vs +0.092 in 2015). LGBM becomes dominant (3.427). Base learner contributions are dataset-dependent.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F22 — Young adult failure replicates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Age groups 1–3 have TPR 0.000–0.230 in 2020 (vs 0.000–0.261 in 2015). Young adult under-detection is a systemic property, not a 2015 artefact.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7. Next Steps</w:t>
      </w:r>
    </w:p>
    <w:p>
      <w:pPr>
        <w:pStyle w:val="ListBullet"/>
      </w:pPr>
      <w:r>
        <w:rPr>
          <w:rFonts w:ascii="Arial" w:hAnsi="Arial"/>
          <w:b/>
        </w:rPr>
        <w:t xml:space="preserve">NB03 — Cardio Dataset: </w:t>
      </w:r>
      <w:r>
        <w:rPr>
          <w:rFonts w:ascii="Arial" w:hAnsi="Arial"/>
          <w:sz w:val="20"/>
        </w:rPr>
        <w:t>Cross-domain validation on Cardiovascular Disease dataset (70,000 clinical exam records). SHAP-LIME consistency comparison. Test whether race/age disparities replicate on clinical data.</w:t>
      </w:r>
    </w:p>
    <w:p>
      <w:pPr>
        <w:pStyle w:val="ListBullet"/>
      </w:pPr>
      <w:r>
        <w:rPr>
          <w:rFonts w:ascii="Arial" w:hAnsi="Arial"/>
          <w:b/>
        </w:rPr>
        <w:t xml:space="preserve">NB04 — Cross-Dataset Analysis: </w:t>
      </w:r>
      <w:r>
        <w:rPr>
          <w:rFonts w:ascii="Arial" w:hAnsi="Arial"/>
          <w:sz w:val="20"/>
        </w:rPr>
        <w:t>Aggregate F1–F22 findings. Three-way performance/fairness comparison table. Temporal drift visualisation. Survey-weighted summary.</w:t>
      </w:r>
    </w:p>
    <w:p>
      <w:pPr>
        <w:pStyle w:val="ListBullet"/>
      </w:pPr>
      <w:r>
        <w:rPr>
          <w:rFonts w:ascii="Arial" w:hAnsi="Arial"/>
          <w:b/>
        </w:rPr>
        <w:t xml:space="preserve">Paper §V — Results: </w:t>
      </w:r>
      <w:r>
        <w:rPr>
          <w:rFonts w:ascii="Arial" w:hAnsi="Arial"/>
          <w:sz w:val="20"/>
        </w:rPr>
        <w:t>Use F1–F22 to populate results sections. Each finding maps to one paragraph. Section VI covers temporal/cross-domain analysis.</w:t>
      </w:r>
    </w:p>
    <w:p>
      <w:pPr>
        <w:pStyle w:val="ListBullet"/>
      </w:pPr>
      <w:r>
        <w:rPr>
          <w:rFonts w:ascii="Arial" w:hAnsi="Arial"/>
          <w:b/>
        </w:rPr>
        <w:t xml:space="preserve">Mitigation on 2020: </w:t>
      </w:r>
      <w:r>
        <w:rPr>
          <w:rFonts w:ascii="Arial" w:hAnsi="Arial"/>
          <w:sz w:val="20"/>
        </w:rPr>
        <w:t>Apply M1-joint mitigation to 2020 retrained model. Generate Pareto frontier for race/ethnicity fairness — compare slope vs 2015 Sex Pareto.</w:t>
      </w:r>
    </w:p>
    <w:p/>
    <w:p>
      <w:pPr>
        <w:jc w:val="center"/>
      </w:pPr>
      <w:r>
        <w:rPr>
          <w:rFonts w:ascii="Arial" w:hAnsi="Arial"/>
          <w:i/>
          <w:color w:val="888888"/>
          <w:sz w:val="16"/>
        </w:rPr>
        <w:t>Generated June 2026  •  github.com/anasbiswas1/exheart-research  •  NB02 Complete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