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EXHEART — Cardiovascular Disease Results Report</w:t>
      </w:r>
    </w:p>
    <w:p/>
    <w:p>
      <w:pPr>
        <w:jc w:val="center"/>
      </w:pPr>
      <w:r>
        <w:rPr>
          <w:rFonts w:ascii="Arial" w:hAnsi="Arial"/>
          <w:i/>
          <w:color w:val="555555"/>
          <w:sz w:val="22"/>
        </w:rPr>
        <w:t>Notebook 03 | Cross-Domain Validation on Clinical Exam Data</w:t>
      </w:r>
    </w:p>
    <w:p/>
    <w:p>
      <w:pPr>
        <w:jc w:val="center"/>
      </w:pPr>
      <w:r>
        <w:rPr>
          <w:rFonts w:ascii="Arial" w:hAnsi="Arial"/>
          <w:i/>
          <w:color w:val="777777"/>
          <w:sz w:val="20"/>
        </w:rPr>
        <w:t>Md Anas Biswas | University of Portsmouth | June 2026</w:t>
      </w:r>
    </w:p>
    <w:p/>
    <w:p>
      <w:pPr>
        <w:jc w:val="center"/>
      </w:pPr>
      <w:r>
        <w:rPr>
          <w:rFonts w:ascii="Arial" w:hAnsi="Arial"/>
          <w:color w:val="2E75B6"/>
          <w:sz w:val="20"/>
        </w:rPr>
        <w:t>github.com/anasbiswas1/exheart-research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 Dataset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2351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Difference</w:t>
            </w:r>
          </w:p>
        </w:tc>
      </w:tr>
      <w:tr>
        <w:tc>
          <w:tcPr>
            <w:tcW w:type="dxa" w:w="235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Kaggle / Ulianova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CDC BRFSS Survey</w:t>
            </w:r>
          </w:p>
        </w:tc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Clinical vs survey</w:t>
            </w:r>
          </w:p>
        </w:tc>
      </w:tr>
      <w:tr>
        <w:tc>
          <w:tcPr>
            <w:tcW w:type="dxa" w:w="235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n (cleaned)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68,730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253,680</w:t>
            </w:r>
          </w:p>
        </w:tc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Cardio ~4x smaller</w:t>
            </w:r>
          </w:p>
        </w:tc>
      </w:tr>
      <w:tr>
        <w:tc>
          <w:tcPr>
            <w:tcW w:type="dxa" w:w="235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Features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12 clinical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21 survey</w:t>
            </w:r>
          </w:p>
        </w:tc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Objective vs self-report</w:t>
            </w:r>
          </w:p>
        </w:tc>
      </w:tr>
      <w:tr>
        <w:tc>
          <w:tcPr>
            <w:tcW w:type="dxa" w:w="235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Target prev.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49.5%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9.4%</w:t>
            </w:r>
          </w:p>
        </w:tc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Balanced vs imbalanced</w:t>
            </w:r>
          </w:p>
        </w:tc>
      </w:tr>
      <w:tr>
        <w:tc>
          <w:tcPr>
            <w:tcW w:type="dxa" w:w="235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Age range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29.6–64.9 yrs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18–80+ yrs</w:t>
            </w:r>
          </w:p>
        </w:tc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No young/elderly in Cardio</w:t>
            </w:r>
          </w:p>
        </w:tc>
      </w:tr>
      <w:tr>
        <w:tc>
          <w:tcPr>
            <w:tcW w:type="dxa" w:w="235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Primary thresh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pt=0.50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pt=0.12</w:t>
            </w:r>
          </w:p>
        </w:tc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Different screening context</w:t>
            </w:r>
          </w:p>
        </w:tc>
      </w:tr>
      <w:tr>
        <w:tc>
          <w:tcPr>
            <w:tcW w:type="dxa" w:w="235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Race/ethnicity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Both absent</w:t>
            </w:r>
          </w:p>
        </w:tc>
      </w:tr>
      <w:tr>
        <w:tc>
          <w:tcPr>
            <w:tcW w:type="dxa" w:w="235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BP measurement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Measured (mmHg)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Binary (yes/no)</w:t>
            </w:r>
          </w:p>
        </w:tc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Precision difference</w:t>
            </w:r>
          </w:p>
        </w:tc>
      </w:tr>
      <w:tr>
        <w:tc>
          <w:tcPr>
            <w:tcW w:type="dxa" w:w="235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BMI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Measured (kg/m²)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Reported (coded)</w:t>
            </w:r>
          </w:p>
        </w:tc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Precision difference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2. Model Performance Metrics</w:t>
      </w:r>
    </w:p>
    <w:p>
      <w:r>
        <w:rPr>
          <w:rFonts w:ascii="Arial" w:hAnsi="Arial"/>
          <w:b w:val="0"/>
          <w:i w:val="0"/>
          <w:sz w:val="20"/>
        </w:rPr>
        <w:t>Stacked ensemble (XGB + LGBM + RF + MLP) with Platt calibration. n_test=13,746, prevalence=49.5%. Primary threshold pt=0.50 (balanced dataset). pt=0.12 shown for cross-dataset comparison only.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tcW w:w="316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val="clear" w:color="auto" w:fill="1F4E79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</w:t>
            </w:r>
          </w:p>
        </w:tc>
        <w:tc>
          <w:tcPr>
            <w:tcW w:type="dxa" w:w="1881"/>
            <w:shd w:val="clear" w:color="auto" w:fill="1F4E79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881"/>
            <w:shd w:val="clear" w:color="auto" w:fill="1F4E79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2020</w:t>
            </w:r>
          </w:p>
        </w:tc>
        <w:tc>
          <w:tcPr>
            <w:tcW w:type="dxa" w:w="1881"/>
            <w:shd w:val="clear" w:color="auto" w:fill="1F4E79"/>
            <w:tcW w:w="3311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0.8068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Cardio harder to classify</w:t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0.7887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0.3524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Not comparable — prevalence differs</w:t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Brier Score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0.1799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0.071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0.0663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Higher on balanced data</w:t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ECE pre-calibration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0.0194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0.252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0.267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Already near-perfect on Cardio</w:t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ECE post-calibration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0.026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0.0122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Platt slightly worsens on Cardio</w:t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Sensitivity @ pt=0.5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0.6874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Natural threshold for Cardio</w:t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Specificity @ pt=0.5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0.7864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MLP standalone AUC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0.8047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0.850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0.840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Consistent MLP performance</w:t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XGB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1.005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0.092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-0.404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Dataset-dependent weighting</w:t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LGBM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0.86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0.882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3.427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RF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1.114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1.572</w:t>
            </w:r>
          </w:p>
        </w:tc>
        <w:tc>
          <w:tcPr>
            <w:tcW w:type="dxa" w:w="1881"/>
            <w:shd w:val="clear" w:color="auto" w:fill="FFFFFF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0.730</w:t>
            </w:r>
          </w:p>
        </w:tc>
        <w:tc>
          <w:tcPr>
            <w:tcW w:type="dxa" w:w="1881"/>
            <w:shd w:val="clear" w:color="auto" w:fill="FFFFFF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2F2F2"/>
            <w:tcW w:w="3168" w:type="dxa"/>
          </w:tcPr>
          <w:p>
            <w:r>
              <w:rPr>
                <w:rFonts w:ascii="Arial" w:hAnsi="Arial"/>
                <w:b/>
                <w:sz w:val="18"/>
              </w:rPr>
              <w:t>Meta-coef MLP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1.915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2.998</w:t>
            </w:r>
          </w:p>
        </w:tc>
        <w:tc>
          <w:tcPr>
            <w:tcW w:type="dxa" w:w="1881"/>
            <w:shd w:val="clear" w:color="auto" w:fill="F2F2F2"/>
            <w:tcW w:w="1440" w:type="dxa"/>
          </w:tcPr>
          <w:p>
            <w:r>
              <w:rPr>
                <w:rFonts w:ascii="Arial" w:hAnsi="Arial"/>
                <w:b w:val="0"/>
                <w:sz w:val="18"/>
              </w:rPr>
              <w:t>1.574</w:t>
            </w:r>
          </w:p>
        </w:tc>
        <w:tc>
          <w:tcPr>
            <w:tcW w:type="dxa" w:w="1881"/>
            <w:shd w:val="clear" w:color="auto" w:fill="F2F2F2"/>
            <w:tcW w:w="3311" w:type="dxa"/>
          </w:tcPr>
          <w:p>
            <w:r>
              <w:rPr>
                <w:rFonts w:ascii="Arial" w:hAnsi="Arial"/>
                <w:b w:val="0"/>
                <w:sz w:val="18"/>
              </w:rPr>
              <w:t>MLP dominant across all datasets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5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_pr_cali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1. ROC curve (AUC=0.8068), Precision-Recall curve (AUPRC=0.7887), and calibration curves. ECE pre=0.0194 — raw stack already well-calibrated on balanced data.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3. SHAP Feature Importance</w:t>
      </w:r>
    </w:p>
    <w:p>
      <w:pPr>
        <w:pStyle w:val="Heading2"/>
      </w:pPr>
      <w:r>
        <w:rPr>
          <w:rFonts w:ascii="Arial" w:hAnsi="Arial"/>
          <w:color w:val="2E75B6"/>
        </w:rPr>
        <w:t>3.1 Global Rankings</w:t>
      </w:r>
    </w:p>
    <w:p>
      <w:r>
        <w:rPr>
          <w:rFonts w:ascii="Arial" w:hAnsi="Arial"/>
          <w:b w:val="0"/>
          <w:i w:val="0"/>
          <w:sz w:val="20"/>
        </w:rPr>
        <w:t>Systolic BP (ap_hi) dominates on clinical data (mean |SHAP|=0.848), compared to Age in BRFSS (0.764). When BP is measured precisely rather than recorded as a binary flag, it becomes the single strongest predictor.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shap_rank</w:t>
            </w:r>
          </w:p>
        </w:tc>
        <w:tc>
          <w:tcPr>
            <w:tcW w:type="dxa" w:w="1881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mean_abs_shap</w:t>
            </w:r>
          </w:p>
        </w:tc>
        <w:tc>
          <w:tcPr>
            <w:tcW w:type="dxa" w:w="1881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lime_rank</w:t>
            </w:r>
          </w:p>
        </w:tc>
        <w:tc>
          <w:tcPr>
            <w:tcW w:type="dxa" w:w="1881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mean_abs_lime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ap_hi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0.8484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0.3059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0.2834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0.0911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cholesterol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0.2487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0.1909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0.09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0.0225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ap_lo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0.0862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0.0613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weight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0.0624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0.0306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active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0.0611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gluc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0.0449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0.0165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height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0.0361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0.0137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smoke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0.0247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0.0383</w:t>
            </w:r>
          </w:p>
        </w:tc>
      </w:tr>
      <w:tr>
        <w:tc>
          <w:tcPr>
            <w:tcW w:type="dxa" w:w="1881"/>
            <w:shd w:val="clear" w:color="auto" w:fill="FFFFFF"/>
            <w:tcW w:w="2304" w:type="dxa"/>
          </w:tcPr>
          <w:p>
            <w:r>
              <w:rPr>
                <w:rFonts w:ascii="Arial" w:hAnsi="Arial"/>
                <w:sz w:val="16"/>
              </w:rPr>
              <w:t>alco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0.0211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881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0.0689</w:t>
            </w:r>
          </w:p>
        </w:tc>
      </w:tr>
      <w:tr>
        <w:tc>
          <w:tcPr>
            <w:tcW w:type="dxa" w:w="1881"/>
            <w:shd w:val="clear" w:color="auto" w:fill="F2F2F2"/>
            <w:tcW w:w="2304" w:type="dxa"/>
          </w:tcPr>
          <w:p>
            <w:r>
              <w:rPr>
                <w:rFonts w:ascii="Arial" w:hAnsi="Arial"/>
                <w:sz w:val="16"/>
              </w:rPr>
              <w:t>gender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0.0163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881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0.0177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53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glob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2. SHAP global feature importance. ap_hi (systolic BP) dominates with 3x the importance of age (rank 2). Gender ranks last — confirming sex differences are measurement artefacts in survey data rather than biological signals.</w:t>
      </w:r>
    </w:p>
    <w:p>
      <w:pPr>
        <w:pStyle w:val="Heading2"/>
      </w:pPr>
      <w:r>
        <w:rPr>
          <w:rFonts w:ascii="Arial" w:hAnsi="Arial"/>
          <w:color w:val="2E75B6"/>
        </w:rPr>
        <w:t>3.2 SHAP Interaction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08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inte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3. Pairwise SHAP interaction heatmap. ap_hi × ap_lo (systolic × diastolic BP) shows the strongest interaction — the joint effect of both BP readings exceeds either alone. ap_hi × age is the second strongest, consistent with age-dependent hypertension risk.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4. SHAP–LIME Consistency — Cross-Domain Comparison</w:t>
      </w:r>
    </w:p>
    <w:p>
      <w:r>
        <w:rPr>
          <w:rFonts w:ascii="Arial" w:hAnsi="Arial"/>
          <w:b w:val="0"/>
          <w:i w:val="0"/>
          <w:sz w:val="20"/>
        </w:rPr>
        <w:t>The consistency paradox: lower global rank correlation but perfect top-3 agreement on clinical data vs BRFSS.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2020</w:t>
            </w:r>
          </w:p>
        </w:tc>
        <w:tc>
          <w:tcPr>
            <w:tcW w:type="dxa" w:w="1881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Kendall-τ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0.394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0.743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0.743*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Lower on clinical data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p-value (τ)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0.0863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&lt; 0.0001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&lt; 0.0001</w:t>
            </w:r>
          </w:p>
        </w:tc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NOT significant on Cardio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Spearman-ρ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0.559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0.895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0.895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Weaker on clinical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Jaccard@3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0.5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0.500</w:t>
            </w:r>
          </w:p>
        </w:tc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PERFECT on Cardio</w:t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Jaccard@5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Same as BRFSS</w:t>
            </w:r>
          </w:p>
        </w:tc>
      </w:tr>
      <w:tr>
        <w:tc>
          <w:tcPr>
            <w:tcW w:type="dxa" w:w="1881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SHAP top-3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cholesterol, age, ap_hi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Age, GenHlth, HighBP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Age, GenHlth, HighBP</w:t>
            </w:r>
          </w:p>
        </w:tc>
        <w:tc>
          <w:tcPr>
            <w:tcW w:type="dxa" w:w="1881"/>
            <w:shd w:val="clear" w:color="auto" w:fill="F2F2F2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LIME top-3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cholesterol, age, ap_hi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Age, GenHlth, Stroke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Age, GenHlth, Stroke</w:t>
            </w:r>
          </w:p>
        </w:tc>
        <w:tc>
          <w:tcPr>
            <w:tcW w:type="dxa" w:w="1881"/>
            <w:shd w:val="clear" w:color="auto" w:fill="FFFFFF"/>
            <w:tcW w:w="3600" w:type="dxa"/>
          </w:tcPr>
          <w:p>
            <w:r>
              <w:rPr>
                <w:rFonts w:ascii="Arial" w:hAnsi="Arial"/>
                <w:b w:val="0"/>
                <w:sz w:val="18"/>
              </w:rPr>
              <w:t>Stroke disagrees in BRFSS</w:t>
            </w:r>
          </w:p>
        </w:tc>
      </w:tr>
    </w:tbl>
    <w:p/>
    <w:p>
      <w:r>
        <w:rPr>
          <w:rFonts w:ascii="Arial" w:hAnsi="Arial"/>
          <w:b w:val="0"/>
          <w:i/>
          <w:color w:val="333333"/>
          <w:sz w:val="20"/>
        </w:rPr>
        <w:t>Key insight: On clinical data, SHAP and LIME perfectly agree on the 3 most important features (ap_hi, age, cholesterol) but disagree on ordering of near-zero features. On survey data, they broadly agree globally but diverge on which specific top features matter. This cross-domain inversion reveals that consistency metrics depend heavily on the signal-to-noise ratio of the feature set.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65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lime_ran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4. SHAP vs LIME rank scatter — Cardio dataset. Kendall-τ=0.394, Jaccard@3=1.0. Top-3 features cluster on the diagonal (perfect agreement), lower-ranked features scatter widely (noise-level disagreement).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5. Fairness Audit</w:t>
      </w:r>
    </w:p>
    <w:p>
      <w:r>
        <w:rPr>
          <w:rFonts w:ascii="Arial" w:hAnsi="Arial"/>
          <w:b w:val="0"/>
          <w:i w:val="0"/>
          <w:sz w:val="20"/>
        </w:rPr>
        <w:t>Evaluated at pt=0.50 (primary threshold for balanced dataset). pt=0.12 shown for cross-dataset comparison.</w:t>
      </w:r>
    </w:p>
    <w:p/>
    <w:p>
      <w:pPr>
        <w:pStyle w:val="Heading2"/>
      </w:pPr>
      <w:r>
        <w:rPr>
          <w:rFonts w:ascii="Arial" w:hAnsi="Arial"/>
          <w:color w:val="2E75B6"/>
        </w:rPr>
        <w:t>5.1 Gender Fairness</w:t>
      </w:r>
    </w:p>
    <w:p>
      <w:r>
        <w:rPr>
          <w:rFonts w:ascii="Arial" w:hAnsi="Arial"/>
          <w:b w:val="0"/>
          <w:i w:val="0"/>
          <w:sz w:val="20"/>
        </w:rPr>
        <w:t>Gender TPR gap collapses from 0.135 (BRFSS 2015) to 0.013 on clinical data. Female under-detection is a survey measurement artefact, not a biological signal.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568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568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  <w:tc>
          <w:tcPr>
            <w:tcW w:type="dxa" w:w="1568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label</w:t>
            </w:r>
          </w:p>
        </w:tc>
      </w:tr>
      <w:tr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8962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0.488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0.683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0.443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Female</w:t>
            </w:r>
          </w:p>
        </w:tc>
      </w:tr>
      <w:tr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4784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0.508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0.696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0.458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Male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5.2 Age Group Fairness</w:t>
      </w:r>
    </w:p>
    <w:p>
      <w:r>
        <w:rPr>
          <w:rFonts w:ascii="Arial" w:hAnsi="Arial"/>
          <w:b w:val="0"/>
          <w:i w:val="0"/>
          <w:sz w:val="20"/>
        </w:rPr>
        <w:t>Age TPR range: 0.554–0.767 (gap=0.213). Much smaller than BRFSS 2015 (0.890) because Cardio dataset contains no patients under 30 or over 65 — the extreme age groups that drive BRFSS disparities.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568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prevalence</w:t>
            </w:r>
          </w:p>
        </w:tc>
        <w:tc>
          <w:tcPr>
            <w:tcW w:type="dxa" w:w="1568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TPR</w:t>
            </w:r>
          </w:p>
        </w:tc>
        <w:tc>
          <w:tcPr>
            <w:tcW w:type="dxa" w:w="1568"/>
            <w:shd w:val="clear" w:color="auto" w:fill="2E75B6"/>
            <w:tcW w:w="216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selection_rate</w:t>
            </w:r>
          </w:p>
        </w:tc>
        <w:tc>
          <w:tcPr>
            <w:tcW w:type="dxa" w:w="1568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label</w:t>
            </w:r>
          </w:p>
        </w:tc>
      </w:tr>
      <w:tr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nan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&lt;35</w:t>
            </w:r>
          </w:p>
        </w:tc>
      </w:tr>
      <w:tr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2.0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2005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0.269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0.554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0.192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35-45</w:t>
            </w:r>
          </w:p>
        </w:tc>
      </w:tr>
      <w:tr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3.0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5597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0.442</w:t>
            </w:r>
          </w:p>
        </w:tc>
        <w:tc>
          <w:tcPr>
            <w:tcW w:type="dxa" w:w="1568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0.595</w:t>
            </w:r>
          </w:p>
        </w:tc>
        <w:tc>
          <w:tcPr>
            <w:tcW w:type="dxa" w:w="1568"/>
            <w:shd w:val="clear" w:color="auto" w:fill="FFFFFF"/>
            <w:tcW w:w="2160" w:type="dxa"/>
          </w:tcPr>
          <w:p>
            <w:r>
              <w:rPr>
                <w:rFonts w:ascii="Arial" w:hAnsi="Arial"/>
                <w:sz w:val="16"/>
              </w:rPr>
              <w:t>0.338</w:t>
            </w:r>
          </w:p>
        </w:tc>
        <w:tc>
          <w:tcPr>
            <w:tcW w:type="dxa" w:w="1568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45-55</w:t>
            </w:r>
          </w:p>
        </w:tc>
      </w:tr>
      <w:tr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4.0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6143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0.617</w:t>
            </w:r>
          </w:p>
        </w:tc>
        <w:tc>
          <w:tcPr>
            <w:tcW w:type="dxa" w:w="1568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0.767</w:t>
            </w:r>
          </w:p>
        </w:tc>
        <w:tc>
          <w:tcPr>
            <w:tcW w:type="dxa" w:w="1568"/>
            <w:shd w:val="clear" w:color="auto" w:fill="F2F2F2"/>
            <w:tcW w:w="2160" w:type="dxa"/>
          </w:tcPr>
          <w:p>
            <w:r>
              <w:rPr>
                <w:rFonts w:ascii="Arial" w:hAnsi="Arial"/>
                <w:sz w:val="16"/>
              </w:rPr>
              <w:t>0.632</w:t>
            </w:r>
          </w:p>
        </w:tc>
        <w:tc>
          <w:tcPr>
            <w:tcW w:type="dxa" w:w="1568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55-65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4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ir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5. Gender fairness (left): TPR gap=0.013 vs 0.135 in BRFSS. Age group fairness (right): TPR gap=0.213 vs 0.890 in BRFSS. Both disparities substantially reduced on clinical data.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6. Cross-Domain SHAP Rank Portability</w:t>
      </w:r>
    </w:p>
    <w:p>
      <w:r>
        <w:rPr>
          <w:rFonts w:ascii="Arial" w:hAnsi="Arial"/>
          <w:b w:val="0"/>
          <w:i w:val="0"/>
          <w:sz w:val="20"/>
        </w:rPr>
        <w:t>Seven features with conceptual equivalents across BRFSS and Cardio datasets. Blue = stable (±2 ranks), Red = major shift.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Cardio_feature</w:t>
            </w:r>
          </w:p>
        </w:tc>
        <w:tc>
          <w:tcPr>
            <w:tcW w:type="dxa" w:w="1176"/>
            <w:shd w:val="clear" w:color="auto" w:fill="2E75B6"/>
            <w:tcW w:w="2015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BRFSS_feature</w:t>
            </w:r>
          </w:p>
        </w:tc>
        <w:tc>
          <w:tcPr>
            <w:tcW w:type="dxa" w:w="1176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Cardio_rank</w:t>
            </w:r>
          </w:p>
        </w:tc>
        <w:tc>
          <w:tcPr>
            <w:tcW w:type="dxa" w:w="1176"/>
            <w:shd w:val="clear" w:color="auto" w:fill="2E75B6"/>
            <w:tcW w:w="1872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BRFSS2015_rank</w:t>
            </w:r>
          </w:p>
        </w:tc>
        <w:tc>
          <w:tcPr>
            <w:tcW w:type="dxa" w:w="1176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Cardio_shap</w:t>
            </w:r>
          </w:p>
        </w:tc>
        <w:tc>
          <w:tcPr>
            <w:tcW w:type="dxa" w:w="1176"/>
            <w:shd w:val="clear" w:color="auto" w:fill="2E75B6"/>
            <w:tcW w:w="1584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BRFSS_shap</w:t>
            </w:r>
          </w:p>
        </w:tc>
        <w:tc>
          <w:tcPr>
            <w:tcW w:type="dxa" w:w="1176"/>
            <w:shd w:val="clear" w:color="auto" w:fill="2E75B6"/>
            <w:tcW w:w="1440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rank_diff</w:t>
            </w:r>
          </w:p>
        </w:tc>
        <w:tc>
          <w:tcPr>
            <w:tcW w:type="dxa" w:w="1176"/>
            <w:shd w:val="clear" w:color="auto" w:fill="2E75B6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stable</w:t>
            </w:r>
          </w:p>
        </w:tc>
      </w:tr>
      <w:tr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176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Age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0.283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0.764</w:t>
            </w:r>
          </w:p>
        </w:tc>
        <w:tc>
          <w:tcPr>
            <w:tcW w:type="dxa" w:w="1176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76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Stable (±2)</w:t>
            </w:r>
          </w:p>
        </w:tc>
      </w:tr>
      <w:tr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gender</w:t>
            </w:r>
          </w:p>
        </w:tc>
        <w:tc>
          <w:tcPr>
            <w:tcW w:type="dxa" w:w="1176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Sex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0.016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0.355</w:t>
            </w:r>
          </w:p>
        </w:tc>
        <w:tc>
          <w:tcPr>
            <w:tcW w:type="dxa" w:w="1176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176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Major shift</w:t>
            </w:r>
          </w:p>
        </w:tc>
      </w:tr>
      <w:tr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1176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BMI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0.09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0.064</w:t>
            </w:r>
          </w:p>
        </w:tc>
        <w:tc>
          <w:tcPr>
            <w:tcW w:type="dxa" w:w="1176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-8</w:t>
            </w:r>
          </w:p>
        </w:tc>
        <w:tc>
          <w:tcPr>
            <w:tcW w:type="dxa" w:w="1176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Major shift</w:t>
            </w:r>
          </w:p>
        </w:tc>
      </w:tr>
      <w:tr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smoke</w:t>
            </w:r>
          </w:p>
        </w:tc>
        <w:tc>
          <w:tcPr>
            <w:tcW w:type="dxa" w:w="1176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Smoker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0.025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0.184</w:t>
            </w:r>
          </w:p>
        </w:tc>
        <w:tc>
          <w:tcPr>
            <w:tcW w:type="dxa" w:w="1176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76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Major shift</w:t>
            </w:r>
          </w:p>
        </w:tc>
      </w:tr>
      <w:tr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gluc</w:t>
            </w:r>
          </w:p>
        </w:tc>
        <w:tc>
          <w:tcPr>
            <w:tcW w:type="dxa" w:w="1176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Diabetes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0.045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0.106</w:t>
            </w:r>
          </w:p>
        </w:tc>
        <w:tc>
          <w:tcPr>
            <w:tcW w:type="dxa" w:w="1176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-2</w:t>
            </w:r>
          </w:p>
        </w:tc>
        <w:tc>
          <w:tcPr>
            <w:tcW w:type="dxa" w:w="1176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Stable (±2)</w:t>
            </w:r>
          </w:p>
        </w:tc>
      </w:tr>
      <w:tr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ap_hi</w:t>
            </w:r>
          </w:p>
        </w:tc>
        <w:tc>
          <w:tcPr>
            <w:tcW w:type="dxa" w:w="1176"/>
            <w:shd w:val="clear" w:color="auto" w:fill="F2F2F2"/>
            <w:tcW w:w="2015" w:type="dxa"/>
          </w:tcPr>
          <w:p>
            <w:r>
              <w:rPr>
                <w:rFonts w:ascii="Arial" w:hAnsi="Arial"/>
                <w:sz w:val="16"/>
              </w:rPr>
              <w:t>HighBP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76"/>
            <w:shd w:val="clear" w:color="auto" w:fill="F2F2F2"/>
            <w:tcW w:w="1872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0.848</w:t>
            </w:r>
          </w:p>
        </w:tc>
        <w:tc>
          <w:tcPr>
            <w:tcW w:type="dxa" w:w="1176"/>
            <w:shd w:val="clear" w:color="auto" w:fill="F2F2F2"/>
            <w:tcW w:w="1584" w:type="dxa"/>
          </w:tcPr>
          <w:p>
            <w:r>
              <w:rPr>
                <w:rFonts w:ascii="Arial" w:hAnsi="Arial"/>
                <w:sz w:val="16"/>
              </w:rPr>
              <w:t>0.474</w:t>
            </w:r>
          </w:p>
        </w:tc>
        <w:tc>
          <w:tcPr>
            <w:tcW w:type="dxa" w:w="1176"/>
            <w:shd w:val="clear" w:color="auto" w:fill="F2F2F2"/>
            <w:tcW w:w="1440" w:type="dxa"/>
          </w:tcPr>
          <w:p>
            <w:r>
              <w:rPr>
                <w:rFonts w:ascii="Arial" w:hAnsi="Arial"/>
                <w:sz w:val="16"/>
              </w:rPr>
              <w:t>-2</w:t>
            </w:r>
          </w:p>
        </w:tc>
        <w:tc>
          <w:tcPr>
            <w:tcW w:type="dxa" w:w="1176"/>
            <w:shd w:val="clear" w:color="auto" w:fill="F2F2F2"/>
            <w:tcW w:w="1728" w:type="dxa"/>
          </w:tcPr>
          <w:p>
            <w:r>
              <w:rPr>
                <w:rFonts w:ascii="Arial" w:hAnsi="Arial"/>
                <w:sz w:val="16"/>
              </w:rPr>
              <w:t>Stable (±2)</w:t>
            </w:r>
          </w:p>
        </w:tc>
      </w:tr>
      <w:tr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cholesterol</w:t>
            </w:r>
          </w:p>
        </w:tc>
        <w:tc>
          <w:tcPr>
            <w:tcW w:type="dxa" w:w="1176"/>
            <w:shd w:val="clear" w:color="auto" w:fill="FFFFFF"/>
            <w:tcW w:w="2015" w:type="dxa"/>
          </w:tcPr>
          <w:p>
            <w:r>
              <w:rPr>
                <w:rFonts w:ascii="Arial" w:hAnsi="Arial"/>
                <w:sz w:val="16"/>
              </w:rPr>
              <w:t>HighChol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76"/>
            <w:shd w:val="clear" w:color="auto" w:fill="FFFFFF"/>
            <w:tcW w:w="1872" w:type="dxa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0.249</w:t>
            </w:r>
          </w:p>
        </w:tc>
        <w:tc>
          <w:tcPr>
            <w:tcW w:type="dxa" w:w="1176"/>
            <w:shd w:val="clear" w:color="auto" w:fill="FFFFFF"/>
            <w:tcW w:w="1584" w:type="dxa"/>
          </w:tcPr>
          <w:p>
            <w:r>
              <w:rPr>
                <w:rFonts w:ascii="Arial" w:hAnsi="Arial"/>
                <w:sz w:val="16"/>
              </w:rPr>
              <w:t>0.322</w:t>
            </w:r>
          </w:p>
        </w:tc>
        <w:tc>
          <w:tcPr>
            <w:tcW w:type="dxa" w:w="1176"/>
            <w:shd w:val="clear" w:color="auto" w:fill="FFFFFF"/>
            <w:tcW w:w="1440" w:type="dxa"/>
          </w:tcPr>
          <w:p>
            <w:r>
              <w:rPr>
                <w:rFonts w:ascii="Arial" w:hAnsi="Arial"/>
                <w:sz w:val="16"/>
              </w:rPr>
              <w:t>-2</w:t>
            </w:r>
          </w:p>
        </w:tc>
        <w:tc>
          <w:tcPr>
            <w:tcW w:type="dxa" w:w="1176"/>
            <w:shd w:val="clear" w:color="auto" w:fill="FFFFFF"/>
            <w:tcW w:w="1728" w:type="dxa"/>
          </w:tcPr>
          <w:p>
            <w:r>
              <w:rPr>
                <w:rFonts w:ascii="Arial" w:hAnsi="Arial"/>
                <w:sz w:val="16"/>
              </w:rPr>
              <w:t>Stable (±2)</w:t>
            </w:r>
          </w:p>
        </w:tc>
      </w:tr>
    </w:tbl>
    <w:p/>
    <w:p>
      <w:r>
        <w:rPr>
          <w:rFonts w:ascii="Arial" w:hAnsi="Arial"/>
          <w:b/>
          <w:i w:val="0"/>
          <w:sz w:val="20"/>
        </w:rPr>
        <w:t>Portable features (shift ≤2):</w:t>
      </w:r>
    </w:p>
    <w:p>
      <w:r>
        <w:rPr>
          <w:rFonts w:ascii="Arial" w:hAnsi="Arial"/>
          <w:b w:val="0"/>
          <w:i w:val="0"/>
          <w:color w:val="1B5E20"/>
          <w:sz w:val="20"/>
        </w:rPr>
        <w:t>Age (1→2), systolic BP / HighBP (3→1), cholesterol / HighChol (5→3), glucose / Diabetes (10→8). These represent the instrument-independent core CVD risk factors. They rank consistently whether measured precisely (clinical) or approximated via self-report (survey).</w:t>
      </w:r>
    </w:p>
    <w:p/>
    <w:p>
      <w:r>
        <w:rPr>
          <w:rFonts w:ascii="Arial" w:hAnsi="Arial"/>
          <w:b/>
          <w:i w:val="0"/>
          <w:sz w:val="20"/>
        </w:rPr>
        <w:t>Non-portable features (shift &gt;2):</w:t>
      </w:r>
    </w:p>
    <w:p>
      <w:r>
        <w:rPr>
          <w:rFonts w:ascii="Arial" w:hAnsi="Arial"/>
          <w:b w:val="0"/>
          <w:i w:val="0"/>
          <w:color w:val="BF4600"/>
          <w:sz w:val="20"/>
        </w:rPr>
        <w:t>BMI jumps rank 12→4: measured BMI is far more informative than self-reported. Sex/gender drops rank 4→12: when clinical measurements replace survey responses, gender adds almost no independent information — directly explaining the sex fairness gap collapse.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35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port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Figure 6. Cross-domain SHAP rank portability slope graph. Blue lines = stable features (±2 ranks). Red lines = major shifts. Age, BP, and cholesterol are portable. BMI and gender are instrument-dependent.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7. Three-Dataset Performance &amp; Fairness Summary</w:t>
      </w:r>
    </w:p>
    <w:p>
      <w:r>
        <w:rPr>
          <w:rFonts w:ascii="Arial" w:hAnsi="Arial"/>
          <w:b w:val="0"/>
          <w:i w:val="0"/>
          <w:sz w:val="20"/>
        </w:rPr>
        <w:t>Complete cross-dataset comparison. All metrics at respective primary thresholds.</w:t>
      </w:r>
    </w:p>
    <w:p/>
    <w:p>
      <w:pPr>
        <w:pStyle w:val="Heading2"/>
      </w:pPr>
      <w:r>
        <w:rPr>
          <w:rFonts w:ascii="Arial" w:hAnsi="Arial"/>
          <w:color w:val="2E75B6"/>
        </w:rPr>
        <w:t>7.1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2020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AUC-ROC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0.8068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AUPRC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0.371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0.3524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0.7887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Brier Score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0.071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0.0663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0.1799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ECE post-calibration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0.012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0.0122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0.026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Sensitivity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0.7319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0.6874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Specificity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0.772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0.7845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0.7864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MLP standalone AUC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0.850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0.8403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0.8047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7.2 SHAP–LIME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tcW w:w="3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2020 (est.)</w:t>
            </w:r>
          </w:p>
        </w:tc>
        <w:tc>
          <w:tcPr>
            <w:tcW w:type="dxa" w:w="2351"/>
            <w:shd w:val="clear" w:color="auto" w:fill="1F4E79"/>
            <w:tcW w:w="2304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Kendall-τ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0.743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0.394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Spearman-ρ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0.895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0.559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Jaccard@3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0.5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Jaccard@5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0.667</w:t>
            </w:r>
          </w:p>
        </w:tc>
      </w:tr>
      <w:tr>
        <w:tc>
          <w:tcPr>
            <w:tcW w:type="dxa" w:w="2351"/>
            <w:shd w:val="clear" w:color="auto" w:fill="FFFFFF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SHAP rank 1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Age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AgeCategory</w:t>
            </w:r>
          </w:p>
        </w:tc>
        <w:tc>
          <w:tcPr>
            <w:tcW w:type="dxa" w:w="2351"/>
            <w:shd w:val="clear" w:color="auto" w:fill="FFFFFF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ap_hi (systolic BP)</w:t>
            </w:r>
          </w:p>
        </w:tc>
      </w:tr>
      <w:tr>
        <w:tc>
          <w:tcPr>
            <w:tcW w:type="dxa" w:w="2351"/>
            <w:shd w:val="clear" w:color="auto" w:fill="F2F2F2"/>
            <w:tcW w:w="3600" w:type="dxa"/>
          </w:tcPr>
          <w:p>
            <w:r>
              <w:rPr>
                <w:rFonts w:ascii="Arial" w:hAnsi="Arial"/>
                <w:b/>
                <w:sz w:val="18"/>
              </w:rPr>
              <w:t>p-value significant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2351"/>
            <w:shd w:val="clear" w:color="auto" w:fill="F2F2F2"/>
            <w:tcW w:w="2304" w:type="dxa"/>
          </w:tcPr>
          <w:p>
            <w:r>
              <w:rPr>
                <w:rFonts w:ascii="Arial" w:hAnsi="Arial"/>
                <w:b w:val="0"/>
                <w:sz w:val="18"/>
              </w:rPr>
              <w:t>No (p=0.087)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75B6"/>
        </w:rPr>
        <w:t>7.3 Fairness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tcW w:w="288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Fairness Metric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2015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BRFSS 2020</w:t>
            </w:r>
          </w:p>
        </w:tc>
        <w:tc>
          <w:tcPr>
            <w:tcW w:type="dxa" w:w="1881"/>
            <w:shd w:val="clear" w:color="auto" w:fill="1F4E79"/>
            <w:tcW w:w="172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Cardio</w:t>
            </w:r>
          </w:p>
        </w:tc>
        <w:tc>
          <w:tcPr>
            <w:tcW w:type="dxa" w:w="1881"/>
            <w:shd w:val="clear" w:color="auto" w:fill="1F4E79"/>
            <w:tcW w:w="3456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Sex/Gender TPR gap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0.135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0.163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0.013</w:t>
            </w:r>
          </w:p>
        </w:tc>
        <w:tc>
          <w:tcPr>
            <w:tcW w:type="dxa" w:w="1881"/>
            <w:shd w:val="clear" w:color="auto" w:fill="FFFFFF"/>
            <w:tcW w:w="3456" w:type="dxa"/>
          </w:tcPr>
          <w:p>
            <w:r>
              <w:rPr>
                <w:rFonts w:ascii="Arial" w:hAnsi="Arial"/>
                <w:b w:val="0"/>
                <w:sz w:val="18"/>
              </w:rPr>
              <w:t>Collapses on clinical data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Age TPR range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0.000–0.890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0.074–0.911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0.554–0.767</w:t>
            </w:r>
          </w:p>
        </w:tc>
        <w:tc>
          <w:tcPr>
            <w:tcW w:type="dxa" w:w="1881"/>
            <w:shd w:val="clear" w:color="auto" w:fill="F2F2F2"/>
            <w:tcW w:w="3456" w:type="dxa"/>
          </w:tcPr>
          <w:p>
            <w:r>
              <w:rPr>
                <w:rFonts w:ascii="Arial" w:hAnsi="Arial"/>
                <w:b w:val="0"/>
                <w:sz w:val="18"/>
              </w:rPr>
              <w:t>No young adults in Cardio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Race TPR gap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0.189 (retrained)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1881"/>
            <w:shd w:val="clear" w:color="auto" w:fill="FFFFFF"/>
            <w:tcW w:w="3456" w:type="dxa"/>
          </w:tcPr>
          <w:p>
            <w:r>
              <w:rPr>
                <w:rFonts w:ascii="Arial" w:hAnsi="Arial"/>
                <w:b w:val="0"/>
                <w:sz w:val="18"/>
              </w:rPr>
              <w:t>Only available in BRFSS 2020</w:t>
            </w:r>
          </w:p>
        </w:tc>
      </w:tr>
      <w:tr>
        <w:tc>
          <w:tcPr>
            <w:tcW w:type="dxa" w:w="1881"/>
            <w:shd w:val="clear" w:color="auto" w:fill="F2F2F2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Dominant feature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AgeCategory</w:t>
            </w:r>
          </w:p>
        </w:tc>
        <w:tc>
          <w:tcPr>
            <w:tcW w:type="dxa" w:w="1881"/>
            <w:shd w:val="clear" w:color="auto" w:fill="F2F2F2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ap_hi</w:t>
            </w:r>
          </w:p>
        </w:tc>
        <w:tc>
          <w:tcPr>
            <w:tcW w:type="dxa" w:w="1881"/>
            <w:shd w:val="clear" w:color="auto" w:fill="F2F2F2"/>
            <w:tcW w:w="3456" w:type="dxa"/>
          </w:tcPr>
          <w:p>
            <w:r>
              <w:rPr>
                <w:rFonts w:ascii="Arial" w:hAnsi="Arial"/>
                <w:b w:val="0"/>
                <w:sz w:val="18"/>
              </w:rPr>
              <w:t>Instrument-dependent</w:t>
            </w:r>
          </w:p>
        </w:tc>
      </w:tr>
      <w:tr>
        <w:tc>
          <w:tcPr>
            <w:tcW w:type="dxa" w:w="1881"/>
            <w:shd w:val="clear" w:color="auto" w:fill="FFFFFF"/>
            <w:tcW w:w="2880" w:type="dxa"/>
          </w:tcPr>
          <w:p>
            <w:r>
              <w:rPr>
                <w:rFonts w:ascii="Arial" w:hAnsi="Arial"/>
                <w:b/>
                <w:sz w:val="18"/>
              </w:rPr>
              <w:t>Female under-detect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  <w:tc>
          <w:tcPr>
            <w:tcW w:type="dxa" w:w="1881"/>
            <w:shd w:val="clear" w:color="auto" w:fill="FFFFFF"/>
            <w:tcW w:w="1728" w:type="dxa"/>
          </w:tcPr>
          <w:p>
            <w:r>
              <w:rPr>
                <w:rFonts w:ascii="Arial" w:hAnsi="Arial"/>
                <w:b w:val="0"/>
                <w:sz w:val="18"/>
              </w:rPr>
              <w:t>No (gap=0.013)</w:t>
            </w:r>
          </w:p>
        </w:tc>
        <w:tc>
          <w:tcPr>
            <w:tcW w:type="dxa" w:w="1881"/>
            <w:shd w:val="clear" w:color="auto" w:fill="FFFFFF"/>
            <w:tcW w:w="3456" w:type="dxa"/>
          </w:tcPr>
          <w:p>
            <w:r>
              <w:rPr>
                <w:rFonts w:ascii="Arial" w:hAnsi="Arial"/>
                <w:b w:val="0"/>
                <w:sz w:val="18"/>
              </w:rPr>
              <w:t>Survey artefact confirmed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8. Key Findings Summary — NB03 (F23–F30)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  <w:tcW w:w="2592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3"/>
            <w:shd w:val="clear" w:color="auto" w:fill="1F4E79"/>
            <w:tcW w:w="6768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F23 — AUC cross-domain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AUC=0.8068 on Cardio vs 0.850 BRFSS. Clinical exam data is harder to classify despite objective measurements. Self-reported survey data gives higher AUC because extreme cases dominate the signal.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F24 — ECE paradox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Raw stack ECE=0.0194 on balanced Cardio data without calibration. Platt scaling slightly worsens it (0.026). Calibration need is dataset-dependent — essential for BRFSS (ECE=0.252→0.012) but minimal for balanced clinical data.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F25 — ap_hi dominates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Systolic BP ranks 1st on clinical data (mean |SHAP|=0.848) vs binary HighBP rank 3rd on BRFSS (0.474). Precise measurement reveals BP as the single strongest CVD predictor when noise is removed.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F26 — SHAP–LIME inversion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Kendall-τ=0.394 (p=0.087, not significant) but Jaccard@3=1.000 (perfect top-3 agreement). Opposite of BRFSS (τ=0.743 significant, Jaccard=0.500). Agreement on important features but noise-level disagreement on lower-ranked features.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F27 — Gender gap collapses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Sex TPR gap=0.013 on Cardio vs 0.135–0.163 on BRFSS. Female under-detection disappears when clinical measurements replace self-reported data. Confirms sex disparity in BRFSS is a measurement artefact.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F28 — Age gap smaller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Age TPR gap=0.213 on Cardio vs 0.890 BRFSS. Cardio dataset has no patients &lt;30 or &gt;65, removing the extreme age groups that drive BRFSS disparities.</w:t>
            </w:r>
          </w:p>
        </w:tc>
      </w:tr>
      <w:tr>
        <w:tc>
          <w:tcPr>
            <w:tcW w:type="dxa" w:w="4703"/>
            <w:shd w:val="clear" w:color="auto" w:fill="FFFFFF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F29 — BMI portability failure</w:t>
            </w:r>
          </w:p>
        </w:tc>
        <w:tc>
          <w:tcPr>
            <w:tcW w:type="dxa" w:w="4703"/>
            <w:shd w:val="clear" w:color="auto" w:fill="FFFFFF"/>
            <w:tcW w:w="6768" w:type="dxa"/>
          </w:tcPr>
          <w:p>
            <w:r>
              <w:rPr>
                <w:rFonts w:ascii="Arial" w:hAnsi="Arial"/>
                <w:sz w:val="18"/>
              </w:rPr>
              <w:t>BMI rank 12→4 from BRFSS to Cardio. Measured BMI is 8 ranks more important than self-reported BMI. Measurement precision fundamentally changes feature importance.</w:t>
            </w:r>
          </w:p>
        </w:tc>
      </w:tr>
      <w:tr>
        <w:tc>
          <w:tcPr>
            <w:tcW w:type="dxa" w:w="4703"/>
            <w:shd w:val="clear" w:color="auto" w:fill="F2F2F2"/>
            <w:tcW w:w="2592" w:type="dxa"/>
          </w:tcPr>
          <w:p>
            <w:r>
              <w:rPr>
                <w:rFonts w:ascii="Arial" w:hAnsi="Arial"/>
                <w:b/>
                <w:sz w:val="18"/>
              </w:rPr>
              <w:t>F30 — Sex portability failure</w:t>
            </w:r>
          </w:p>
        </w:tc>
        <w:tc>
          <w:tcPr>
            <w:tcW w:type="dxa" w:w="4703"/>
            <w:shd w:val="clear" w:color="auto" w:fill="F2F2F2"/>
            <w:tcW w:w="6768" w:type="dxa"/>
          </w:tcPr>
          <w:p>
            <w:r>
              <w:rPr>
                <w:rFonts w:ascii="Arial" w:hAnsi="Arial"/>
                <w:sz w:val="18"/>
              </w:rPr>
              <w:t>Gender rank 4→12 from BRFSS to Cardio. When clinical measurements are available, gender provides almost no independent predictive information. Directly explains F27.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9. Next Steps</w:t>
      </w:r>
    </w:p>
    <w:p>
      <w:pPr>
        <w:pStyle w:val="ListBullet"/>
      </w:pPr>
      <w:r>
        <w:rPr>
          <w:rFonts w:ascii="Arial" w:hAnsi="Arial"/>
          <w:b/>
        </w:rPr>
        <w:t xml:space="preserve">NB04 — Cross-Dataset Aggregation: </w:t>
      </w:r>
      <w:r>
        <w:rPr>
          <w:rFonts w:ascii="Arial" w:hAnsi="Arial"/>
          <w:sz w:val="20"/>
        </w:rPr>
        <w:t>Load F1–F30 from all three results docs. Generate master comparison tables. Temporal drift visualisation. Three-dataset Pareto frontier comparison.</w:t>
      </w:r>
    </w:p>
    <w:p>
      <w:pPr>
        <w:pStyle w:val="ListBullet"/>
      </w:pPr>
      <w:r>
        <w:rPr>
          <w:rFonts w:ascii="Arial" w:hAnsi="Arial"/>
          <w:b/>
        </w:rPr>
        <w:t xml:space="preserve">Paper §V — Results: </w:t>
      </w:r>
      <w:r>
        <w:rPr>
          <w:rFonts w:ascii="Arial" w:hAnsi="Arial"/>
          <w:sz w:val="20"/>
        </w:rPr>
        <w:t>F1–F12 → BRFSS 2015 subsection. F13–F22 → BRFSS 2020 subsection. F23–F30 → Cardio subsection.</w:t>
      </w:r>
    </w:p>
    <w:p>
      <w:pPr>
        <w:pStyle w:val="ListBullet"/>
      </w:pPr>
      <w:r>
        <w:rPr>
          <w:rFonts w:ascii="Arial" w:hAnsi="Arial"/>
          <w:b/>
        </w:rPr>
        <w:t xml:space="preserve">Paper §VI — Cross-Domain Analysis: </w:t>
      </w:r>
      <w:r>
        <w:rPr>
          <w:rFonts w:ascii="Arial" w:hAnsi="Arial"/>
          <w:sz w:val="20"/>
        </w:rPr>
        <w:t>Three-dataset performance table. SHAP stability. Sex fairness narrative (survey artefact finding). Portability analysis. Temporal transport implications.</w:t>
      </w:r>
    </w:p>
    <w:p>
      <w:pPr>
        <w:pStyle w:val="ListBullet"/>
      </w:pPr>
      <w:r>
        <w:rPr>
          <w:rFonts w:ascii="Arial" w:hAnsi="Arial"/>
          <w:b/>
        </w:rPr>
        <w:t xml:space="preserve">Paper §VII — Discussion: </w:t>
      </w:r>
      <w:r>
        <w:rPr>
          <w:rFonts w:ascii="Arial" w:hAnsi="Arial"/>
          <w:sz w:val="20"/>
        </w:rPr>
        <w:t>Clinical implications of sex artefact finding. Retraining cadence recommendation from temporal transport. When Platt scaling helps vs hurts. Limitations: no young adults in Cardio, no race in Cardio.</w:t>
      </w:r>
    </w:p>
    <w:p/>
    <w:p>
      <w:pPr>
        <w:jc w:val="center"/>
      </w:pPr>
      <w:r>
        <w:rPr>
          <w:rFonts w:ascii="Arial" w:hAnsi="Arial"/>
          <w:i/>
          <w:color w:val="888888"/>
          <w:sz w:val="16"/>
        </w:rPr>
        <w:t>Generated June 2026  •  github.com/anasbiswas1/exheart-research  •  NB03 Complete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