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EXHEART — Cross-Dataset Master Results Report</w:t>
      </w:r>
    </w:p>
    <w:p/>
    <w:p>
      <w:pPr>
        <w:jc w:val="center"/>
      </w:pPr>
      <w:r>
        <w:rPr>
          <w:rFonts w:ascii="Arial" w:hAnsi="Arial"/>
          <w:i/>
          <w:color w:val="555555"/>
          <w:sz w:val="24"/>
        </w:rPr>
        <w:t>Notebook 04 | Complete Aggregation of F1–F30 Findings</w:t>
      </w:r>
    </w:p>
    <w:p/>
    <w:p>
      <w:pPr>
        <w:jc w:val="center"/>
      </w:pPr>
      <w:r>
        <w:rPr>
          <w:rFonts w:ascii="Arial" w:hAnsi="Arial"/>
          <w:i/>
          <w:color w:val="777777"/>
          <w:sz w:val="20"/>
        </w:rPr>
        <w:t>Md Anas Biswas  |  University of Portsmouth  |  June 2026</w:t>
      </w:r>
    </w:p>
    <w:p/>
    <w:p>
      <w:pPr>
        <w:jc w:val="center"/>
      </w:pPr>
      <w:r>
        <w:rPr>
          <w:rFonts w:ascii="Arial" w:hAnsi="Arial"/>
          <w:color w:val="2E75B6"/>
          <w:sz w:val="20"/>
        </w:rPr>
        <w:t>github.com/anasbiswas1/exheart-research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Master Performance Comparison</w:t>
      </w:r>
    </w:p>
    <w:p>
      <w:r>
        <w:rPr>
          <w:rFonts w:ascii="Arial" w:hAnsi="Arial"/>
          <w:b w:val="0"/>
          <w:i w:val="0"/>
          <w:sz w:val="20"/>
        </w:rPr>
        <w:t>All experimental conditions. BRFSS thresholds at pt=0.12; Cardio at pt=0.50 (balanced dataset). Transport = frozen 2015 model on 2020 data.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2E75B6"/>
            <w:tcW w:w="316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784"/>
            <w:shd w:val="clear" w:color="auto" w:fill="2E75B6"/>
            <w:tcW w:w="115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n_test</w:t>
            </w:r>
          </w:p>
        </w:tc>
        <w:tc>
          <w:tcPr>
            <w:tcW w:type="dxa" w:w="784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784"/>
            <w:shd w:val="clear" w:color="auto" w:fill="2E75B6"/>
            <w:tcW w:w="115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AUC_ROC</w:t>
            </w:r>
          </w:p>
        </w:tc>
        <w:tc>
          <w:tcPr>
            <w:tcW w:type="dxa" w:w="784"/>
            <w:shd w:val="clear" w:color="auto" w:fill="2E75B6"/>
            <w:tcW w:w="1007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AUPRC</w:t>
            </w:r>
          </w:p>
        </w:tc>
        <w:tc>
          <w:tcPr>
            <w:tcW w:type="dxa" w:w="784"/>
            <w:shd w:val="clear" w:color="auto" w:fill="2E75B6"/>
            <w:tcW w:w="1007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Brier</w:t>
            </w:r>
          </w:p>
        </w:tc>
        <w:tc>
          <w:tcPr>
            <w:tcW w:type="dxa" w:w="784"/>
            <w:shd w:val="clear" w:color="auto" w:fill="2E75B6"/>
            <w:tcW w:w="1007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ECE_pre</w:t>
            </w:r>
          </w:p>
        </w:tc>
        <w:tc>
          <w:tcPr>
            <w:tcW w:type="dxa" w:w="784"/>
            <w:shd w:val="clear" w:color="auto" w:fill="2E75B6"/>
            <w:tcW w:w="115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ECE_post</w:t>
            </w:r>
          </w:p>
        </w:tc>
        <w:tc>
          <w:tcPr>
            <w:tcW w:type="dxa" w:w="784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Sensitivity</w:t>
            </w:r>
          </w:p>
        </w:tc>
        <w:tc>
          <w:tcPr>
            <w:tcW w:type="dxa" w:w="784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Specificity</w:t>
            </w:r>
          </w:p>
        </w:tc>
        <w:tc>
          <w:tcPr>
            <w:tcW w:type="dxa" w:w="784"/>
            <w:shd w:val="clear" w:color="auto" w:fill="2E75B6"/>
            <w:tcW w:w="115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784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AUC_weighted</w:t>
            </w:r>
          </w:p>
        </w:tc>
      </w:tr>
      <w:tr>
        <w:tc>
          <w:tcPr>
            <w:tcW w:type="dxa" w:w="784"/>
            <w:shd w:val="clear" w:color="auto" w:fill="FFFFFF"/>
            <w:tcW w:w="3168" w:type="dxa"/>
          </w:tcPr>
          <w:p>
            <w:r>
              <w:rPr>
                <w:rFonts w:ascii="Arial" w:hAnsi="Arial"/>
                <w:sz w:val="16"/>
              </w:rPr>
              <w:t>BRFSS 2015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50736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9.4%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0.85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0.371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0.071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0.252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0.012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0.77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0.772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pt=0.12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0.8599</w:t>
            </w:r>
          </w:p>
        </w:tc>
      </w:tr>
      <w:tr>
        <w:tc>
          <w:tcPr>
            <w:tcW w:type="dxa" w:w="784"/>
            <w:shd w:val="clear" w:color="auto" w:fill="F2F2F2"/>
            <w:tcW w:w="3168" w:type="dxa"/>
          </w:tcPr>
          <w:p>
            <w:r>
              <w:rPr>
                <w:rFonts w:ascii="Arial" w:hAnsi="Arial"/>
                <w:sz w:val="16"/>
              </w:rPr>
              <w:t>BRFSS 2020 (Transport)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319795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8.6%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0.7798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0.2274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0.0762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0.0508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0.2606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pt=0.12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</w:tr>
      <w:tr>
        <w:tc>
          <w:tcPr>
            <w:tcW w:type="dxa" w:w="784"/>
            <w:shd w:val="clear" w:color="auto" w:fill="FFFFFF"/>
            <w:tcW w:w="3168" w:type="dxa"/>
          </w:tcPr>
          <w:p>
            <w:r>
              <w:rPr>
                <w:rFonts w:ascii="Arial" w:hAnsi="Arial"/>
                <w:sz w:val="16"/>
              </w:rPr>
              <w:t>BRFSS 2020 (Retrained)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63959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8.6%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0.8403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0.3524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0.0663</w:t>
            </w:r>
          </w:p>
        </w:tc>
        <w:tc>
          <w:tcPr>
            <w:tcW w:type="dxa" w:w="784"/>
            <w:shd w:val="clear" w:color="auto" w:fill="FFFFFF"/>
            <w:tcW w:w="1007" w:type="dxa"/>
          </w:tcPr>
          <w:p>
            <w:r>
              <w:rPr>
                <w:rFonts w:ascii="Arial" w:hAnsi="Arial"/>
                <w:sz w:val="16"/>
              </w:rPr>
              <w:t>0.267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0.0122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0.7319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0.7845</w:t>
            </w:r>
          </w:p>
        </w:tc>
        <w:tc>
          <w:tcPr>
            <w:tcW w:type="dxa" w:w="784"/>
            <w:shd w:val="clear" w:color="auto" w:fill="FFFFFF"/>
            <w:tcW w:w="1152" w:type="dxa"/>
          </w:tcPr>
          <w:p>
            <w:r>
              <w:rPr>
                <w:rFonts w:ascii="Arial" w:hAnsi="Arial"/>
                <w:sz w:val="16"/>
              </w:rPr>
              <w:t>pt=0.12</w:t>
            </w:r>
          </w:p>
        </w:tc>
        <w:tc>
          <w:tcPr>
            <w:tcW w:type="dxa" w:w="784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</w:tr>
      <w:tr>
        <w:tc>
          <w:tcPr>
            <w:tcW w:type="dxa" w:w="784"/>
            <w:shd w:val="clear" w:color="auto" w:fill="F2F2F2"/>
            <w:tcW w:w="3168" w:type="dxa"/>
          </w:tcPr>
          <w:p>
            <w:r>
              <w:rPr>
                <w:rFonts w:ascii="Arial" w:hAnsi="Arial"/>
                <w:sz w:val="16"/>
              </w:rPr>
              <w:t>Cardio (Clinical)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13746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49.5%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0.8068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0.7887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0.1799</w:t>
            </w:r>
          </w:p>
        </w:tc>
        <w:tc>
          <w:tcPr>
            <w:tcW w:type="dxa" w:w="784"/>
            <w:shd w:val="clear" w:color="auto" w:fill="F2F2F2"/>
            <w:tcW w:w="1007" w:type="dxa"/>
          </w:tcPr>
          <w:p>
            <w:r>
              <w:rPr>
                <w:rFonts w:ascii="Arial" w:hAnsi="Arial"/>
                <w:sz w:val="16"/>
              </w:rPr>
              <w:t>0.0194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0.026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0.6874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0.7864</w:t>
            </w:r>
          </w:p>
        </w:tc>
        <w:tc>
          <w:tcPr>
            <w:tcW w:type="dxa" w:w="784"/>
            <w:shd w:val="clear" w:color="auto" w:fill="F2F2F2"/>
            <w:tcW w:w="1152" w:type="dxa"/>
          </w:tcPr>
          <w:p>
            <w:r>
              <w:rPr>
                <w:rFonts w:ascii="Arial" w:hAnsi="Arial"/>
                <w:sz w:val="16"/>
              </w:rPr>
              <w:t>pt=0.50</w:t>
            </w:r>
          </w:p>
        </w:tc>
        <w:tc>
          <w:tcPr>
            <w:tcW w:type="dxa" w:w="784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</w:tr>
    </w:tbl>
    <w:p/>
    <w:p>
      <w:r>
        <w:rPr>
          <w:rFonts w:ascii="Arial" w:hAnsi="Arial"/>
          <w:b/>
          <w:i w:val="0"/>
          <w:sz w:val="20"/>
        </w:rPr>
        <w:t>Key observations:</w:t>
      </w:r>
    </w:p>
    <w:p>
      <w:r>
        <w:rPr>
          <w:rFonts w:ascii="Arial" w:hAnsi="Arial"/>
          <w:b w:val="0"/>
          <w:i w:val="0"/>
          <w:color w:val="222222"/>
          <w:sz w:val="20"/>
        </w:rPr>
        <w:t>•  AUC is consistent across BRFSS datasets (0.840–0.850) and lower on clinical data (0.807), suggesting survey-based CVD prediction is structurally easier due to extreme-case dominance.</w:t>
      </w:r>
    </w:p>
    <w:p>
      <w:r>
        <w:rPr>
          <w:rFonts w:ascii="Arial" w:hAnsi="Arial"/>
          <w:b w:val="0"/>
          <w:i w:val="0"/>
          <w:color w:val="222222"/>
          <w:sz w:val="20"/>
        </w:rPr>
        <w:t>•  Platt calibration is essential for BRFSS (ECE 0.252→0.012) but marginally harmful for balanced clinical data (0.019→0.026).</w:t>
      </w:r>
    </w:p>
    <w:p>
      <w:r>
        <w:rPr>
          <w:rFonts w:ascii="Arial" w:hAnsi="Arial"/>
          <w:b w:val="0"/>
          <w:i w:val="0"/>
          <w:color w:val="222222"/>
          <w:sz w:val="20"/>
        </w:rPr>
        <w:t>•  Temporal transport causes catastrophic sensitivity collapse (0.770→0.261) despite moderate AUC preservation (0.850→0.780).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2. Temporal Drift Analysis</w:t>
      </w:r>
    </w:p>
    <w:p>
      <w:r>
        <w:rPr>
          <w:rFonts w:ascii="Arial" w:hAnsi="Arial"/>
          <w:b w:val="0"/>
          <w:i w:val="0"/>
          <w:sz w:val="20"/>
        </w:rPr>
        <w:t>Frozen BRFSS 2015 model applied to BRFSS 2020 without retraining. AUC drift: -0.0707. Sensitivity drift: -0.509. ECE drift: +0.0388.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8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568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Transport</w:t>
            </w:r>
          </w:p>
        </w:tc>
        <w:tc>
          <w:tcPr>
            <w:tcW w:type="dxa" w:w="1568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Retrained</w:t>
            </w:r>
          </w:p>
        </w:tc>
        <w:tc>
          <w:tcPr>
            <w:tcW w:type="dxa" w:w="1568"/>
            <w:shd w:val="clear" w:color="auto" w:fill="1F4E79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Transport Drift</w:t>
            </w:r>
          </w:p>
        </w:tc>
        <w:tc>
          <w:tcPr>
            <w:tcW w:type="dxa" w:w="1568"/>
            <w:shd w:val="clear" w:color="auto" w:fill="1F4E79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1568"/>
            <w:shd w:val="clear" w:color="auto" w:fill="FFFFFF"/>
            <w:tcW w:w="2304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0.7798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-0.0707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-0.0097</w:t>
            </w:r>
          </w:p>
        </w:tc>
      </w:tr>
      <w:tr>
        <w:tc>
          <w:tcPr>
            <w:tcW w:type="dxa" w:w="1568"/>
            <w:shd w:val="clear" w:color="auto" w:fill="F2F2F2"/>
            <w:tcW w:w="2304" w:type="dxa"/>
          </w:tcPr>
          <w:p>
            <w:r>
              <w:rPr>
                <w:rFonts w:ascii="Arial" w:hAnsi="Arial"/>
                <w:b/>
                <w:sz w:val="18"/>
              </w:rPr>
              <w:t>Sensitivity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0.2606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0.7319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-0.509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-0.038</w:t>
            </w:r>
          </w:p>
        </w:tc>
      </w:tr>
      <w:tr>
        <w:tc>
          <w:tcPr>
            <w:tcW w:type="dxa" w:w="1568"/>
            <w:shd w:val="clear" w:color="auto" w:fill="FFFFFF"/>
            <w:tcW w:w="2304" w:type="dxa"/>
          </w:tcPr>
          <w:p>
            <w:r>
              <w:rPr>
                <w:rFonts w:ascii="Arial" w:hAnsi="Arial"/>
                <w:b/>
                <w:sz w:val="18"/>
              </w:rPr>
              <w:t>ECE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0.0508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0.0122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+0.0388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+0.0002</w:t>
            </w:r>
          </w:p>
        </w:tc>
      </w:tr>
      <w:tr>
        <w:tc>
          <w:tcPr>
            <w:tcW w:type="dxa" w:w="1568"/>
            <w:shd w:val="clear" w:color="auto" w:fill="F2F2F2"/>
            <w:tcW w:w="2304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0.2274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0.3524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-0.1436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b w:val="0"/>
                <w:sz w:val="18"/>
              </w:rPr>
              <w:t>-0.0186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mporal_dri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1. Temporal drift: AUC-ROC (left), ECE (centre), Sensitivity (right) across 2015 baseline, 2020 transport, and 2020 retrained conditions. Sensitivity collapse under transport is the critical finding.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3. SHAP Rank Stability: BRFSS 2015 vs 2020</w:t>
      </w:r>
    </w:p>
    <w:p>
      <w:r>
        <w:rPr>
          <w:rFonts w:ascii="Arial" w:hAnsi="Arial"/>
          <w:b w:val="0"/>
          <w:i w:val="0"/>
          <w:sz w:val="20"/>
        </w:rPr>
        <w:t>Eleven features with equivalents across both BRFSS survey years. Top-2 features (Age, GenHlth) are perfectly stable. Diabetes rises from rank 10 to 5 — possibly reflecting increased T2D prevalence 2015→2020.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135"/>
            <w:shd w:val="clear" w:color="auto" w:fill="2E75B6"/>
            <w:tcW w:w="288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rank_2015</w:t>
            </w:r>
          </w:p>
        </w:tc>
        <w:tc>
          <w:tcPr>
            <w:tcW w:type="dxa" w:w="3135"/>
            <w:shd w:val="clear" w:color="auto" w:fill="2E75B6"/>
            <w:tcW w:w="288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rank_2020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GenHlth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Sex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Smoker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DiffWalk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Stroke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Diabetes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PhysHlth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</w:tr>
      <w:tr>
        <w:tc>
          <w:tcPr>
            <w:tcW w:type="dxa" w:w="3135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MentHlth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3135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</w:tr>
      <w:tr>
        <w:tc>
          <w:tcPr>
            <w:tcW w:type="dxa" w:w="3135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PhysActivity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3135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rank_s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2. SHAP rank stability: BRFSS 2015 (blue) vs BRFSS 2020 (green). Age and GenHlth perfectly stable at ranks 1–2. Diabetes rises notably (+5 ranks) in 2020.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4. Cross-Dataset Fairness Comparison</w:t>
      </w:r>
    </w:p>
    <w:p>
      <w:r>
        <w:rPr>
          <w:rFonts w:ascii="Arial" w:hAnsi="Arial"/>
          <w:b w:val="0"/>
          <w:i w:val="0"/>
          <w:sz w:val="20"/>
        </w:rPr>
        <w:t>All fairness metrics at respective primary thresholds. The sex fairness finding is the most clinically significant cross-dataset result.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288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81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 2015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 2020 Transport</w:t>
            </w:r>
          </w:p>
        </w:tc>
        <w:tc>
          <w:tcPr>
            <w:tcW w:type="dxa" w:w="1881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 2020 Retrained</w:t>
            </w:r>
          </w:p>
        </w:tc>
        <w:tc>
          <w:tcPr>
            <w:tcW w:type="dxa" w:w="1881"/>
            <w:shd w:val="clear" w:color="auto" w:fill="2E75B6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Cardio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Sex/Gender TPR gap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0.135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0.208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0.163</w:t>
            </w:r>
          </w:p>
        </w:tc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0.013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Age TPR gap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0.89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0.000-0.890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0.837</w:t>
            </w:r>
          </w:p>
        </w:tc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0.213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Race TPR gap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0.113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0.189</w:t>
            </w:r>
          </w:p>
        </w:tc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sz w:val="16"/>
              </w:rPr>
              <w:t>Female/Female TPR</w:t>
            </w:r>
          </w:p>
        </w:tc>
        <w:tc>
          <w:tcPr>
            <w:tcW w:type="dxa" w:w="1881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0.693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0.138</w:t>
            </w:r>
          </w:p>
        </w:tc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0.637</w:t>
            </w:r>
          </w:p>
        </w:tc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0.683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sz w:val="16"/>
              </w:rPr>
              <w:t>Male TPR</w:t>
            </w:r>
          </w:p>
        </w:tc>
        <w:tc>
          <w:tcPr>
            <w:tcW w:type="dxa" w:w="1881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0.828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0.346</w:t>
            </w:r>
          </w:p>
        </w:tc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0.8</w:t>
            </w:r>
          </w:p>
        </w:tc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0.696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6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irnes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3. Sex/Gender TPR gap (left) and Female vs Male TPR (right) across all conditions. Gap collapses from 0.135–0.208 on BRFSS to 0.013 on clinical data, confirming female under-detection is a survey measurement artefact.</w:t>
      </w:r>
    </w:p>
    <w:p/>
    <w:p>
      <w:r>
        <w:rPr>
          <w:rFonts w:ascii="Arial" w:hAnsi="Arial"/>
          <w:b/>
          <w:i w:val="0"/>
          <w:sz w:val="20"/>
        </w:rPr>
        <w:t>Three cross-dataset fairness narratives:</w:t>
      </w:r>
    </w:p>
    <w:p>
      <w:r>
        <w:rPr>
          <w:rFonts w:ascii="Arial" w:hAnsi="Arial"/>
          <w:b w:val="0"/>
          <w:i w:val="0"/>
          <w:color w:val="1B5E20"/>
          <w:sz w:val="20"/>
        </w:rPr>
        <w:t>1. Sex disparity is instrument-dependent: 0.135 (BRFSS 2015) → 0.163 (BRFSS 2020) → 0.013 (Cardio). Disappears when clinical measurements replace self-report.</w:t>
      </w:r>
    </w:p>
    <w:p>
      <w:r>
        <w:rPr>
          <w:rFonts w:ascii="Arial" w:hAnsi="Arial"/>
          <w:b w:val="0"/>
          <w:i w:val="0"/>
          <w:color w:val="BF4600"/>
          <w:sz w:val="20"/>
        </w:rPr>
        <w:t>2. Age disparity is universal but severity varies: 0.890 (BRFSS 2015) vs 0.213 (Cardio). Difference explained by Cardio lacking young/elderly patients, not by clinical data being fairer.</w:t>
      </w:r>
    </w:p>
    <w:p>
      <w:r>
        <w:rPr>
          <w:rFonts w:ascii="Arial" w:hAnsi="Arial"/>
          <w:b w:val="0"/>
          <w:i w:val="0"/>
          <w:color w:val="C62B2B"/>
          <w:sz w:val="20"/>
        </w:rPr>
        <w:t>3. Race disparity worsens with retraining: 0.113 (transport, no race feature) → 0.189 (retrained, race feature included). Explicit race data amplifies rather than resolves disparities.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5. SHAP–LIME Consistency: Cross-Domain Comparison</w:t>
      </w:r>
    </w:p>
    <w:p>
      <w:r>
        <w:rPr>
          <w:rFonts w:ascii="Arial" w:hAnsi="Arial"/>
          <w:b w:val="0"/>
          <w:i w:val="0"/>
          <w:sz w:val="20"/>
        </w:rPr>
        <w:t>The consistency paradox: survey data shows high global agreement but imperfect top-3, while clinical data shows low global agreement but perfect top-3.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5B6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045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Kendall_tau</w:t>
            </w:r>
          </w:p>
        </w:tc>
        <w:tc>
          <w:tcPr>
            <w:tcW w:type="dxa" w:w="1045"/>
            <w:shd w:val="clear" w:color="auto" w:fill="2E75B6"/>
            <w:tcW w:w="1296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p_value</w:t>
            </w:r>
          </w:p>
        </w:tc>
        <w:tc>
          <w:tcPr>
            <w:tcW w:type="dxa" w:w="1045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Spearman_rho</w:t>
            </w:r>
          </w:p>
        </w:tc>
        <w:tc>
          <w:tcPr>
            <w:tcW w:type="dxa" w:w="1045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Jaccard_top3</w:t>
            </w:r>
          </w:p>
        </w:tc>
        <w:tc>
          <w:tcPr>
            <w:tcW w:type="dxa" w:w="1045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Jaccard_top5</w:t>
            </w:r>
          </w:p>
        </w:tc>
        <w:tc>
          <w:tcPr>
            <w:tcW w:type="dxa" w:w="1045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SHAP_rank1</w:t>
            </w:r>
          </w:p>
        </w:tc>
        <w:tc>
          <w:tcPr>
            <w:tcW w:type="dxa" w:w="1045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LIME_rank1</w:t>
            </w:r>
          </w:p>
        </w:tc>
        <w:tc>
          <w:tcPr>
            <w:tcW w:type="dxa" w:w="1045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Significant</w:t>
            </w:r>
          </w:p>
        </w:tc>
      </w:tr>
      <w:tr>
        <w:tc>
          <w:tcPr>
            <w:tcW w:type="dxa" w:w="1045"/>
            <w:shd w:val="clear" w:color="auto" w:fill="FFFFFF"/>
            <w:tcW w:w="2592" w:type="dxa"/>
          </w:tcPr>
          <w:p>
            <w:r>
              <w:rPr>
                <w:rFonts w:ascii="Arial" w:hAnsi="Arial"/>
                <w:sz w:val="16"/>
              </w:rPr>
              <w:t>BRFSS 2015</w:t>
            </w:r>
          </w:p>
        </w:tc>
        <w:tc>
          <w:tcPr>
            <w:tcW w:type="dxa" w:w="1045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0.743</w:t>
            </w:r>
          </w:p>
        </w:tc>
        <w:tc>
          <w:tcPr>
            <w:tcW w:type="dxa" w:w="1045"/>
            <w:shd w:val="clear" w:color="auto" w:fill="FFFFFF"/>
            <w:tcW w:w="1296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045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0.895</w:t>
            </w:r>
          </w:p>
        </w:tc>
        <w:tc>
          <w:tcPr>
            <w:tcW w:type="dxa" w:w="1045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0.5</w:t>
            </w:r>
          </w:p>
        </w:tc>
        <w:tc>
          <w:tcPr>
            <w:tcW w:type="dxa" w:w="1045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0.667</w:t>
            </w:r>
          </w:p>
        </w:tc>
        <w:tc>
          <w:tcPr>
            <w:tcW w:type="dxa" w:w="1045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045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Stroke</w:t>
            </w:r>
          </w:p>
        </w:tc>
        <w:tc>
          <w:tcPr>
            <w:tcW w:type="dxa" w:w="1045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</w:tr>
      <w:tr>
        <w:tc>
          <w:tcPr>
            <w:tcW w:type="dxa" w:w="1045"/>
            <w:shd w:val="clear" w:color="auto" w:fill="F2F2F2"/>
            <w:tcW w:w="2592" w:type="dxa"/>
          </w:tcPr>
          <w:p>
            <w:r>
              <w:rPr>
                <w:rFonts w:ascii="Arial" w:hAnsi="Arial"/>
                <w:sz w:val="16"/>
              </w:rPr>
              <w:t>Cardio (Clinical)</w:t>
            </w:r>
          </w:p>
        </w:tc>
        <w:tc>
          <w:tcPr>
            <w:tcW w:type="dxa" w:w="1045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0.394</w:t>
            </w:r>
          </w:p>
        </w:tc>
        <w:tc>
          <w:tcPr>
            <w:tcW w:type="dxa" w:w="1045"/>
            <w:shd w:val="clear" w:color="auto" w:fill="F2F2F2"/>
            <w:tcW w:w="1296" w:type="dxa"/>
          </w:tcPr>
          <w:p>
            <w:r>
              <w:rPr>
                <w:rFonts w:ascii="Arial" w:hAnsi="Arial"/>
                <w:sz w:val="16"/>
              </w:rPr>
              <w:t>0.0863</w:t>
            </w:r>
          </w:p>
        </w:tc>
        <w:tc>
          <w:tcPr>
            <w:tcW w:type="dxa" w:w="1045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0.559</w:t>
            </w:r>
          </w:p>
        </w:tc>
        <w:tc>
          <w:tcPr>
            <w:tcW w:type="dxa" w:w="1045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045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0.667</w:t>
            </w:r>
          </w:p>
        </w:tc>
        <w:tc>
          <w:tcPr>
            <w:tcW w:type="dxa" w:w="1045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ap_hi</w:t>
            </w:r>
          </w:p>
        </w:tc>
        <w:tc>
          <w:tcPr>
            <w:tcW w:type="dxa" w:w="1045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ap_hi</w:t>
            </w:r>
          </w:p>
        </w:tc>
        <w:tc>
          <w:tcPr>
            <w:tcW w:type="dxa" w:w="1045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No (p=0.087)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0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lim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4. SHAP–LIME consistency metrics (left) and summary table (right). Kendall-τ drops from 0.743 to 0.394 on clinical data, but Jaccard@3 rises from 0.500 to 1.000. The paradox reveals that clinical features have clearer signal separation than survey features.</w:t>
      </w:r>
    </w:p>
    <w:p/>
    <w:p>
      <w:r>
        <w:rPr>
          <w:rFonts w:ascii="Arial" w:hAnsi="Arial"/>
          <w:b w:val="0"/>
          <w:i/>
          <w:color w:val="333333"/>
          <w:sz w:val="20"/>
        </w:rPr>
        <w:t>Interpretation: On BRFSS survey data, all features carry some signal, creating meaningful global rank disagreement between SHAP and LIME. On clinical data, 3 features dominate strongly (ap_hi, age, cholesterol) while the rest carry near-zero signal — both methods agree on the important features but assign noise-level weights to the rest in different orders.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6. Meta-Learner Coefficient Evolution</w:t>
      </w:r>
    </w:p>
    <w:p>
      <w:r>
        <w:rPr>
          <w:rFonts w:ascii="Arial" w:hAnsi="Arial"/>
          <w:b w:val="0"/>
          <w:i w:val="0"/>
          <w:sz w:val="20"/>
        </w:rPr>
        <w:t>How the stacking ensemble weights its four base learners varies substantially across datasets. MLP is consistently strong across all three. XGB is dataset-dependent.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XGB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LGBM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RF</w:t>
            </w:r>
          </w:p>
        </w:tc>
        <w:tc>
          <w:tcPr>
            <w:tcW w:type="dxa" w:w="1881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MLP</w:t>
            </w:r>
          </w:p>
        </w:tc>
      </w:tr>
      <w:tr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BRFSS 2015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0.092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0.882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1.572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2.998</w:t>
            </w:r>
          </w:p>
        </w:tc>
      </w:tr>
      <w:tr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sz w:val="16"/>
              </w:rPr>
              <w:t>BRFSS 2020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-0.404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3.427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0.73</w:t>
            </w:r>
          </w:p>
        </w:tc>
        <w:tc>
          <w:tcPr>
            <w:tcW w:type="dxa" w:w="1881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1.574</w:t>
            </w:r>
          </w:p>
        </w:tc>
      </w:tr>
      <w:tr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sz w:val="16"/>
              </w:rPr>
              <w:t>Cardio (Clinical)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1.005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0.86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1.114</w:t>
            </w:r>
          </w:p>
        </w:tc>
        <w:tc>
          <w:tcPr>
            <w:tcW w:type="dxa" w:w="1881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1.915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4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a_coef_ev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5. Meta-learner coefficient evolution across datasets. MLP (purple) consistently receives the highest or second-highest weight. XGB (red) receives negative weight in BRFSS 2020, indicating its predictions are redundant given the other models on that dataset.</w:t>
      </w:r>
    </w:p>
    <w:p/>
    <w:p>
      <w:r>
        <w:rPr>
          <w:rFonts w:ascii="Arial" w:hAnsi="Arial"/>
          <w:b w:val="0"/>
          <w:i/>
          <w:color w:val="333333"/>
          <w:sz w:val="20"/>
        </w:rPr>
        <w:t>Clinical implication: the optimal ensemble composition is dataset-dependent. A model trained on BRFSS 2015 with XGB as a minor contributor may rely more heavily on XGB in a different deployment context, introducing unexpected behaviour. Retraining the full stack (not just the meta-learner) is required when deploying across datasets.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7. Fairness–Utility Pareto Frontier</w:t>
      </w:r>
    </w:p>
    <w:p>
      <w:r>
        <w:rPr>
          <w:rFonts w:ascii="Arial" w:hAnsi="Arial"/>
          <w:b w:val="0"/>
          <w:i w:val="0"/>
          <w:sz w:val="20"/>
        </w:rPr>
        <w:t>Threshold shifting mitigation applied to BRFSS 2015. Sweep from no mitigation (s=0) to full equalisation (s=1). Shows the achievable fairness gains at each level of accuracy sacrifice.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89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front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6. Fairness–Utility Pareto Frontier (BRFSS 2015). Each point represents one mitigation strength setting. Maximum fairness gain: 0.023 Sex TPR gap reduction at 0.0065 AUC cost (&lt;1%). Smooth frontier with no cliff edges — any operating point is clinically feasible.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8. Complete Findings Catalogue — F1–F30</w:t>
      </w:r>
    </w:p>
    <w:p>
      <w:r>
        <w:rPr>
          <w:rFonts w:ascii="Arial" w:hAnsi="Arial"/>
          <w:b w:val="0"/>
          <w:i w:val="0"/>
          <w:sz w:val="20"/>
        </w:rPr>
        <w:t>All 30 findings ready for paper writing. F1–F12 → §V BRFSS 2015 results. F13–F22 → §V BRFSS 2020 results. F23–F30 → §V Cardio results. Cross-cutting findings → §VI Cross-Domain Analysis.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tcW w:w="72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351"/>
            <w:shd w:val="clear" w:color="auto" w:fill="1F4E79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51"/>
            <w:shd w:val="clear" w:color="auto" w:fill="1F4E79"/>
            <w:tcW w:w="763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AUC=0.85, AUPRC=0.371, Brier=0.071. Survey-weighted AUC=0.8599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Calibration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ECE 0.252→0.012 (95% reduction via Platt scaling)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F3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MLP contribution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MLP strongest base learner (AUC=0.850), meta-weight 2.998 vs XGB 0.092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F4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DCA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Positive net benefit over treat-all/treat-none across threshold range 0.05–0.40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F5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SHAP ranking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Age (0.764) &gt;&gt; GenHlth (0.497) &gt; HighBP (0.474). GenHlth outranks clinical measurements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F6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SHAP-LIME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τ=0.743, ρ=0.895, Jaccard@3=0.5. Stroke rank 8→1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F7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Sex fairness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Female TPR=0.693, Male=0.828, gap=0.135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F8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Age fairness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TPR range 0.000–0.890. Young adults completely missed (Age group 2: TPR=0.000)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F9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Income fairness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Inverted: low-income TPR=0.872, high-income TPR=0.638. Gap=0.238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F10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Intersectional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Sex×Age gap=0.972 (6.8× larger than Sex-only). Age×Income gap=0.962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F11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Mitigation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0.023 Sex TPR gap reduction at 0.0065 AUC cost (smooth Pareto frontier)</w:t>
            </w:r>
          </w:p>
        </w:tc>
      </w:tr>
      <w:tr>
        <w:tc>
          <w:tcPr>
            <w:tcW w:type="dxa" w:w="2351"/>
            <w:shd w:val="clear" w:color="auto" w:fill="EBF3FB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F12</w:t>
            </w:r>
          </w:p>
        </w:tc>
        <w:tc>
          <w:tcPr>
            <w:tcW w:type="dxa" w:w="2351"/>
            <w:shd w:val="clear" w:color="auto" w:fill="EBF3FB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2015</w:t>
            </w:r>
          </w:p>
        </w:tc>
        <w:tc>
          <w:tcPr>
            <w:tcW w:type="dxa" w:w="2351"/>
            <w:shd w:val="clear" w:color="auto" w:fill="EBF3FB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Survey weights</w:t>
            </w:r>
          </w:p>
        </w:tc>
        <w:tc>
          <w:tcPr>
            <w:tcW w:type="dxa" w:w="2351"/>
            <w:shd w:val="clear" w:color="auto" w:fill="EBF3FB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Weighted AUC=0.8599 vs unweighted=0.8505. BRFSS oversamples older adults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F13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Transport AUC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AUC drops 0.8505→0.7798 (-0.0707) under transport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F14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Sensitivity collapse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Sensitivity 0.77→0.2606 (-0.509). 74% detection lost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F15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Calibration drift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ECE 0.012→0.0508 (+0.0388) under transport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F16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Retraining restores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AUC=0.8403, ECE=0.0122, Sensitivity=0.7319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F17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Fairness amplification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Sex TPR gap 0.135→0.208 under transport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F18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Race disparities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Hispanic TPR=0.159 (transport), 0.561 (retrained). Race gap: transport=0.113, retrained=0.189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F19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Race feature amplifies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Retraining with race feature worsens race gap (0.113→0.189)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F20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SHAP stability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Age rank 1, GenHealth rank 2 in both 2015 and 2020. Age SHAP increases 0.764→0.981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F21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Meta-learner shift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XGB negative coef in 2020 (−0.404). LGBM dominant (3.427). Dataset-dependent weighting</w:t>
            </w:r>
          </w:p>
        </w:tc>
      </w:tr>
      <w:tr>
        <w:tc>
          <w:tcPr>
            <w:tcW w:type="dxa" w:w="2351"/>
            <w:shd w:val="clear" w:color="auto" w:fill="E8F5E9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F22</w:t>
            </w:r>
          </w:p>
        </w:tc>
        <w:tc>
          <w:tcPr>
            <w:tcW w:type="dxa" w:w="2351"/>
            <w:shd w:val="clear" w:color="auto" w:fill="E8F5E9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BRFSS 2020</w:t>
            </w:r>
          </w:p>
        </w:tc>
        <w:tc>
          <w:tcPr>
            <w:tcW w:type="dxa" w:w="2351"/>
            <w:shd w:val="clear" w:color="auto" w:fill="E8F5E9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Young adult failure</w:t>
            </w:r>
          </w:p>
        </w:tc>
        <w:tc>
          <w:tcPr>
            <w:tcW w:type="dxa" w:w="2351"/>
            <w:shd w:val="clear" w:color="auto" w:fill="E8F5E9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Age groups 1–3: TPR 0.000–0.230 in 2020. Systemic property, not 2015 artefact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F23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AUC cross-domain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AUC=0.8068 on clinical vs 0.850 BRFSS. Survey data gives higher AUC (extreme cases)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F24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ECE paradox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Pre-calib ECE=0.0194 already near-perfect. Platt worsens to 0.026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F25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ap_hi dominates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Systolic BP rank 1 on clinical (SHAP=0.848) vs binary HighBP rank 3 on BRFSS (0.474)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F26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SHAP-LIME inversion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τ=0.394 (p=0.087, not significant) but Jaccard@3=1.000. Cross-domain inversion vs BRFSS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F27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Gender gap collapses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Gender TPR gap=0.013 on clinical vs 0.135 BRFSS. Survey artefact confirmed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F28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Age gap smaller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Age TPR gap=0.213 on clinical vs 0.890 BRFSS. No young/elderly in Cardio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F29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BMI portability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BMI rank 12→4. Measured BMI 8 ranks more important than self-reported</w:t>
            </w:r>
          </w:p>
        </w:tc>
      </w:tr>
      <w:tr>
        <w:tc>
          <w:tcPr>
            <w:tcW w:type="dxa" w:w="2351"/>
            <w:shd w:val="clear" w:color="auto" w:fill="FFF8E1"/>
            <w:tcW w:w="720" w:type="dxa"/>
          </w:tcPr>
          <w:p>
            <w:r>
              <w:rPr>
                <w:rFonts w:ascii="Arial" w:hAnsi="Arial"/>
                <w:b/>
                <w:sz w:val="16"/>
              </w:rPr>
              <w:t>F30</w:t>
            </w:r>
          </w:p>
        </w:tc>
        <w:tc>
          <w:tcPr>
            <w:tcW w:type="dxa" w:w="2351"/>
            <w:shd w:val="clear" w:color="auto" w:fill="FFF8E1"/>
            <w:tcW w:w="1728" w:type="dxa"/>
          </w:tcPr>
          <w:p>
            <w:r>
              <w:rPr>
                <w:rFonts w:ascii="Arial" w:hAnsi="Arial"/>
                <w:b w:val="0"/>
                <w:sz w:val="16"/>
              </w:rPr>
              <w:t>Cardio</w:t>
            </w:r>
          </w:p>
        </w:tc>
        <w:tc>
          <w:tcPr>
            <w:tcW w:type="dxa" w:w="2351"/>
            <w:shd w:val="clear" w:color="auto" w:fill="FFF8E1"/>
            <w:tcW w:w="2160" w:type="dxa"/>
          </w:tcPr>
          <w:p>
            <w:r>
              <w:rPr>
                <w:rFonts w:ascii="Arial" w:hAnsi="Arial"/>
                <w:b w:val="0"/>
                <w:sz w:val="16"/>
              </w:rPr>
              <w:t>Sex portability</w:t>
            </w:r>
          </w:p>
        </w:tc>
        <w:tc>
          <w:tcPr>
            <w:tcW w:type="dxa" w:w="2351"/>
            <w:shd w:val="clear" w:color="auto" w:fill="FFF8E1"/>
            <w:tcW w:w="7632" w:type="dxa"/>
          </w:tcPr>
          <w:p>
            <w:r>
              <w:rPr>
                <w:rFonts w:ascii="Arial" w:hAnsi="Arial"/>
                <w:b w:val="0"/>
                <w:sz w:val="16"/>
              </w:rPr>
              <w:t>Gender rank 4→12. Clinical measurements make gender redundant as predictor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9. Paper Writing Guide</w:t>
      </w:r>
    </w:p>
    <w:p>
      <w:r>
        <w:rPr>
          <w:rFonts w:ascii="Arial" w:hAnsi="Arial"/>
          <w:b/>
          <w:i w:val="0"/>
          <w:sz w:val="20"/>
        </w:rPr>
        <w:t>How to use F1–F30 when writing each paper section:</w:t>
      </w:r>
    </w:p>
    <w:p/>
    <w:p>
      <w:r>
        <w:rPr>
          <w:rFonts w:ascii="Arial" w:hAnsi="Arial"/>
          <w:b/>
          <w:color w:val="1F4E79"/>
          <w:sz w:val="20"/>
        </w:rPr>
        <w:t xml:space="preserve">§I Introduction: </w:t>
      </w:r>
      <w:r>
        <w:rPr>
          <w:rFonts w:ascii="Arial" w:hAnsi="Arial"/>
          <w:sz w:val="20"/>
        </w:rPr>
        <w:t>Cite F7 (sex gap), F8 (age gap), F13–F14 (transport collapse) as motivation. Frame C1–C5 as the contributions that address these gaps.</w:t>
      </w:r>
    </w:p>
    <w:p>
      <w:r>
        <w:rPr>
          <w:rFonts w:ascii="Arial" w:hAnsi="Arial"/>
          <w:b/>
          <w:color w:val="1F4E79"/>
          <w:sz w:val="20"/>
        </w:rPr>
        <w:t xml:space="preserve">§II Related Work: </w:t>
      </w:r>
      <w:r>
        <w:rPr>
          <w:rFonts w:ascii="Arial" w:hAnsi="Arial"/>
          <w:sz w:val="20"/>
        </w:rPr>
        <w:t>Use F5 (Age dominates BRFSS) to contextualise prior BRFSS ML papers. Use F20 (SHAP temporal stability) to distinguish from papers that retrain only. Use F26–F27 (cross-domain) to distinguish from single-dataset XAI papers.</w:t>
      </w:r>
    </w:p>
    <w:p>
      <w:r>
        <w:rPr>
          <w:rFonts w:ascii="Arial" w:hAnsi="Arial"/>
          <w:b/>
          <w:color w:val="1F4E79"/>
          <w:sz w:val="20"/>
        </w:rPr>
        <w:t xml:space="preserve">§III Datasets: </w:t>
      </w:r>
      <w:r>
        <w:rPr>
          <w:rFonts w:ascii="Arial" w:hAnsi="Arial"/>
          <w:sz w:val="20"/>
        </w:rPr>
        <w:t>F1 (n=253,680), F12 (survey weights), F23 (Cardio n=68,730, 49.5% prevalence). Note: BRFSS 2020 has race/ethnicity (F18) absent from 2015 and Cardio.</w:t>
      </w:r>
    </w:p>
    <w:p>
      <w:r>
        <w:rPr>
          <w:rFonts w:ascii="Arial" w:hAnsi="Arial"/>
          <w:b/>
          <w:color w:val="1F4E79"/>
          <w:sz w:val="20"/>
        </w:rPr>
        <w:t xml:space="preserve">§IV Methodology: </w:t>
      </w:r>
      <w:r>
        <w:rPr>
          <w:rFonts w:ascii="Arial" w:hAnsi="Arial"/>
          <w:sz w:val="20"/>
        </w:rPr>
        <w:t>F2 (Platt calibration), F3 (MLP as 4th base learner), F24 (ECE paradox on clinical). Note threshold differences: pt=0.12 for BRFSS, pt=0.50 for Cardio.</w:t>
      </w:r>
    </w:p>
    <w:p>
      <w:r>
        <w:rPr>
          <w:rFonts w:ascii="Arial" w:hAnsi="Arial"/>
          <w:b/>
          <w:color w:val="1F4E79"/>
          <w:sz w:val="20"/>
        </w:rPr>
        <w:t xml:space="preserve">§V Results — BRFSS 2015: </w:t>
      </w:r>
      <w:r>
        <w:rPr>
          <w:rFonts w:ascii="Arial" w:hAnsi="Arial"/>
          <w:sz w:val="20"/>
        </w:rPr>
        <w:t>Write F1–F12 as paragraphs in order. F1–F4: performance and calibration. F5–F6: SHAP and LIME. F7–F11: fairness audit and mitigation. F12: survey weighting.</w:t>
      </w:r>
    </w:p>
    <w:p>
      <w:r>
        <w:rPr>
          <w:rFonts w:ascii="Arial" w:hAnsi="Arial"/>
          <w:b/>
          <w:color w:val="1F4E79"/>
          <w:sz w:val="20"/>
        </w:rPr>
        <w:t xml:space="preserve">§V Results — BRFSS 2020: </w:t>
      </w:r>
      <w:r>
        <w:rPr>
          <w:rFonts w:ascii="Arial" w:hAnsi="Arial"/>
          <w:sz w:val="20"/>
        </w:rPr>
        <w:t>F13–F15: transport degradation. F16: retraining recovery. F17: fairness amplification. F18–F19: race disparities. F20–F22: SHAP stability and meta-learner shift.</w:t>
      </w:r>
    </w:p>
    <w:p>
      <w:r>
        <w:rPr>
          <w:rFonts w:ascii="Arial" w:hAnsi="Arial"/>
          <w:b/>
          <w:color w:val="1F4E79"/>
          <w:sz w:val="20"/>
        </w:rPr>
        <w:t xml:space="preserve">§V Results — Cardio: </w:t>
      </w:r>
      <w:r>
        <w:rPr>
          <w:rFonts w:ascii="Arial" w:hAnsi="Arial"/>
          <w:sz w:val="20"/>
        </w:rPr>
        <w:t>F23–F25: performance and SHAP. F26: SHAP–LIME inversion. F27–F28: fairness audit. F29–F30: portability findings.</w:t>
      </w:r>
    </w:p>
    <w:p>
      <w:r>
        <w:rPr>
          <w:rFonts w:ascii="Arial" w:hAnsi="Arial"/>
          <w:b/>
          <w:color w:val="1F4E79"/>
          <w:sz w:val="20"/>
        </w:rPr>
        <w:t xml:space="preserve">§VI Cross-Domain Analysis: </w:t>
      </w:r>
      <w:r>
        <w:rPr>
          <w:rFonts w:ascii="Arial" w:hAnsi="Arial"/>
          <w:sz w:val="20"/>
        </w:rPr>
        <w:t>Master performance table (Section 1 of this doc). Temporal drift figure (Section 2). Sex fairness narrative: F7, F17, F27 together. SHAP portability: F20, F25, F29, F30. Meta-learner evolution: F21 (Section 6).</w:t>
      </w:r>
    </w:p>
    <w:p>
      <w:r>
        <w:rPr>
          <w:rFonts w:ascii="Arial" w:hAnsi="Arial"/>
          <w:b/>
          <w:color w:val="1F4E79"/>
          <w:sz w:val="20"/>
        </w:rPr>
        <w:t xml:space="preserve">§VII Discussion: </w:t>
      </w:r>
      <w:r>
        <w:rPr>
          <w:rFonts w:ascii="Arial" w:hAnsi="Arial"/>
          <w:sz w:val="20"/>
        </w:rPr>
        <w:t>F27+F30: sex fairness is survey artefact — clinical deployment implications. F14: sensitivity collapse — retraining cadence recommendation. F19: race feature amplifies disparity — fairness mitigation must accompany race inclusion. F24: Platt calibration context-dependent. Limitations: no young adults in Cardio (F28), no race in Cardio/BRFSS 2015.</w:t>
      </w:r>
    </w:p>
    <w:p>
      <w:r>
        <w:rPr>
          <w:rFonts w:ascii="Arial" w:hAnsi="Arial"/>
          <w:b/>
          <w:color w:val="1F4E79"/>
          <w:sz w:val="20"/>
        </w:rPr>
        <w:t xml:space="preserve">§VIII Conclusion: </w:t>
      </w:r>
      <w:r>
        <w:rPr>
          <w:rFonts w:ascii="Arial" w:hAnsi="Arial"/>
          <w:sz w:val="20"/>
        </w:rPr>
        <w:t>Summarise C1–C5. Cite F1 (performance), F2 (calibration), F10 (intersectional), F14 (transport), F27 (sex artefact), F26 (SHAP–LIME inversion). Future work: ERI, concept portability, prospective clinical validation.</w:t>
      </w:r>
    </w:p>
    <w:p/>
    <w:p>
      <w:pPr>
        <w:jc w:val="center"/>
      </w:pPr>
      <w:r>
        <w:rPr>
          <w:rFonts w:ascii="Arial" w:hAnsi="Arial"/>
          <w:i/>
          <w:color w:val="888888"/>
          <w:sz w:val="16"/>
        </w:rPr>
        <w:t>Generated June 2026  •  github.com/anasbiswas1/exheart-research  •  NB01–NB04 Complete  •  F1–F30 Documented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