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X-IDS Project — One-Page Summary</w:t>
      </w:r>
    </w:p>
    <w:p>
      <w:r>
        <w:rPr>
          <w:b/>
          <w:bCs/>
        </w:rPr>
        <w:t xml:space="preserve">Author: </w:t>
      </w:r>
      <w:r>
        <w:t xml:space="preserve">Md Anas Biswas  |  </w:t>
      </w:r>
      <w:r>
        <w:rPr>
          <w:b/>
          <w:bCs/>
        </w:rPr>
        <w:t xml:space="preserve">Date: </w:t>
      </w:r>
      <w:r>
        <w:t xml:space="preserve">May 2026  |  </w:t>
      </w:r>
      <w:r>
        <w:rPr>
          <w:b/>
          <w:bCs/>
        </w:rPr>
        <w:t xml:space="preserve">Stage: </w:t>
      </w:r>
      <w:r>
        <w:t xml:space="preserve">End of experimental phase</w:t>
      </w:r>
    </w:p>
    <w:p>
      <w:r>
        <w:t xml:space="preserve"/>
      </w:r>
    </w:p>
    <w:p>
      <w:pPr>
        <w:pStyle w:val="Heading2"/>
      </w:pPr>
      <w:r>
        <w:t xml:space="preserve">What was delivered</w:t>
      </w:r>
    </w:p>
    <w:p>
      <w:r>
        <w:t xml:space="preserve">An end-to-end explainable intrusion detection framework demonstrating five novel contributions, validated on two benchmark datasets (NSL-KDD and CIC-IDS2017), with reproducible code and paper-ready tables.</w:t>
      </w:r>
    </w:p>
    <w:p>
      <w:r>
        <w:t xml:space="preserve"/>
      </w:r>
    </w:p>
    <w:p>
      <w:pPr>
        <w:pStyle w:val="Heading2"/>
      </w:pPr>
      <w:r>
        <w:t xml:space="preserve">Numerical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 reduces ECE by 47-98% across datasets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NSL-KDD: 67-98%; CIC-IDS2017: 47-91%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DNN explanations are most stable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Jaccard 0.86-0.92 vs trees 0.55-0.70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Tree-DNN ranking disagreement is architectural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Trees converge on src_bytes (NSL) and Destination Port (CIC); DNN diverges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 classes amplify SHAP sign disagreement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agreement drops from 0.96 → 0.78 for R2L/U2R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SCTS-v2 stratifies prediction accuracy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vs bottom quartile gap: 36-57 percentage points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Conformal coverage matches nominal levels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94.9-97.3% at α=0.05; 80.0-82.8% at α=0.20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alert quality tracks trust score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Faithfulness 4.02 → 5.00 from low to high SCTS quartile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Deliverable contents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15-16 Jupyter notebooks </w:t>
      </w:r>
      <w:r>
        <w:t xml:space="preserve">covering preprocessing → training → calibration → SHAP → stability → SCTS-v2 → LLM alerts → final evaluation → baselines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paper-ready tables </w:t>
      </w:r>
      <w:r>
        <w:t xml:space="preserve">+ 1 summary figure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386 LLM-generated alerts </w:t>
      </w:r>
      <w:r>
        <w:t xml:space="preserve">with judge scores (Faithfulness/Coherence/Actionability)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 </w:t>
      </w:r>
      <w:r>
        <w:t xml:space="preserve">with full version control: github.com/anasbiswas1/xids-research</w:t>
      </w:r>
    </w:p>
    <w:p>
      <w:r>
        <w:t xml:space="preserve"/>
      </w:r>
    </w:p>
    <w:p>
      <w:pPr>
        <w:pStyle w:val="Heading2"/>
      </w:pPr>
      <w:r>
        <w:t xml:space="preserve">What is not yet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Engelen WTMC-2021 corrections on CIC-IDS2017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iteration; rerun affected results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validation of alerts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 paper writing phase (~100 samples, ~$1)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UNSW-NB15 dataset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 for future work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CICIoT-2023 dataset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 for future work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paper draft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phase (~2-3 weeks)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methodology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SMOTE adopted as canonical 5-class imbalance handler </w:t>
      </w:r>
      <w:r>
        <w:t xml:space="preserve">(validated via Notebook 02b ablation)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Per-class isotonic regression </w:t>
      </w:r>
      <w:r>
        <w:t xml:space="preserve">for calibration (won over Platt scaling and temperature scaling)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Geometric mean </w:t>
      </w:r>
      <w:r>
        <w:t xml:space="preserve">for combining SCTS-v2 components — punishes weak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CIC-IDS2017 200K subsample </w:t>
      </w:r>
      <w:r>
        <w:t xml:space="preserve">chosen for computational tractability while preserving rare classes</w:t>
      </w:r>
    </w:p>
    <w:p>
      <w:r>
        <w:t xml:space="preserve"/>
      </w:r>
    </w:p>
    <w:p>
      <w:pPr>
        <w:pStyle w:val="Heading2"/>
      </w:pPr>
      <w:r>
        <w:t xml:space="preserve">Status</w:t>
      </w:r>
    </w:p>
    <w:p>
      <w:r>
        <w:rPr>
          <w:b/>
          <w:bCs/>
        </w:rPr>
        <w:t xml:space="preserve">Experimental foundation: </w:t>
      </w:r>
      <w:r>
        <w:rPr>
          <w:b/>
          <w:bCs/>
          <w:color w:val="2E75B6"/>
        </w:rPr>
        <w:t xml:space="preserve">publishable.</w:t>
      </w:r>
      <w:r>
        <w:t xml:space="preserve"> The bottleneck from here is writing.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2026-05-26T00:52:48.833Z</dcterms:created>
  <dcterms:modified xsi:type="dcterms:W3CDTF">2026-05-26T00:52:48.834Z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