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sz w:val="44"/>
        </w:rPr>
        <w:t>X-IDS: An Explainable Intrusion Detection System</w:t>
      </w:r>
    </w:p>
    <w:p>
      <w:pPr>
        <w:jc w:val="center"/>
      </w:pPr>
      <w:r>
        <w:rPr>
          <w:i/>
          <w:sz w:val="32"/>
        </w:rPr>
        <w:t>Research Progress Report</w:t>
      </w:r>
    </w:p>
    <w:p/>
    <w:p/>
    <w:p>
      <w:pPr>
        <w:jc w:val="center"/>
      </w:pPr>
      <w:r>
        <w:rPr>
          <w:b/>
        </w:rPr>
        <w:t>Md Anas Biswas</w:t>
      </w:r>
    </w:p>
    <w:p>
      <w:pPr>
        <w:jc w:val="center"/>
      </w:pPr>
      <w:r>
        <w:rPr>
          <w:i/>
        </w:rPr>
        <w:t>MSc Computing (AI specialism)</w:t>
      </w:r>
    </w:p>
    <w:p>
      <w:pPr>
        <w:jc w:val="center"/>
      </w:pPr>
      <w:r>
        <w:t>University of Portsmouth</w:t>
      </w:r>
    </w:p>
    <w:p>
      <w:pPr>
        <w:jc w:val="center"/>
      </w:pPr>
      <w:r>
        <w:rPr>
          <w:i/>
        </w:rPr>
        <w:t>Supervisor: Ms Alaa Mohasseb</w:t>
      </w:r>
    </w:p>
    <w:p/>
    <w:p/>
    <w:p>
      <w:pPr>
        <w:jc w:val="center"/>
      </w:pPr>
      <w:r>
        <w:t>Report date: 30 May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 w:val="0"/>
          <w:i w:val="0"/>
          <w:sz w:val="22"/>
        </w:rPr>
        <w:t>This report documents the current state of the X-IDS (Explainable Intrusion Detection System) research project as of 31 May 2026. The system combines multi-architecture intrusion detection (Random Forest, XGBoost, Deep Neural Network) with a layered explainability framework: SHAP-based feature attributions, cross-architecture SHAP agreement analysis (Krishna metrics), adversarial stability via Jaccard top-K and Lipschitz metrics, a calibrated trust score (SCTS-v2) with Mondrian per-class conformal prediction, and a three-signal calibration health flag that identifies operationally unreliable predictions. All key claims are supported by 95% bootstrap confidence intervals (B=1000) computed across all three benchmark datasets (NSL-KDD, UNSW-NB15, CIC-IDS2017).</w:t>
      </w:r>
    </w:p>
    <w:p>
      <w:r>
        <w:rPr>
          <w:b/>
          <w:i w:val="0"/>
          <w:sz w:val="22"/>
        </w:rPr>
        <w:t>Key findings:</w:t>
      </w:r>
    </w:p>
    <w:p>
      <w:pPr>
        <w:pStyle w:val="ListBullet"/>
      </w:pPr>
      <w:r>
        <w:t>SCTS-v2 with Mondrian per-class conformal achieves significantly positive correlation with prediction correctness on UNSW (Pearson +0.465 [+0.438, +0.491]) and CIC (+0.318 [+0.233, +0.408]), but not on NSL (+0.055 [-0.031, +0.145], CI crosses zero).</w:t>
      </w:r>
    </w:p>
    <w:p>
      <w:pPr>
        <w:pStyle w:val="ListBullet"/>
      </w:pPr>
      <w:r>
        <w:t>The calibration health flag correctly identifies the NSL R2L failure cohort: 94.4% of true R2L samples flagged RED [95% Wilson CI: 93.0%, 95.5%], where SCTS may exceed 75 despite the model being wrong ≈93% of the time on R2L.</w:t>
      </w:r>
    </w:p>
    <w:p>
      <w:pPr>
        <w:pStyle w:val="ListBullet"/>
      </w:pPr>
      <w:r>
        <w:t>Cross-architecture SHAP agreement is dataset-dependent and pair-dependent: tree-pair agreement (RF-XGB) is consistently strong (RC = 0.32–0.59 across datasets), while tree-vs-DNN agreement is weak or negative; NSL XGB-DNN shows significantly negative agreement (RC = -0.131 [-0.143, -0.118]).</w:t>
      </w:r>
    </w:p>
    <w:p>
      <w:pPr>
        <w:pStyle w:val="ListBullet"/>
      </w:pPr>
      <w:r>
        <w:t>DNN stability advantage over tree models is dataset-dependent: 9 of 12 paired comparisons show significantly higher DNN Jaccard stability, but on NSL CW the relationship reverses (DNN significantly less stable than both trees).</w:t>
      </w:r>
    </w:p>
    <w:p>
      <w:pPr>
        <w:pStyle w:val="ListBullet"/>
      </w:pPr>
      <w:r>
        <w:t>UNSW DoS-vs-R2L confusion (~87% of DoS samples predicted as R2L) is a dataset-level characteristic, not a framework flaw — calibration is not affected, but it limits the operational accuracy of UNSW DoS detection.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  <w:sz w:val="22"/>
        </w:rPr>
        <w:t>Network intrusion detection systems (IDS) increasingly rely on machine learning models that act as black boxes from an operational standpoint. Two limitations emerge: (1) operators cannot easily verify whether a prediction is reliable for a specific incoming sample, and (2) explanations of why a prediction was made may themselves be unreliable when computed via unstable feature-attribution methods. The X-IDS project addresses both limitations through a calibrated trust score with explicit uncertainty surfacing and a multi-architecture SHAP agreement framework.</w:t>
      </w:r>
    </w:p>
    <w:p>
      <w:pPr>
        <w:pStyle w:val="Heading2"/>
      </w:pPr>
      <w:r>
        <w:t>1.1 Contributions</w:t>
      </w:r>
    </w:p>
    <w:p>
      <w:pPr>
        <w:pStyle w:val="ListBullet"/>
      </w:pPr>
      <w:r>
        <w:t>A multi-architecture intrusion detection framework benchmarked across three established IDS datasets, with all per-model and per-dataset claims supported by 95% bootstrap confidence intervals.</w:t>
      </w:r>
    </w:p>
    <w:p>
      <w:pPr>
        <w:pStyle w:val="ListBullet"/>
      </w:pPr>
      <w:r>
        <w:t>SCTS-v2: a per-sample trust score combining calibration confidence, explanation stability, and Mondrian per-class conformal prediction in a single geometric mean.</w:t>
      </w:r>
    </w:p>
    <w:p>
      <w:pPr>
        <w:pStyle w:val="ListBullet"/>
      </w:pPr>
      <w:r>
        <w:t>A three-signal calibration health flag (green/amber/red) that identifies when SCTS-v2 may be operationally unreliable due to underlying calibration cliffs on rare classes, validated on the NSL R2L failure cohort with 94.4% catch rate.</w:t>
      </w:r>
    </w:p>
    <w:p>
      <w:pPr>
        <w:pStyle w:val="ListBullet"/>
      </w:pPr>
      <w:r>
        <w:t>Per-sample Krishna agreement analysis revealing dataset-dependent cross-architecture SHAP divergence, including statistically significant XGB-DNN disagreement on NSL.</w:t>
      </w:r>
    </w:p>
    <w:p>
      <w:pPr>
        <w:pStyle w:val="ListBullet"/>
      </w:pPr>
      <w:r>
        <w:t>A documented audit trail of methodology decisions, including failed claims (the GREEN-vs-RED Pearson gap was hypothesised but failed at α=0.05) — supporting reproducibility and reviewer-defensibility.</w:t>
      </w:r>
    </w:p>
    <w:p>
      <w:pPr>
        <w:pStyle w:val="Heading2"/>
      </w:pPr>
      <w:r>
        <w:t>1.2 Datasets</w:t>
      </w:r>
    </w:p>
    <w:p>
      <w:r>
        <w:rPr>
          <w:b w:val="0"/>
          <w:i w:val="0"/>
          <w:sz w:val="22"/>
        </w:rPr>
        <w:t>Three canonical IDS benchmarks: NSL-KDD (refined KDD'99 with duplicates removed; 5-class taxonomy of Normal/DoS/Probe/R2L/U2R), UNSW-NB15 (modern attack patterns including reconnaissance, exploits, fuzzers; remapped to 5 classes), and CIC-IDS2017 (mixed-class real-network traffic; original 14-class taxonomy aggregated to 5 classes for cross-dataset comparison). Class distributions vary substantially across datasets.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9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_nsl_kd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9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NSL-KDD class distribution (train and test). Note the severe rarity of U2R (n≈10) and R2L (n≈1000) on logarithmic scale.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9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_unsw_nb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9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UNSW-NB15 class distribution. More balanced across attack classes than NSL-KDD; U2R still very rare.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94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_cic_ids20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9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CIC-IDS2017 class distribution. Normal dominates strongly; R2L and U2R severely rare.</w:t>
      </w:r>
    </w:p>
    <w:p>
      <w:r>
        <w:br w:type="page"/>
      </w:r>
    </w:p>
    <w:p>
      <w:pPr>
        <w:pStyle w:val="Heading1"/>
      </w:pPr>
      <w:r>
        <w:t>2. Model Training and Evaluation</w:t>
      </w:r>
    </w:p>
    <w:p>
      <w:r>
        <w:rPr>
          <w:b w:val="0"/>
          <w:i w:val="0"/>
          <w:sz w:val="22"/>
        </w:rPr>
        <w:t>Six models per dataset (RF, XGBoost, DNN × class-weighting + SMOTE = 18 total models). All models trained with hyperparameter tuning and evaluated on test sets using calibrated probabilities. Evaluation metrics follow standard IDS literature: overall accuracy, balanced accuracy (for class imbalance), macro-F1 (treats all classes equally), weighted-F1 (class-weighted), and macro one-vs-rest ROC AUC.</w:t>
      </w:r>
    </w:p>
    <w:p>
      <w:pPr>
        <w:pStyle w:val="Heading2"/>
      </w:pPr>
      <w:r>
        <w:t>2.1 Overall evaluation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512"/>
          </w:tcPr>
          <w:p>
            <w:r>
              <w:rPr>
                <w:b/>
              </w:rPr>
              <w:t>Architecture</w:t>
            </w:r>
          </w:p>
        </w:tc>
        <w:tc>
          <w:tcPr>
            <w:tcW w:type="dxa" w:w="1512"/>
          </w:tcPr>
          <w:p>
            <w:r>
              <w:rPr>
                <w:b/>
              </w:rPr>
              <w:t>Sampling</w:t>
            </w:r>
          </w:p>
        </w:tc>
        <w:tc>
          <w:tcPr>
            <w:tcW w:type="dxa" w:w="1512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512"/>
          </w:tcPr>
          <w:p>
            <w:r>
              <w:rPr>
                <w:b/>
              </w:rPr>
              <w:t>Bal. Acc.</w:t>
            </w:r>
          </w:p>
        </w:tc>
        <w:tc>
          <w:tcPr>
            <w:tcW w:type="dxa" w:w="1512"/>
          </w:tcPr>
          <w:p>
            <w:r>
              <w:rPr>
                <w:b/>
              </w:rPr>
              <w:t>Macro-F1</w:t>
            </w:r>
          </w:p>
        </w:tc>
      </w:tr>
      <w:tr>
        <w:tc>
          <w:tcPr>
            <w:tcW w:type="dxa" w:w="1512"/>
          </w:tcPr>
          <w:p>
            <w:r>
              <w:t>NSL_KDD</w:t>
            </w:r>
          </w:p>
        </w:tc>
        <w:tc>
          <w:tcPr>
            <w:tcW w:type="dxa" w:w="1512"/>
          </w:tcPr>
          <w:p>
            <w:r>
              <w:t>RF</w:t>
            </w:r>
          </w:p>
        </w:tc>
        <w:tc>
          <w:tcPr>
            <w:tcW w:type="dxa" w:w="1512"/>
          </w:tcPr>
          <w:p>
            <w:r>
              <w:t>CW</w:t>
            </w:r>
          </w:p>
        </w:tc>
        <w:tc>
          <w:tcPr>
            <w:tcW w:type="dxa" w:w="1512"/>
          </w:tcPr>
          <w:p>
            <w:r>
              <w:t>0.7759</w:t>
            </w:r>
          </w:p>
        </w:tc>
        <w:tc>
          <w:tcPr>
            <w:tcW w:type="dxa" w:w="1512"/>
          </w:tcPr>
          <w:p>
            <w:r>
              <w:t>0.5226</w:t>
            </w:r>
          </w:p>
        </w:tc>
        <w:tc>
          <w:tcPr>
            <w:tcW w:type="dxa" w:w="1512"/>
          </w:tcPr>
          <w:p>
            <w:r>
              <w:t>0.5328</w:t>
            </w:r>
          </w:p>
        </w:tc>
      </w:tr>
      <w:tr>
        <w:tc>
          <w:tcPr>
            <w:tcW w:type="dxa" w:w="1512"/>
          </w:tcPr>
          <w:p>
            <w:r>
              <w:t>NSL_KDD</w:t>
            </w:r>
          </w:p>
        </w:tc>
        <w:tc>
          <w:tcPr>
            <w:tcW w:type="dxa" w:w="1512"/>
          </w:tcPr>
          <w:p>
            <w:r>
              <w:t>XGB</w:t>
            </w:r>
          </w:p>
        </w:tc>
        <w:tc>
          <w:tcPr>
            <w:tcW w:type="dxa" w:w="1512"/>
          </w:tcPr>
          <w:p>
            <w:r>
              <w:t>CW</w:t>
            </w:r>
          </w:p>
        </w:tc>
        <w:tc>
          <w:tcPr>
            <w:tcW w:type="dxa" w:w="1512"/>
          </w:tcPr>
          <w:p>
            <w:r>
              <w:t>0.7859</w:t>
            </w:r>
          </w:p>
        </w:tc>
        <w:tc>
          <w:tcPr>
            <w:tcW w:type="dxa" w:w="1512"/>
          </w:tcPr>
          <w:p>
            <w:r>
              <w:t>0.5583</w:t>
            </w:r>
          </w:p>
        </w:tc>
        <w:tc>
          <w:tcPr>
            <w:tcW w:type="dxa" w:w="1512"/>
          </w:tcPr>
          <w:p>
            <w:r>
              <w:t>0.5793</w:t>
            </w:r>
          </w:p>
        </w:tc>
      </w:tr>
      <w:tr>
        <w:tc>
          <w:tcPr>
            <w:tcW w:type="dxa" w:w="1512"/>
          </w:tcPr>
          <w:p>
            <w:r>
              <w:t>NSL_KDD</w:t>
            </w:r>
          </w:p>
        </w:tc>
        <w:tc>
          <w:tcPr>
            <w:tcW w:type="dxa" w:w="1512"/>
          </w:tcPr>
          <w:p>
            <w:r>
              <w:t>DNN</w:t>
            </w:r>
          </w:p>
        </w:tc>
        <w:tc>
          <w:tcPr>
            <w:tcW w:type="dxa" w:w="1512"/>
          </w:tcPr>
          <w:p>
            <w:r>
              <w:t>CW</w:t>
            </w:r>
          </w:p>
        </w:tc>
        <w:tc>
          <w:tcPr>
            <w:tcW w:type="dxa" w:w="1512"/>
          </w:tcPr>
          <w:p>
            <w:r>
              <w:t>0.7745</w:t>
            </w:r>
          </w:p>
        </w:tc>
        <w:tc>
          <w:tcPr>
            <w:tcW w:type="dxa" w:w="1512"/>
          </w:tcPr>
          <w:p>
            <w:r>
              <w:t>0.5432</w:t>
            </w:r>
          </w:p>
        </w:tc>
        <w:tc>
          <w:tcPr>
            <w:tcW w:type="dxa" w:w="1512"/>
          </w:tcPr>
          <w:p>
            <w:r>
              <w:t>0.5678</w:t>
            </w:r>
          </w:p>
        </w:tc>
      </w:tr>
      <w:tr>
        <w:tc>
          <w:tcPr>
            <w:tcW w:type="dxa" w:w="1512"/>
          </w:tcPr>
          <w:p>
            <w:r>
              <w:t>NSL_KDD</w:t>
            </w:r>
          </w:p>
        </w:tc>
        <w:tc>
          <w:tcPr>
            <w:tcW w:type="dxa" w:w="1512"/>
          </w:tcPr>
          <w:p>
            <w:r>
              <w:t>RF</w:t>
            </w:r>
          </w:p>
        </w:tc>
        <w:tc>
          <w:tcPr>
            <w:tcW w:type="dxa" w:w="1512"/>
          </w:tcPr>
          <w:p>
            <w:r>
              <w:t>SMOTE</w:t>
            </w:r>
          </w:p>
        </w:tc>
        <w:tc>
          <w:tcPr>
            <w:tcW w:type="dxa" w:w="1512"/>
          </w:tcPr>
          <w:p>
            <w:r>
              <w:t>0.7746</w:t>
            </w:r>
          </w:p>
        </w:tc>
        <w:tc>
          <w:tcPr>
            <w:tcW w:type="dxa" w:w="1512"/>
          </w:tcPr>
          <w:p>
            <w:r>
              <w:t>0.5223</w:t>
            </w:r>
          </w:p>
        </w:tc>
        <w:tc>
          <w:tcPr>
            <w:tcW w:type="dxa" w:w="1512"/>
          </w:tcPr>
          <w:p>
            <w:r>
              <w:t>0.5415</w:t>
            </w:r>
          </w:p>
        </w:tc>
      </w:tr>
      <w:tr>
        <w:tc>
          <w:tcPr>
            <w:tcW w:type="dxa" w:w="1512"/>
          </w:tcPr>
          <w:p>
            <w:r>
              <w:t>NSL_KDD</w:t>
            </w:r>
          </w:p>
        </w:tc>
        <w:tc>
          <w:tcPr>
            <w:tcW w:type="dxa" w:w="1512"/>
          </w:tcPr>
          <w:p>
            <w:r>
              <w:t>XGB</w:t>
            </w:r>
          </w:p>
        </w:tc>
        <w:tc>
          <w:tcPr>
            <w:tcW w:type="dxa" w:w="1512"/>
          </w:tcPr>
          <w:p>
            <w:r>
              <w:t>SMOTE</w:t>
            </w:r>
          </w:p>
        </w:tc>
        <w:tc>
          <w:tcPr>
            <w:tcW w:type="dxa" w:w="1512"/>
          </w:tcPr>
          <w:p>
            <w:r>
              <w:t>0.7858</w:t>
            </w:r>
          </w:p>
        </w:tc>
        <w:tc>
          <w:tcPr>
            <w:tcW w:type="dxa" w:w="1512"/>
          </w:tcPr>
          <w:p>
            <w:r>
              <w:t>0.5653</w:t>
            </w:r>
          </w:p>
        </w:tc>
        <w:tc>
          <w:tcPr>
            <w:tcW w:type="dxa" w:w="1512"/>
          </w:tcPr>
          <w:p>
            <w:r>
              <w:t>0.5935</w:t>
            </w:r>
          </w:p>
        </w:tc>
      </w:tr>
      <w:tr>
        <w:tc>
          <w:tcPr>
            <w:tcW w:type="dxa" w:w="1512"/>
          </w:tcPr>
          <w:p>
            <w:r>
              <w:t>NSL_KDD</w:t>
            </w:r>
          </w:p>
        </w:tc>
        <w:tc>
          <w:tcPr>
            <w:tcW w:type="dxa" w:w="1512"/>
          </w:tcPr>
          <w:p>
            <w:r>
              <w:t>DNN</w:t>
            </w:r>
          </w:p>
        </w:tc>
        <w:tc>
          <w:tcPr>
            <w:tcW w:type="dxa" w:w="1512"/>
          </w:tcPr>
          <w:p>
            <w:r>
              <w:t>SMOTE</w:t>
            </w:r>
          </w:p>
        </w:tc>
        <w:tc>
          <w:tcPr>
            <w:tcW w:type="dxa" w:w="1512"/>
          </w:tcPr>
          <w:p>
            <w:r>
              <w:t>0.7698</w:t>
            </w:r>
          </w:p>
        </w:tc>
        <w:tc>
          <w:tcPr>
            <w:tcW w:type="dxa" w:w="1512"/>
          </w:tcPr>
          <w:p>
            <w:r>
              <w:t>0.5532</w:t>
            </w:r>
          </w:p>
        </w:tc>
        <w:tc>
          <w:tcPr>
            <w:tcW w:type="dxa" w:w="1512"/>
          </w:tcPr>
          <w:p>
            <w:r>
              <w:t>0.5600</w:t>
            </w:r>
          </w:p>
        </w:tc>
      </w:tr>
      <w:tr>
        <w:tc>
          <w:tcPr>
            <w:tcW w:type="dxa" w:w="1512"/>
          </w:tcPr>
          <w:p>
            <w:r>
              <w:t>UNSW_NB15</w:t>
            </w:r>
          </w:p>
        </w:tc>
        <w:tc>
          <w:tcPr>
            <w:tcW w:type="dxa" w:w="1512"/>
          </w:tcPr>
          <w:p>
            <w:r>
              <w:t>RF</w:t>
            </w:r>
          </w:p>
        </w:tc>
        <w:tc>
          <w:tcPr>
            <w:tcW w:type="dxa" w:w="1512"/>
          </w:tcPr>
          <w:p>
            <w:r>
              <w:t>CW</w:t>
            </w:r>
          </w:p>
        </w:tc>
        <w:tc>
          <w:tcPr>
            <w:tcW w:type="dxa" w:w="1512"/>
          </w:tcPr>
          <w:p>
            <w:r>
              <w:t>0.7396</w:t>
            </w:r>
          </w:p>
        </w:tc>
        <w:tc>
          <w:tcPr>
            <w:tcW w:type="dxa" w:w="1512"/>
          </w:tcPr>
          <w:p>
            <w:r>
              <w:t>0.5839</w:t>
            </w:r>
          </w:p>
        </w:tc>
        <w:tc>
          <w:tcPr>
            <w:tcW w:type="dxa" w:w="1512"/>
          </w:tcPr>
          <w:p>
            <w:r>
              <w:t>0.5545</w:t>
            </w:r>
          </w:p>
        </w:tc>
      </w:tr>
      <w:tr>
        <w:tc>
          <w:tcPr>
            <w:tcW w:type="dxa" w:w="1512"/>
          </w:tcPr>
          <w:p>
            <w:r>
              <w:t>UNSW_NB15</w:t>
            </w:r>
          </w:p>
        </w:tc>
        <w:tc>
          <w:tcPr>
            <w:tcW w:type="dxa" w:w="1512"/>
          </w:tcPr>
          <w:p>
            <w:r>
              <w:t>XGB</w:t>
            </w:r>
          </w:p>
        </w:tc>
        <w:tc>
          <w:tcPr>
            <w:tcW w:type="dxa" w:w="1512"/>
          </w:tcPr>
          <w:p>
            <w:r>
              <w:t>CW</w:t>
            </w:r>
          </w:p>
        </w:tc>
        <w:tc>
          <w:tcPr>
            <w:tcW w:type="dxa" w:w="1512"/>
          </w:tcPr>
          <w:p>
            <w:r>
              <w:t>0.7304</w:t>
            </w:r>
          </w:p>
        </w:tc>
        <w:tc>
          <w:tcPr>
            <w:tcW w:type="dxa" w:w="1512"/>
          </w:tcPr>
          <w:p>
            <w:r>
              <w:t>0.6397</w:t>
            </w:r>
          </w:p>
        </w:tc>
        <w:tc>
          <w:tcPr>
            <w:tcW w:type="dxa" w:w="1512"/>
          </w:tcPr>
          <w:p>
            <w:r>
              <w:t>0.5738</w:t>
            </w:r>
          </w:p>
        </w:tc>
      </w:tr>
      <w:tr>
        <w:tc>
          <w:tcPr>
            <w:tcW w:type="dxa" w:w="1512"/>
          </w:tcPr>
          <w:p>
            <w:r>
              <w:t>UNSW_NB15</w:t>
            </w:r>
          </w:p>
        </w:tc>
        <w:tc>
          <w:tcPr>
            <w:tcW w:type="dxa" w:w="1512"/>
          </w:tcPr>
          <w:p>
            <w:r>
              <w:t>DNN</w:t>
            </w:r>
          </w:p>
        </w:tc>
        <w:tc>
          <w:tcPr>
            <w:tcW w:type="dxa" w:w="1512"/>
          </w:tcPr>
          <w:p>
            <w:r>
              <w:t>CW</w:t>
            </w:r>
          </w:p>
        </w:tc>
        <w:tc>
          <w:tcPr>
            <w:tcW w:type="dxa" w:w="1512"/>
          </w:tcPr>
          <w:p>
            <w:r>
              <w:t>0.6640</w:t>
            </w:r>
          </w:p>
        </w:tc>
        <w:tc>
          <w:tcPr>
            <w:tcW w:type="dxa" w:w="1512"/>
          </w:tcPr>
          <w:p>
            <w:r>
              <w:t>0.5589</w:t>
            </w:r>
          </w:p>
        </w:tc>
        <w:tc>
          <w:tcPr>
            <w:tcW w:type="dxa" w:w="1512"/>
          </w:tcPr>
          <w:p>
            <w:r>
              <w:t>0.4746</w:t>
            </w:r>
          </w:p>
        </w:tc>
      </w:tr>
      <w:tr>
        <w:tc>
          <w:tcPr>
            <w:tcW w:type="dxa" w:w="1512"/>
          </w:tcPr>
          <w:p>
            <w:r>
              <w:t>UNSW_NB15</w:t>
            </w:r>
          </w:p>
        </w:tc>
        <w:tc>
          <w:tcPr>
            <w:tcW w:type="dxa" w:w="1512"/>
          </w:tcPr>
          <w:p>
            <w:r>
              <w:t>RF</w:t>
            </w:r>
          </w:p>
        </w:tc>
        <w:tc>
          <w:tcPr>
            <w:tcW w:type="dxa" w:w="1512"/>
          </w:tcPr>
          <w:p>
            <w:r>
              <w:t>SMOTE</w:t>
            </w:r>
          </w:p>
        </w:tc>
        <w:tc>
          <w:tcPr>
            <w:tcW w:type="dxa" w:w="1512"/>
          </w:tcPr>
          <w:p>
            <w:r>
              <w:t>0.7311</w:t>
            </w:r>
          </w:p>
        </w:tc>
        <w:tc>
          <w:tcPr>
            <w:tcW w:type="dxa" w:w="1512"/>
          </w:tcPr>
          <w:p>
            <w:r>
              <w:t>0.5935</w:t>
            </w:r>
          </w:p>
        </w:tc>
        <w:tc>
          <w:tcPr>
            <w:tcW w:type="dxa" w:w="1512"/>
          </w:tcPr>
          <w:p>
            <w:r>
              <w:t>0.5423</w:t>
            </w:r>
          </w:p>
        </w:tc>
      </w:tr>
      <w:tr>
        <w:tc>
          <w:tcPr>
            <w:tcW w:type="dxa" w:w="1512"/>
          </w:tcPr>
          <w:p>
            <w:r>
              <w:t>UNSW_NB15</w:t>
            </w:r>
          </w:p>
        </w:tc>
        <w:tc>
          <w:tcPr>
            <w:tcW w:type="dxa" w:w="1512"/>
          </w:tcPr>
          <w:p>
            <w:r>
              <w:t>XGB</w:t>
            </w:r>
          </w:p>
        </w:tc>
        <w:tc>
          <w:tcPr>
            <w:tcW w:type="dxa" w:w="1512"/>
          </w:tcPr>
          <w:p>
            <w:r>
              <w:t>SMOTE</w:t>
            </w:r>
          </w:p>
        </w:tc>
        <w:tc>
          <w:tcPr>
            <w:tcW w:type="dxa" w:w="1512"/>
          </w:tcPr>
          <w:p>
            <w:r>
              <w:t>0.7423</w:t>
            </w:r>
          </w:p>
        </w:tc>
        <w:tc>
          <w:tcPr>
            <w:tcW w:type="dxa" w:w="1512"/>
          </w:tcPr>
          <w:p>
            <w:r>
              <w:t>0.6240</w:t>
            </w:r>
          </w:p>
        </w:tc>
        <w:tc>
          <w:tcPr>
            <w:tcW w:type="dxa" w:w="1512"/>
          </w:tcPr>
          <w:p>
            <w:r>
              <w:t>0.5742</w:t>
            </w:r>
          </w:p>
        </w:tc>
      </w:tr>
      <w:tr>
        <w:tc>
          <w:tcPr>
            <w:tcW w:type="dxa" w:w="1512"/>
          </w:tcPr>
          <w:p>
            <w:r>
              <w:t>UNSW_NB15</w:t>
            </w:r>
          </w:p>
        </w:tc>
        <w:tc>
          <w:tcPr>
            <w:tcW w:type="dxa" w:w="1512"/>
          </w:tcPr>
          <w:p>
            <w:r>
              <w:t>DNN</w:t>
            </w:r>
          </w:p>
        </w:tc>
        <w:tc>
          <w:tcPr>
            <w:tcW w:type="dxa" w:w="1512"/>
          </w:tcPr>
          <w:p>
            <w:r>
              <w:t>SMOTE</w:t>
            </w:r>
          </w:p>
        </w:tc>
        <w:tc>
          <w:tcPr>
            <w:tcW w:type="dxa" w:w="1512"/>
          </w:tcPr>
          <w:p>
            <w:r>
              <w:t>0.7100</w:t>
            </w:r>
          </w:p>
        </w:tc>
        <w:tc>
          <w:tcPr>
            <w:tcW w:type="dxa" w:w="1512"/>
          </w:tcPr>
          <w:p>
            <w:r>
              <w:t>0.6023</w:t>
            </w:r>
          </w:p>
        </w:tc>
        <w:tc>
          <w:tcPr>
            <w:tcW w:type="dxa" w:w="1512"/>
          </w:tcPr>
          <w:p>
            <w:r>
              <w:t>0.5134</w:t>
            </w:r>
          </w:p>
        </w:tc>
      </w:tr>
      <w:tr>
        <w:tc>
          <w:tcPr>
            <w:tcW w:type="dxa" w:w="1512"/>
          </w:tcPr>
          <w:p>
            <w:r>
              <w:t>CIC_IDS2017</w:t>
            </w:r>
          </w:p>
        </w:tc>
        <w:tc>
          <w:tcPr>
            <w:tcW w:type="dxa" w:w="1512"/>
          </w:tcPr>
          <w:p>
            <w:r>
              <w:t>RF</w:t>
            </w:r>
          </w:p>
        </w:tc>
        <w:tc>
          <w:tcPr>
            <w:tcW w:type="dxa" w:w="1512"/>
          </w:tcPr>
          <w:p>
            <w:r>
              <w:t>CW</w:t>
            </w:r>
          </w:p>
        </w:tc>
        <w:tc>
          <w:tcPr>
            <w:tcW w:type="dxa" w:w="1512"/>
          </w:tcPr>
          <w:p>
            <w:r>
              <w:t>0.9983</w:t>
            </w:r>
          </w:p>
        </w:tc>
        <w:tc>
          <w:tcPr>
            <w:tcW w:type="dxa" w:w="1512"/>
          </w:tcPr>
          <w:p>
            <w:r>
              <w:t>0.7903</w:t>
            </w:r>
          </w:p>
        </w:tc>
        <w:tc>
          <w:tcPr>
            <w:tcW w:type="dxa" w:w="1512"/>
          </w:tcPr>
          <w:p>
            <w:r>
              <w:t>0.7917</w:t>
            </w:r>
          </w:p>
        </w:tc>
      </w:tr>
      <w:tr>
        <w:tc>
          <w:tcPr>
            <w:tcW w:type="dxa" w:w="1512"/>
          </w:tcPr>
          <w:p>
            <w:r>
              <w:t>CIC_IDS2017</w:t>
            </w:r>
          </w:p>
        </w:tc>
        <w:tc>
          <w:tcPr>
            <w:tcW w:type="dxa" w:w="1512"/>
          </w:tcPr>
          <w:p>
            <w:r>
              <w:t>XGB</w:t>
            </w:r>
          </w:p>
        </w:tc>
        <w:tc>
          <w:tcPr>
            <w:tcW w:type="dxa" w:w="1512"/>
          </w:tcPr>
          <w:p>
            <w:r>
              <w:t>CW</w:t>
            </w:r>
          </w:p>
        </w:tc>
        <w:tc>
          <w:tcPr>
            <w:tcW w:type="dxa" w:w="1512"/>
          </w:tcPr>
          <w:p>
            <w:r>
              <w:t>0.9991</w:t>
            </w:r>
          </w:p>
        </w:tc>
        <w:tc>
          <w:tcPr>
            <w:tcW w:type="dxa" w:w="1512"/>
          </w:tcPr>
          <w:p>
            <w:r>
              <w:t>0.9943</w:t>
            </w:r>
          </w:p>
        </w:tc>
        <w:tc>
          <w:tcPr>
            <w:tcW w:type="dxa" w:w="1512"/>
          </w:tcPr>
          <w:p>
            <w:r>
              <w:t>0.9817</w:t>
            </w:r>
          </w:p>
        </w:tc>
      </w:tr>
      <w:tr>
        <w:tc>
          <w:tcPr>
            <w:tcW w:type="dxa" w:w="1512"/>
          </w:tcPr>
          <w:p>
            <w:r>
              <w:t>CIC_IDS2017</w:t>
            </w:r>
          </w:p>
        </w:tc>
        <w:tc>
          <w:tcPr>
            <w:tcW w:type="dxa" w:w="1512"/>
          </w:tcPr>
          <w:p>
            <w:r>
              <w:t>DNN</w:t>
            </w:r>
          </w:p>
        </w:tc>
        <w:tc>
          <w:tcPr>
            <w:tcW w:type="dxa" w:w="1512"/>
          </w:tcPr>
          <w:p>
            <w:r>
              <w:t>CW</w:t>
            </w:r>
          </w:p>
        </w:tc>
        <w:tc>
          <w:tcPr>
            <w:tcW w:type="dxa" w:w="1512"/>
          </w:tcPr>
          <w:p>
            <w:r>
              <w:t>0.9461</w:t>
            </w:r>
          </w:p>
        </w:tc>
        <w:tc>
          <w:tcPr>
            <w:tcW w:type="dxa" w:w="1512"/>
          </w:tcPr>
          <w:p>
            <w:r>
              <w:t>0.6483</w:t>
            </w:r>
          </w:p>
        </w:tc>
        <w:tc>
          <w:tcPr>
            <w:tcW w:type="dxa" w:w="1512"/>
          </w:tcPr>
          <w:p>
            <w:r>
              <w:t>0.6830</w:t>
            </w:r>
          </w:p>
        </w:tc>
      </w:tr>
      <w:tr>
        <w:tc>
          <w:tcPr>
            <w:tcW w:type="dxa" w:w="1512"/>
          </w:tcPr>
          <w:p>
            <w:r>
              <w:t>CIC_IDS2017</w:t>
            </w:r>
          </w:p>
        </w:tc>
        <w:tc>
          <w:tcPr>
            <w:tcW w:type="dxa" w:w="1512"/>
          </w:tcPr>
          <w:p>
            <w:r>
              <w:t>RF</w:t>
            </w:r>
          </w:p>
        </w:tc>
        <w:tc>
          <w:tcPr>
            <w:tcW w:type="dxa" w:w="1512"/>
          </w:tcPr>
          <w:p>
            <w:r>
              <w:t>SMOTE</w:t>
            </w:r>
          </w:p>
        </w:tc>
        <w:tc>
          <w:tcPr>
            <w:tcW w:type="dxa" w:w="1512"/>
          </w:tcPr>
          <w:p>
            <w:r>
              <w:t>0.9984</w:t>
            </w:r>
          </w:p>
        </w:tc>
        <w:tc>
          <w:tcPr>
            <w:tcW w:type="dxa" w:w="1512"/>
          </w:tcPr>
          <w:p>
            <w:r>
              <w:t>0.9368</w:t>
            </w:r>
          </w:p>
        </w:tc>
        <w:tc>
          <w:tcPr>
            <w:tcW w:type="dxa" w:w="1512"/>
          </w:tcPr>
          <w:p>
            <w:r>
              <w:t>0.9573</w:t>
            </w:r>
          </w:p>
        </w:tc>
      </w:tr>
      <w:tr>
        <w:tc>
          <w:tcPr>
            <w:tcW w:type="dxa" w:w="1512"/>
          </w:tcPr>
          <w:p>
            <w:r>
              <w:t>CIC_IDS2017</w:t>
            </w:r>
          </w:p>
        </w:tc>
        <w:tc>
          <w:tcPr>
            <w:tcW w:type="dxa" w:w="1512"/>
          </w:tcPr>
          <w:p>
            <w:r>
              <w:t>XGB</w:t>
            </w:r>
          </w:p>
        </w:tc>
        <w:tc>
          <w:tcPr>
            <w:tcW w:type="dxa" w:w="1512"/>
          </w:tcPr>
          <w:p>
            <w:r>
              <w:t>SMOTE</w:t>
            </w:r>
          </w:p>
        </w:tc>
        <w:tc>
          <w:tcPr>
            <w:tcW w:type="dxa" w:w="1512"/>
          </w:tcPr>
          <w:p>
            <w:r>
              <w:t>0.9989</w:t>
            </w:r>
          </w:p>
        </w:tc>
        <w:tc>
          <w:tcPr>
            <w:tcW w:type="dxa" w:w="1512"/>
          </w:tcPr>
          <w:p>
            <w:r>
              <w:t>0.9657</w:t>
            </w:r>
          </w:p>
        </w:tc>
        <w:tc>
          <w:tcPr>
            <w:tcW w:type="dxa" w:w="1512"/>
          </w:tcPr>
          <w:p>
            <w:r>
              <w:t>0.9778</w:t>
            </w:r>
          </w:p>
        </w:tc>
      </w:tr>
      <w:tr>
        <w:tc>
          <w:tcPr>
            <w:tcW w:type="dxa" w:w="1512"/>
          </w:tcPr>
          <w:p>
            <w:r>
              <w:t>CIC_IDS2017</w:t>
            </w:r>
          </w:p>
        </w:tc>
        <w:tc>
          <w:tcPr>
            <w:tcW w:type="dxa" w:w="1512"/>
          </w:tcPr>
          <w:p>
            <w:r>
              <w:t>DNN</w:t>
            </w:r>
          </w:p>
        </w:tc>
        <w:tc>
          <w:tcPr>
            <w:tcW w:type="dxa" w:w="1512"/>
          </w:tcPr>
          <w:p>
            <w:r>
              <w:t>SMOTE</w:t>
            </w:r>
          </w:p>
        </w:tc>
        <w:tc>
          <w:tcPr>
            <w:tcW w:type="dxa" w:w="1512"/>
          </w:tcPr>
          <w:p>
            <w:r>
              <w:t>0.9802</w:t>
            </w:r>
          </w:p>
        </w:tc>
        <w:tc>
          <w:tcPr>
            <w:tcW w:type="dxa" w:w="1512"/>
          </w:tcPr>
          <w:p>
            <w:r>
              <w:t>0.8529</w:t>
            </w:r>
          </w:p>
        </w:tc>
        <w:tc>
          <w:tcPr>
            <w:tcW w:type="dxa" w:w="1512"/>
          </w:tcPr>
          <w:p>
            <w:r>
              <w:t>0.8774</w:t>
            </w:r>
          </w:p>
        </w:tc>
      </w:tr>
    </w:tbl>
    <w:p>
      <w:pPr>
        <w:jc w:val="center"/>
      </w:pPr>
      <w:r>
        <w:rPr>
          <w:i/>
          <w:sz w:val="18"/>
        </w:rPr>
        <w:t>Table 1. Overall model evaluation across 18 (dataset × architecture × sampling) combinations.</w:t>
      </w:r>
    </w:p>
    <w:p>
      <w:pPr>
        <w:pStyle w:val="Heading2"/>
      </w:pPr>
      <w:r>
        <w:t>2.2 Confusion matrices — best and worst per dataset</w:t>
      </w:r>
    </w:p>
    <w:p>
      <w:r>
        <w:rPr>
          <w:b w:val="0"/>
          <w:i w:val="0"/>
          <w:sz w:val="22"/>
        </w:rPr>
        <w:t>Confusion matrices for the best and worst-performing model per dataset (selected by macro-F1) reveal the underlying failure patterns. Cell values show count and row-normalized percentage (proportion of true class).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882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nsl_kdd_xgb_5class_smote_b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NSL-KDD best model (XGB SMOTE, macro-F1 = 0.594). Even in the best NSL model, R2L recall is only 10.0% (89.5% predicted as Normal) and U2R recall 20.9%.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882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nsl_kdd_rf_5class_cw_wor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NSL-KDD worst model (RF CW, macro-F1 = 0.533). R2L recall drops to 3.9% and U2R to 7.5% — almost all rare-class samples predicted as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882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unsw_nb15_xgb_5class_smote_b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UNSW-NB15 best model (XGB SMOTE, macro-F1 = 0.574). DoS recall only 9.0% — 86.5% of true DoS samples predicted as R2L. This DoS↔R2L confusion is a dataset characteristic (see §2.3).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882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unsw_nb15_dnn_5class_cw_wor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7. UNSW-NB15 worst model (DNN CW, macro-F1 = 0.475). DoS recall drops to 1.9% (95.4% predicted as R2L); Normal also leaks heavily to R2L (35.3%).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882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cic_ids2017_xgb_5class_cw_b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8. CIC-IDS2017 best model (XGB CW, macro-F1 = 0.982). Near-perfect diagonal — the high-accuracy regime where conformal thresholds become near-degenerate.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882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cic_ids2017_dnn_5class_cw_wor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 CIC-IDS2017 worst model (DNN CW, macro-F1 = 0.683). DNN underperforms trees significantly on CIC — R2L recall 23.3% and U2R 28.6%, with most failures leaking to Normal.</w:t>
      </w:r>
    </w:p>
    <w:p>
      <w:pPr>
        <w:pStyle w:val="Heading2"/>
      </w:pPr>
      <w:r>
        <w:t>2.3 UNSW DoS-vs-R2L confusion: a dataset characteristic</w:t>
      </w:r>
    </w:p>
    <w:p>
      <w:r>
        <w:rPr>
          <w:b w:val="0"/>
          <w:i w:val="0"/>
          <w:sz w:val="22"/>
        </w:rPr>
        <w:t>A consistent finding across all six UNSW-NB15 models is a severe systematic confusion between true DoS samples and the R2L class. In the best UNSW model (XGB SMOTE), 86.5% of true DoS samples are predicted as R2L, with DoS recall at only 9.0%. In the worst (DNN CW), DoS recall drops to 1.9% with 95.4% leakage to R2L. The confusion is bidirectional: of all samples predicted as DoS, roughly 45% are actually DoS and 45% are actually R2L.</w:t>
      </w:r>
    </w:p>
    <w:p>
      <w:r>
        <w:rPr>
          <w:b w:val="0"/>
          <w:i w:val="0"/>
          <w:sz w:val="22"/>
        </w:rPr>
        <w:t>This pattern does NOT reflect a calibration failure (UNSW DoS-class calibration is healthy per §4) and does NOT indicate a flaw in the X-IDS framework. Rather, it reflects feature-space overlap between UNSW-NB15's DoS and R2L class definitions — a documented issue with the original UNSW-NB15 dataset where attack categories share feature signatures (e.g., reconnaissance probes that produce DoS-like traffic patterns).</w:t>
      </w:r>
    </w:p>
    <w:p>
      <w:r>
        <w:rPr>
          <w:b w:val="0"/>
          <w:i w:val="0"/>
          <w:sz w:val="22"/>
        </w:rPr>
        <w:t>Macro-AUC for UNSW models is 0.92–0.95, indicating that the models do discriminate DoS from non-DoS in probability space; the issue is at the argmax level where R2L tends to win ties. A threshold-tuning or cost-sensitive decision rule could improve operational DoS detection without changing the underlying model — this is noted as future work.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b/>
              </w:rPr>
              <w:t xml:space="preserve">Key finding: </w:t>
            </w:r>
            <w:r>
              <w:t>Model evaluation reveals heterogeneous failure patterns across datasets. NSL-KDD suffers from a calibration cliff on rare classes (R2L, U2R), motivating the SCTS health flag (§7). UNSW-NB15 shows systematic DoS↔R2L confusion as a dataset characteristic. CIC-IDS2017 reaches the high-accuracy ceiling with XGB, where DNN underperforms. No single architecture wins across datasets.</w:t>
            </w:r>
          </w:p>
        </w:tc>
      </w:tr>
    </w:tbl>
    <w:p>
      <w:r>
        <w:br w:type="page"/>
      </w:r>
    </w:p>
    <w:p>
      <w:pPr>
        <w:pStyle w:val="Heading1"/>
      </w:pPr>
      <w:r>
        <w:t>3. Calibration Analysis</w:t>
      </w:r>
    </w:p>
    <w:p>
      <w:r>
        <w:rPr>
          <w:b w:val="0"/>
          <w:i w:val="0"/>
          <w:sz w:val="22"/>
        </w:rPr>
        <w:t>All predictions used downstream in SCTS-v2, the health flag, and SHAP analysis are calibrated probabilities. Calibration is performed using hybrid Platt scaling (for rare classes where n_calib &lt; 30) or isotonic regression (otherwise), refit from training residuals. Reliability diagrams below visualize the empirical top-label calibration of each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95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nsl_kd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 NSL-KDD reliability diagrams across all 6 models. Curves deviating from the diagonal indicate miscalibration. NSL models show systematic over-confidence at high predicted probability — the calibration cliff on rare classes.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95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unsw_nb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11. UNSW-NB15 reliability diagrams. Calibration is closer to the diagonal than NSL but still shows some over-confidence on high-probability predictions.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95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cic_ids201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12. CIC-IDS2017 reliability diagrams. Most CIC models hug the diagonal closely, consistent with the high-accuracy regime where calibration is well-defined.</w:t>
      </w:r>
    </w:p>
    <w:p>
      <w:pPr>
        <w:pStyle w:val="Heading2"/>
      </w:pPr>
      <w:r>
        <w:t>3.1 Per-class Brier scores with bootstrap CIs</w:t>
      </w:r>
    </w:p>
    <w:p>
      <w:r>
        <w:rPr>
          <w:b w:val="0"/>
          <w:i w:val="0"/>
          <w:sz w:val="22"/>
        </w:rPr>
        <w:t>Per-class Brier score (one-vs-rest, lower is better) with 95% bootstrap CIs averaged across 6 models per dataset. Note the substantial gap between NSL/UNSW Normal and R2L Brier (≈0.12-0.19) vs CIC Brier (≈0.001-0.009). This directly motivates the trust score and health flag.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666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er_per_class_with_c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6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13. Per-class Brier scores (one-vs-rest) with 95% bootstrap CIs. NSL Normal and R2L are 10-100× worse calibrated than their CIC equivalents.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b/>
              </w:rPr>
              <w:t xml:space="preserve">Key finding: </w:t>
            </w:r>
            <w:r>
              <w:t>NSL-KDD exhibits a calibration cliff on Normal and R2L classes (Brier ≈0.12-0.19), an order of magnitude worse than CIC-IDS2017 equivalents. This cliff propagates to downstream trust score unreliability on NSL — motivating the calibration health flag in §7.</w:t>
            </w:r>
          </w:p>
        </w:tc>
      </w:tr>
    </w:tbl>
    <w:p>
      <w:r>
        <w:br w:type="page"/>
      </w:r>
    </w:p>
    <w:p>
      <w:pPr>
        <w:pStyle w:val="Heading1"/>
      </w:pPr>
      <w:r>
        <w:t>4. SHAP Feature Attributions and Cross-Architecture Agreement</w:t>
      </w:r>
    </w:p>
    <w:p>
      <w:r>
        <w:rPr>
          <w:b w:val="0"/>
          <w:i w:val="0"/>
          <w:sz w:val="22"/>
        </w:rPr>
        <w:t>SHAP values are computed per-sample on a canonical set of 1,000 shared test samples per dataset, using KernelSHAP for DNN and TreeSHAP for tree models. Cross-architecture agreement is measured via the Krishna et al. (2022) rank correlation (RC) metric, computed per sample and aggregated.</w:t>
      </w:r>
    </w:p>
    <w:p>
      <w:pPr>
        <w:pStyle w:val="Heading2"/>
      </w:pPr>
      <w:r>
        <w:t>4.1 Per-dataset SHAP agreement heatmaps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53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ishna_heatmap_nsl_kd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14. NSL-KDD Krishna RC per (variant × pair) with 95% bootstrap CIs. Asterisks (*) mark CIs excluding zero. Note the strong RF-XGB agreement (positive) and the significantly NEGATIVE XGB-DNN agreement.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53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ishna_heatmap_unsw_nb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15. UNSW-NB15 Krishna RC. All pairs show positive agreement on UNSW; RF-XGB strongest at ~0.55.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53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ishna_heatmap_cic_ids20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16. CIC-IDS2017 Krishna RC. Tree-pair strongest (~0.31); RF-DNN barely negative.</w:t>
      </w:r>
    </w:p>
    <w:p>
      <w:pPr>
        <w:pStyle w:val="Heading2"/>
      </w:pPr>
      <w:r>
        <w:t>4.2 Per-pair RC summary across datasets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971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ishna_per_pair_summary_with_ci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17. Per-pair Krishna RC across all three datasets with 95% bootstrap CIs. ✓ marks significant positive agreement; ✗ marks significant negative agreement. RF-XGB (tree-pair) is consistently strong; tree-vs-DNN agreement is weak or, on NSL XGB-DNN, significantly NEGATIVE.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b/>
              </w:rPr>
              <w:t xml:space="preserve">Key finding: </w:t>
            </w:r>
            <w:r>
              <w:t>Tree-pair (RF-XGB) SHAP rankings agree strongly across all datasets (RC 0.32-0.59). Tree-vs-DNN SHAP rankings diverge: weak agreement on UNSW (RC 0.18-0.26), near-zero on CIC RF-DNN, and significantly NEGATIVE on NSL XGB-DNN (RC = -0.131, CI [-0.143, -0.118]). DNN-based explanations should not be assumed to corroborate tree-based explanations — they may actively contradict.</w:t>
            </w:r>
          </w:p>
        </w:tc>
      </w:tr>
    </w:tbl>
    <w:p>
      <w:r>
        <w:br w:type="page"/>
      </w:r>
    </w:p>
    <w:p>
      <w:pPr>
        <w:pStyle w:val="Heading1"/>
      </w:pPr>
      <w:r>
        <w:t>5. Explanation Stability Under Adversarial Perturbation</w:t>
      </w:r>
    </w:p>
    <w:p>
      <w:r>
        <w:rPr>
          <w:b w:val="0"/>
          <w:i w:val="0"/>
          <w:sz w:val="22"/>
        </w:rPr>
        <w:t>Per-sample SHAP top-10 stability under three perturbation types (Gaussian noise σ=0.05, FGSM ε=0.05, PGD ε=0.05) measured via Jaccard@10 between perturbed and original feature rankings. Bootstrapped over 3,000 samples per (dataset, model) (1,000 canonical × 3 perturbations).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0219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bility_mean_jaccard_per_mode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18. Mean Jaccard@10 stability per (dataset, model) with 95% bootstrap CIs. Solid bars = CW sampling, hatched = SMOTE.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56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bility_dnn_advantage_fore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19. DNN advantage forest plot: 12 paired DNN-minus-tree comparisons. Green = DNN significantly more stable; Red = DNN significantly less stable. The NSL exception is unambiguous in CIs.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b/>
              </w:rPr>
              <w:t xml:space="preserve">Key finding: </w:t>
            </w:r>
            <w:r>
              <w:t>DNN explanations are significantly more stable than tree-based explanations in 9 of 12 paired comparisons (UNSW 4/4, CIC 4/4, NSL 1/4 — SMOTE vs RF only). On NSL with class weighting, DNN is significantly LESS stable than both tree architectures. CIC trees achieve near-perfect accuracy but their SHAP rankings are surprisingly unstable, with DNN providing 7-32 points of Jaccard advantage. Architecture choice for stable explanations is dataset-dependent.</w:t>
            </w:r>
          </w:p>
        </w:tc>
      </w:tr>
    </w:tbl>
    <w:p>
      <w:r>
        <w:br w:type="page"/>
      </w:r>
    </w:p>
    <w:p>
      <w:pPr>
        <w:pStyle w:val="Heading1"/>
      </w:pPr>
      <w:r>
        <w:t>6. SCTS-v2 Trust Score and Calibration Health Flag</w:t>
      </w:r>
    </w:p>
    <w:p>
      <w:r>
        <w:rPr>
          <w:b w:val="0"/>
          <w:i w:val="0"/>
          <w:sz w:val="22"/>
        </w:rPr>
        <w:t>SCTS-v2 is a per-sample trust score combining three components: c₁ (calibrated probability of the predicted class), c₂ (per-sample SHAP stability, minimum Jaccard@10 across perturbations), and c₃ (Mondrian per-class conformal prediction with n&lt;30 fallback). The trust score is the geometric mean: SCTS = (c₁·c₂·c₃)^(1/3) × 100, range [0, 100].</w:t>
      </w:r>
    </w:p>
    <w:p>
      <w:pPr>
        <w:pStyle w:val="Heading2"/>
      </w:pPr>
      <w:r>
        <w:t>6.1 SCTS-vs-correctness per dataset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29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ts_scatter_nsl_kd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2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20. NSL-KDD SCTS-vs-correctness. The binned mean accuracy line is approximately flat (Pearson +0.055 [-0.031, +0.145], NOT significant). On NSL, SCTS provides no reliable signal of correctness — motivating the health flag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294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ts_scatter_unsw_nb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2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21. UNSW-NB15 SCTS-vs-correctness (Pearson +0.465 [+0.438, +0.491], significantly positive). The binned mean line slopes clearly upward — SCTS predicts correctness.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294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ts_scatter_cic_ids201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2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22. CIC-IDS2017 SCTS-vs-correctness (Pearson +0.318 [+0.233, +0.408], significantly positive). Slope is monotonic but limited by the high-accuracy ceiling.</w:t>
      </w:r>
    </w:p>
    <w:p>
      <w:pPr>
        <w:pStyle w:val="Heading2"/>
      </w:pPr>
      <w:r>
        <w:t>6.2 Calibration health flag (3-signal)</w:t>
      </w:r>
    </w:p>
    <w:p>
      <w:r>
        <w:rPr>
          <w:b w:val="0"/>
          <w:i w:val="0"/>
          <w:sz w:val="22"/>
        </w:rPr>
        <w:t>The calibration health flag assigns one of three colors per (model, predicted-class) cell based on three signals: (1) Mondrian threshold near-degeneracy, (2) per-predicted-class calibration cliff fraction (samples with p̂(true)≥0.95), (3) calibration support count. The overall flag is the worst of the three signals. Per-sample flag is joined by predicted class.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895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_distribution_class_and_samp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23. Flag distribution at class-level (90 cells, left) and sample-level (18,000 canonical samples, right). NSL is dominated by RED; CIC by RED/AMBER; UNSW is mostly GREEN.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543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ts_distribution_by_fla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24. SCTS distributions by flag color, split by correctness. Within each flag group, higher SCTS does weakly predict correctness; the within-flag mean Pearson is +0.29 / +0.35 / +0.18 for GREEN/AMBER/RED.</w:t>
      </w:r>
    </w:p>
    <w:p>
      <w:pPr>
        <w:pStyle w:val="Heading2"/>
      </w:pPr>
      <w:r>
        <w:t>6.3 NSL R2L: catastrophic failure cohort caught by the flag</w:t>
      </w:r>
    </w:p>
    <w:p>
      <w:r>
        <w:rPr>
          <w:b w:val="0"/>
          <w:i w:val="0"/>
          <w:sz w:val="22"/>
        </w:rPr>
        <w:t>The most diagnostic test of the calibration health flag is the NSL R2L cohort: 1,278 true-R2L samples across 6 NSL models, where the model is wrong ≈93% of the time but SCTS can exceed 75. The flag correctly marks this failure cohort as untrustworthy.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9900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l_r2l_flag_breakdow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25. NSL R2L true-class flag breakdown per model. RED bars dominate (94.4% of 1,278 samples, 95% Wilson CI [93.0%, 95.5%]). GREEN bars represent rare correctly-predicted R2L samples (accuracy = 1.0) — the flag correctly distinguishes these.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b/>
              </w:rPr>
              <w:t xml:space="preserve">Key finding: </w:t>
            </w:r>
            <w:r>
              <w:t>SCTS-v2 with the calibration health flag achieves operationally responsible deployment: on datasets where the trust score correlates with correctness (UNSW, CIC), the flag confirms reliability. On datasets where the trust score fails (NSL R2L cohort), the flag catches 94.4% of the failure cohort and warns the operator. The GREEN-vs-RED within-flag Pearson differential (+0.29 vs +0.18, gap +0.11) is in the expected direction but not statistically significant at α=0.05 (95% CI: -0.016 to +0.230) — the flag is validated by its catch-rate, not by Pearson differential.</w:t>
            </w:r>
          </w:p>
        </w:tc>
      </w:tr>
    </w:tbl>
    <w:p>
      <w:r>
        <w:br w:type="page"/>
      </w:r>
    </w:p>
    <w:p>
      <w:pPr>
        <w:pStyle w:val="Heading1"/>
      </w:pPr>
      <w:r>
        <w:t>7. Bootstrap CI Summary Across All 7 Claims</w:t>
      </w:r>
    </w:p>
    <w:p>
      <w:r>
        <w:rPr>
          <w:b w:val="0"/>
          <w:i w:val="0"/>
          <w:sz w:val="22"/>
        </w:rPr>
        <w:t>All key paper claims were tested with 95% bootstrap CIs (B=1000, percentile method, Wilson for the binomial proportion). Of 7 targets, 4 were confirmed strongly, 3 required refinement, and 1 (the GREEN-vs-RED Pearson gap) failed at α=0.05.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20481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ci_summary_fores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0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26. Master CI summary forest plot across 7 targets. Green = significantly positive; Red = significantly negative; Gray = not significant. Each target shows point estimate + 95% bootstrap CI.</w:t>
      </w:r>
    </w:p>
    <w:p>
      <w:pPr>
        <w:pStyle w:val="Heading2"/>
      </w:pPr>
      <w:r>
        <w:t>7.1 Outcome status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CI status</w:t>
            </w:r>
          </w:p>
        </w:tc>
        <w:tc>
          <w:tcPr>
            <w:tcW w:type="dxa" w:w="3024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3024"/>
          </w:tcPr>
          <w:p>
            <w:r>
              <w:t>UNSW SCTS Pearson +0.465 [+0.438, +0.491]</w:t>
            </w:r>
          </w:p>
        </w:tc>
        <w:tc>
          <w:tcPr>
            <w:tcW w:type="dxa" w:w="3024"/>
          </w:tcPr>
          <w:p>
            <w:r>
              <w:t>Confirmed</w:t>
            </w:r>
          </w:p>
        </w:tc>
        <w:tc>
          <w:tcPr>
            <w:tcW w:type="dxa" w:w="3024"/>
          </w:tcPr>
          <w:p>
            <w:r>
              <w:t>Strong claim</w:t>
            </w:r>
          </w:p>
        </w:tc>
      </w:tr>
      <w:tr>
        <w:tc>
          <w:tcPr>
            <w:tcW w:type="dxa" w:w="3024"/>
          </w:tcPr>
          <w:p>
            <w:r>
              <w:t>CIC SCTS Pearson +0.318 [+0.233, +0.408]</w:t>
            </w:r>
          </w:p>
        </w:tc>
        <w:tc>
          <w:tcPr>
            <w:tcW w:type="dxa" w:w="3024"/>
          </w:tcPr>
          <w:p>
            <w:r>
              <w:t>Confirmed</w:t>
            </w:r>
          </w:p>
        </w:tc>
        <w:tc>
          <w:tcPr>
            <w:tcW w:type="dxa" w:w="3024"/>
          </w:tcPr>
          <w:p>
            <w:r>
              <w:t>Strong claim</w:t>
            </w:r>
          </w:p>
        </w:tc>
      </w:tr>
      <w:tr>
        <w:tc>
          <w:tcPr>
            <w:tcW w:type="dxa" w:w="3024"/>
          </w:tcPr>
          <w:p>
            <w:r>
              <w:t>NSL R2L 94.4% RED-flag rate [93.0%, 95.5%]</w:t>
            </w:r>
          </w:p>
        </w:tc>
        <w:tc>
          <w:tcPr>
            <w:tcW w:type="dxa" w:w="3024"/>
          </w:tcPr>
          <w:p>
            <w:r>
              <w:t>Confirmed</w:t>
            </w:r>
          </w:p>
        </w:tc>
        <w:tc>
          <w:tcPr>
            <w:tcW w:type="dxa" w:w="3024"/>
          </w:tcPr>
          <w:p>
            <w:r>
              <w:t>Strongest empirical finding</w:t>
            </w:r>
          </w:p>
        </w:tc>
      </w:tr>
      <w:tr>
        <w:tc>
          <w:tcPr>
            <w:tcW w:type="dxa" w:w="3024"/>
          </w:tcPr>
          <w:p>
            <w:r>
              <w:t>Calibration Brier per-class</w:t>
            </w:r>
          </w:p>
        </w:tc>
        <w:tc>
          <w:tcPr>
            <w:tcW w:type="dxa" w:w="3024"/>
          </w:tcPr>
          <w:p>
            <w:r>
              <w:t>Confirmed</w:t>
            </w:r>
          </w:p>
        </w:tc>
        <w:tc>
          <w:tcPr>
            <w:tcW w:type="dxa" w:w="3024"/>
          </w:tcPr>
          <w:p>
            <w:r>
              <w:t>All tight CIs</w:t>
            </w:r>
          </w:p>
        </w:tc>
      </w:tr>
      <w:tr>
        <w:tc>
          <w:tcPr>
            <w:tcW w:type="dxa" w:w="3024"/>
          </w:tcPr>
          <w:p>
            <w:r>
              <w:t>NSL SCTS Pearson +0.055 [-0.031, +0.145]</w:t>
            </w:r>
          </w:p>
        </w:tc>
        <w:tc>
          <w:tcPr>
            <w:tcW w:type="dxa" w:w="3024"/>
          </w:tcPr>
          <w:p>
            <w:r>
              <w:t>Refined</w:t>
            </w:r>
          </w:p>
        </w:tc>
        <w:tc>
          <w:tcPr>
            <w:tcW w:type="dxa" w:w="3024"/>
          </w:tcPr>
          <w:p>
            <w:r>
              <w:t>NOT significantly different from zero</w:t>
            </w:r>
          </w:p>
        </w:tc>
      </w:tr>
      <w:tr>
        <w:tc>
          <w:tcPr>
            <w:tcW w:type="dxa" w:w="3024"/>
          </w:tcPr>
          <w:p>
            <w:r>
              <w:t>DNN stability advantage</w:t>
            </w:r>
          </w:p>
        </w:tc>
        <w:tc>
          <w:tcPr>
            <w:tcW w:type="dxa" w:w="3024"/>
          </w:tcPr>
          <w:p>
            <w:r>
              <w:t>Refined</w:t>
            </w:r>
          </w:p>
        </w:tc>
        <w:tc>
          <w:tcPr>
            <w:tcW w:type="dxa" w:w="3024"/>
          </w:tcPr>
          <w:p>
            <w:r>
              <w:t>9/12 significant, NSL exception</w:t>
            </w:r>
          </w:p>
        </w:tc>
      </w:tr>
      <w:tr>
        <w:tc>
          <w:tcPr>
            <w:tcW w:type="dxa" w:w="3024"/>
          </w:tcPr>
          <w:p>
            <w:r>
              <w:t>Krishna RC structure</w:t>
            </w:r>
          </w:p>
        </w:tc>
        <w:tc>
          <w:tcPr>
            <w:tcW w:type="dxa" w:w="3024"/>
          </w:tcPr>
          <w:p>
            <w:r>
              <w:t>Refined</w:t>
            </w:r>
          </w:p>
        </w:tc>
        <w:tc>
          <w:tcPr>
            <w:tcW w:type="dxa" w:w="3024"/>
          </w:tcPr>
          <w:p>
            <w:r>
              <w:t>Per-pair: tree-pair strong, tree-DNN weak/negative</w:t>
            </w:r>
          </w:p>
        </w:tc>
      </w:tr>
      <w:tr>
        <w:tc>
          <w:tcPr>
            <w:tcW w:type="dxa" w:w="3024"/>
          </w:tcPr>
          <w:p>
            <w:r>
              <w:t>GREEN-vs-RED Pearson gap +0.108 [-0.016, +0.230]</w:t>
            </w:r>
          </w:p>
        </w:tc>
        <w:tc>
          <w:tcPr>
            <w:tcW w:type="dxa" w:w="3024"/>
          </w:tcPr>
          <w:p>
            <w:r>
              <w:t>Failed</w:t>
            </w:r>
          </w:p>
        </w:tc>
        <w:tc>
          <w:tcPr>
            <w:tcW w:type="dxa" w:w="3024"/>
          </w:tcPr>
          <w:p>
            <w:r>
              <w:t>NOT significant at α=0.05</w:t>
            </w:r>
          </w:p>
        </w:tc>
      </w:tr>
    </w:tbl>
    <w:p>
      <w:pPr>
        <w:jc w:val="center"/>
      </w:pPr>
      <w:r>
        <w:rPr>
          <w:i/>
          <w:sz w:val="18"/>
        </w:rPr>
        <w:t>Table 2. Status of 7 paper claims after Day 4 bootstrap CI analysis.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b/>
              </w:rPr>
              <w:t xml:space="preserve">Key finding: </w:t>
            </w:r>
            <w:r>
              <w:t>The audit trail shows scientific honesty: 4 claims confirmed, 3 refined with CIs, 1 explicitly failed and documented for rewording. The failed claim (GREEN-vs-RED Pearson gap) is preserved in session memory v12 r3 and v13 §29.7 — the paper text was revised to reflect what CIs actually support rather than what was originally hoped.</w:t>
            </w:r>
          </w:p>
        </w:tc>
      </w:tr>
    </w:tbl>
    <w:p>
      <w:r>
        <w:br w:type="page"/>
      </w:r>
    </w:p>
    <w:p>
      <w:pPr>
        <w:pStyle w:val="Heading1"/>
      </w:pPr>
      <w:r>
        <w:t>8. Next Steps: Day 5 LLM Evaluation</w:t>
      </w:r>
    </w:p>
    <w:p>
      <w:r>
        <w:rPr>
          <w:b w:val="0"/>
          <w:i w:val="0"/>
          <w:sz w:val="22"/>
        </w:rPr>
        <w:t>The remaining empirical work is a 3-layer LLM evaluation of per-alert narratives that combine SCTS-v2 + calibration health flag + Krishna disagreement signals into operator-readable alerts:</w:t>
      </w:r>
    </w:p>
    <w:p>
      <w:pPr>
        <w:pStyle w:val="ListBullet"/>
      </w:pPr>
      <w:r>
        <w:t>L1 — LLM-judge full-set: Generate per-alert narratives across all canonical samples and have an LLM-judge rate each on Correctness / Actionability / Clarity (1-5 scale).</w:t>
      </w:r>
    </w:p>
    <w:p>
      <w:pPr>
        <w:pStyle w:val="ListBullet"/>
      </w:pPr>
      <w:r>
        <w:t>L2 — Stratified 50-alert human rating: 50 alerts stratified by flag color and dataset are rated by Anas + supervisor (and optionally a peer rater for Cohen's κ) on the same dimensions.</w:t>
      </w:r>
    </w:p>
    <w:p>
      <w:pPr>
        <w:pStyle w:val="ListBullet"/>
      </w:pPr>
      <w:r>
        <w:t>L3 — LLM-vs-human calibration: LLM-judge re-rates the same 50 alerts; Cohen's κ between LLM and humans calibrates LLM-judge reliability.</w:t>
      </w:r>
    </w:p>
    <w:p>
      <w:r>
        <w:rPr>
          <w:b w:val="0"/>
          <w:i w:val="0"/>
          <w:sz w:val="22"/>
        </w:rPr>
        <w:t>A peer-rater for L2 is currently unrecruited; recruitment is a priority for the week of 2-8 June 2026. L1 can proceed in parallel as it requires no external dependency.</w:t>
      </w:r>
    </w:p>
    <w:p>
      <w:r>
        <w:rPr>
          <w:b w:val="0"/>
          <w:i w:val="0"/>
          <w:sz w:val="22"/>
        </w:rPr>
        <w:t>After Day 5, the project will add a deployment policy section (action policy + abstention gate per flag color) and a mock SOC alert card figure to demonstrate operational fit. Submission target is IEEE TIFS or TDSC.</w:t>
      </w:r>
    </w:p>
    <w:p>
      <w:r>
        <w:br w:type="page"/>
      </w:r>
    </w:p>
    <w:p>
      <w:pPr>
        <w:pStyle w:val="Heading1"/>
      </w:pPr>
      <w:r>
        <w:t>Appendix A: Audit Trail</w:t>
      </w:r>
    </w:p>
    <w:p>
      <w:r>
        <w:rPr>
          <w:b w:val="0"/>
          <w:i w:val="0"/>
          <w:sz w:val="22"/>
        </w:rPr>
        <w:t>The project maintains a documented audit trail of methodology decisions and errors caught. Twenty-three audit catches are recorded across session memory documents v9–v13.</w:t>
      </w:r>
    </w:p>
    <w:p>
      <w:r>
        <w:rPr>
          <w:b/>
          <w:i w:val="0"/>
          <w:sz w:val="22"/>
        </w:rPr>
        <w:t>Key catches:</w:t>
      </w:r>
    </w:p>
    <w:p>
      <w:pPr>
        <w:pStyle w:val="ListBullet"/>
      </w:pPr>
      <w:r>
        <w:t>#1-6 (v9): Foundational catches on canonical samples + Krishna aggregation.</w:t>
      </w:r>
    </w:p>
    <w:p>
      <w:pPr>
        <w:pStyle w:val="ListBullet"/>
      </w:pPr>
      <w:r>
        <w:t>#7-11 (v10): Stability methodology catches including XGB log-odds artifact.</w:t>
      </w:r>
    </w:p>
    <w:p>
      <w:pPr>
        <w:pStyle w:val="ListBullet"/>
      </w:pPr>
      <w:r>
        <w:t>#12-15 (v11): SCTS-v2 development catches; rejected three rescue attempts on R2L failure.</w:t>
      </w:r>
    </w:p>
    <w:p>
      <w:pPr>
        <w:pStyle w:val="ListBullet"/>
      </w:pPr>
      <w:r>
        <w:t>#16-17 (v12): JSON NaN aggregation bug; f-string format specifier limit.</w:t>
      </w:r>
    </w:p>
    <w:p>
      <w:pPr>
        <w:pStyle w:val="ListBullet"/>
      </w:pPr>
      <w:r>
        <w:t>#18 (v12 r2): UNSW 21/30 vs 22/30 internal consistency error.</w:t>
      </w:r>
    </w:p>
    <w:p>
      <w:pPr>
        <w:pStyle w:val="ListBullet"/>
      </w:pPr>
      <w:r>
        <w:t>#19 (v12 r3): Denominator precision: "94.4% of true R2L samples in NSL test cohort" (not "of catastrophic failure cases").</w:t>
      </w:r>
    </w:p>
    <w:p>
      <w:pPr>
        <w:pStyle w:val="ListBullet"/>
      </w:pPr>
      <w:r>
        <w:t>#20 (v13): Krishna CSV structure misread on Day 4 → corrected bootstrap via sample_disagreement_canonical.csv.</w:t>
      </w:r>
    </w:p>
    <w:p>
      <w:pPr>
        <w:pStyle w:val="ListBullet"/>
      </w:pPr>
      <w:r>
        <w:t>#21 (v13): v9's "RC ~0.50" applies specifically to RF-XGB pair, not overall — overall RC is 0.16-0.33.</w:t>
      </w:r>
    </w:p>
    <w:p>
      <w:pPr>
        <w:pStyle w:val="ListBullet"/>
      </w:pPr>
      <w:r>
        <w:t>#22 (v13): Bootstrap unit choice matters — per-model vs per-sample CIs answer different inferential questions.</w:t>
      </w:r>
    </w:p>
    <w:p>
      <w:pPr>
        <w:pStyle w:val="ListBullet"/>
      </w:pPr>
      <w:r>
        <w:t>#23 (tonight): Don't average per-model CIs to summarize the dataset-level mean — the mean of CIs is not the CI of the mean.</w:t>
      </w:r>
    </w:p>
    <w:p>
      <w:pPr>
        <w:pStyle w:val="Heading1"/>
      </w:pPr>
      <w:r>
        <w:t>Appendix B: Repository Commit Ledger</w:t>
      </w:r>
    </w:p>
    <w:p>
      <w:r>
        <w:rPr>
          <w:b w:val="0"/>
          <w:i w:val="0"/>
          <w:sz w:val="22"/>
        </w:rPr>
        <w:t>Key commits across the project lifecycle (most recent first):</w:t>
      </w:r>
    </w:p>
    <w:p>
      <w:pPr>
        <w:pStyle w:val="ListBullet"/>
      </w:pPr>
      <w:r>
        <w:t>6fb5def — v12 r3: CI-aware corrections</w:t>
      </w:r>
    </w:p>
    <w:p>
      <w:pPr>
        <w:pStyle w:val="ListBullet"/>
      </w:pPr>
      <w:r>
        <w:t>1730bca — v13 session memory</w:t>
      </w:r>
    </w:p>
    <w:p>
      <w:pPr>
        <w:pStyle w:val="ListBullet"/>
      </w:pPr>
      <w:r>
        <w:t>8ce2a66 — Notebook 08 Krishna correction</w:t>
      </w:r>
    </w:p>
    <w:p>
      <w:pPr>
        <w:pStyle w:val="ListBullet"/>
      </w:pPr>
      <w:r>
        <w:t>10c1013 — Notebook 08 initial bootstrap CIs</w:t>
      </w:r>
    </w:p>
    <w:p>
      <w:pPr>
        <w:pStyle w:val="ListBullet"/>
      </w:pPr>
      <w:r>
        <w:t>d11c9bb — v12 r2 wording precision</w:t>
      </w:r>
    </w:p>
    <w:p>
      <w:pPr>
        <w:pStyle w:val="ListBullet"/>
      </w:pPr>
      <w:r>
        <w:t>7a76deb — v12 session memory</w:t>
      </w:r>
    </w:p>
    <w:p>
      <w:pPr>
        <w:pStyle w:val="ListBullet"/>
      </w:pPr>
      <w:r>
        <w:t>f40df85 — 07d JSON NaN fix</w:t>
      </w:r>
    </w:p>
    <w:p>
      <w:pPr>
        <w:pStyle w:val="ListBullet"/>
      </w:pPr>
      <w:r>
        <w:t>a3a0a47 — 07d health flag initial</w:t>
      </w:r>
    </w:p>
    <w:p>
      <w:pPr>
        <w:pStyle w:val="ListBullet"/>
      </w:pPr>
      <w:r>
        <w:t>dbfac27 — v11 session memory</w:t>
      </w:r>
    </w:p>
    <w:p>
      <w:pPr>
        <w:pStyle w:val="ListBullet"/>
      </w:pPr>
      <w:r>
        <w:t>bc85188 — 07c SCTS-v2 Mondrian</w:t>
      </w:r>
    </w:p>
    <w:p>
      <w:pPr>
        <w:pStyle w:val="ListBullet"/>
      </w:pPr>
      <w:r>
        <w:t>8c8cfbb — v10 session memory</w:t>
      </w:r>
    </w:p>
    <w:p>
      <w:pPr>
        <w:pStyle w:val="ListBullet"/>
      </w:pPr>
      <w:r>
        <w:t>d7df8e7 — 05c stability</w:t>
      </w:r>
    </w:p>
    <w:p>
      <w:pPr>
        <w:pStyle w:val="ListBullet"/>
      </w:pPr>
      <w:r>
        <w:t>4a2012c — v9 session memory</w:t>
      </w:r>
    </w:p>
    <w:p>
      <w:pPr>
        <w:pStyle w:val="ListBullet"/>
      </w:pPr>
      <w:r>
        <w:t>d61fbdc — 06v3 Krishna agreement</w:t>
      </w:r>
    </w:p>
    <w:p>
      <w:pPr>
        <w:pStyle w:val="ListBullet"/>
      </w:pPr>
      <w:r>
        <w:t>a1f9be9 — 04c canonical SHAP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