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58368" cy="667641"/>
            <wp:docPr id="1" name="Picture 1"/>
            <wp:cNvGraphicFramePr>
              <a:graphicFrameLocks noChangeAspect="1"/>
            </wp:cNvGraphicFramePr>
            <a:graphic>
              <a:graphicData uri="http://schemas.openxmlformats.org/drawingml/2006/picture">
                <pic:pic>
                  <pic:nvPicPr>
                    <pic:cNvPr id="0" name="unijos_logo.png"/>
                    <pic:cNvPicPr/>
                  </pic:nvPicPr>
                  <pic:blipFill>
                    <a:blip r:embed="rId11"/>
                    <a:stretch>
                      <a:fillRect/>
                    </a:stretch>
                  </pic:blipFill>
                  <pic:spPr>
                    <a:xfrm>
                      <a:off x="0" y="0"/>
                      <a:ext cx="658368" cy="667641"/>
                    </a:xfrm>
                    <a:prstGeom prst="rect"/>
                  </pic:spPr>
                </pic:pic>
              </a:graphicData>
            </a:graphic>
          </wp:inline>
        </w:drawing>
      </w:r>
    </w:p>
    <w:p>
      <w:pPr>
        <w:keepNext w:val="0"/>
        <w:spacing w:before="0" w:after="0" w:line="276" w:lineRule="auto"/>
        <w:jc w:val="center"/>
      </w:pPr>
      <w:r>
        <w:rPr>
          <w:rFonts w:ascii="Times New Roman" w:hAnsi="Times New Roman"/>
          <w:b/>
          <w:i w:val="0"/>
          <w:color w:val="000000"/>
          <w:sz w:val="30"/>
        </w:rPr>
        <w:t>UNIVERSITY OF JOS</w:t>
      </w:r>
    </w:p>
    <w:p>
      <w:pPr>
        <w:keepNext w:val="0"/>
        <w:spacing w:before="0" w:after="0" w:line="276" w:lineRule="auto"/>
        <w:jc w:val="center"/>
      </w:pPr>
      <w:r>
        <w:rPr>
          <w:rFonts w:ascii="Times New Roman" w:hAnsi="Times New Roman"/>
          <w:b/>
          <w:i w:val="0"/>
          <w:color w:val="000000"/>
          <w:sz w:val="24"/>
        </w:rPr>
        <w:t>FACULTY OF ENGINEERING</w:t>
      </w:r>
    </w:p>
    <w:p>
      <w:pPr>
        <w:keepNext w:val="0"/>
        <w:spacing w:before="0" w:after="360" w:line="276" w:lineRule="auto"/>
        <w:jc w:val="center"/>
      </w:pPr>
      <w:r>
        <w:rPr>
          <w:rFonts w:ascii="Times New Roman" w:hAnsi="Times New Roman"/>
          <w:b/>
          <w:i w:val="0"/>
          <w:color w:val="000000"/>
          <w:sz w:val="24"/>
        </w:rPr>
        <w:t>DEPARTMENT OF MINING ENGINEERING</w:t>
      </w:r>
    </w:p>
    <w:p>
      <w:pPr>
        <w:keepNext w:val="0"/>
        <w:spacing w:before="0" w:after="240" w:line="276" w:lineRule="auto"/>
        <w:jc w:val="center"/>
      </w:pPr>
      <w:r>
        <w:rPr>
          <w:rFonts w:ascii="Times New Roman" w:hAnsi="Times New Roman"/>
          <w:b/>
          <w:i w:val="0"/>
          <w:color w:val="2E74B5"/>
          <w:sz w:val="26"/>
        </w:rPr>
        <w:t>FINAL YEAR PROJECT PROPOSAL</w:t>
      </w:r>
    </w:p>
    <w:p>
      <w:pPr>
        <w:keepNext w:val="0"/>
        <w:spacing w:before="0" w:after="400" w:line="288" w:lineRule="auto"/>
        <w:jc w:val="center"/>
      </w:pPr>
      <w:r>
        <w:rPr>
          <w:rFonts w:ascii="Times New Roman" w:hAnsi="Times New Roman"/>
          <w:b/>
          <w:i w:val="0"/>
          <w:color w:val="000000"/>
          <w:sz w:val="32"/>
        </w:rPr>
        <w:t>MACHINE LEARNING-BASED ORE GRADE PREDICTION FOR TIN MINERALIZATION IN BUKURU, PLATEAU STATE</w:t>
      </w:r>
    </w:p>
    <w:p>
      <w:pPr>
        <w:keepNext w:val="0"/>
        <w:spacing w:before="0" w:after="120" w:line="288" w:lineRule="auto"/>
        <w:jc w:val="center"/>
      </w:pPr>
      <w:r>
        <w:rPr>
          <w:rFonts w:ascii="Times New Roman" w:hAnsi="Times New Roman"/>
          <w:b/>
          <w:i w:val="0"/>
          <w:color w:val="000000"/>
          <w:sz w:val="24"/>
        </w:rPr>
        <w:t>SUBMITTED BY:</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3000"/>
        <w:gridCol w:w="6360"/>
      </w:tblGrid>
      <w:tr>
        <w:trPr>
          <w:tblHeader w:val="true"/>
        </w:trPr>
        <w:tc>
          <w:tcPr>
            <w:tcW w:type="dxa" w:w="3000"/>
            <w:shd w:fill="F4F6F9"/>
            <w:vAlign w:val="center"/>
          </w:tcPr>
          <w:p>
            <w:pPr>
              <w:keepNext w:val="0"/>
              <w:spacing w:before="0" w:after="0" w:line="264" w:lineRule="auto"/>
              <w:jc w:val="center"/>
            </w:pPr>
            <w:r/>
            <w:r>
              <w:rPr>
                <w:rFonts w:ascii="Times New Roman" w:hAnsi="Times New Roman"/>
                <w:b/>
                <w:color w:val="000000"/>
                <w:sz w:val="22"/>
              </w:rPr>
              <w:t>Item</w:t>
            </w:r>
          </w:p>
        </w:tc>
        <w:tc>
          <w:tcPr>
            <w:tcW w:type="dxa" w:w="6360"/>
            <w:shd w:fill="F4F6F9"/>
            <w:vAlign w:val="center"/>
          </w:tcPr>
          <w:p>
            <w:pPr>
              <w:keepNext w:val="0"/>
              <w:spacing w:before="0" w:after="0" w:line="264" w:lineRule="auto"/>
              <w:jc w:val="center"/>
            </w:pPr>
            <w:r/>
            <w:r>
              <w:rPr>
                <w:rFonts w:ascii="Times New Roman" w:hAnsi="Times New Roman"/>
                <w:b/>
                <w:color w:val="000000"/>
                <w:sz w:val="22"/>
              </w:rPr>
              <w:t>Details</w:t>
            </w:r>
          </w:p>
        </w:tc>
      </w:tr>
      <w:tr>
        <w:tc>
          <w:tcPr>
            <w:tcW w:type="dxa" w:w="3000"/>
            <w:vAlign w:val="center"/>
          </w:tcPr>
          <w:p>
            <w:pPr>
              <w:keepNext w:val="0"/>
              <w:spacing w:before="0" w:after="0" w:line="276" w:lineRule="auto"/>
              <w:jc w:val="center"/>
            </w:pPr>
            <w:r/>
            <w:r>
              <w:rPr>
                <w:rFonts w:ascii="Times New Roman" w:hAnsi="Times New Roman"/>
                <w:b w:val="0"/>
                <w:color w:val="000000"/>
                <w:sz w:val="22"/>
              </w:rPr>
              <w:t>Name</w:t>
            </w:r>
          </w:p>
        </w:tc>
        <w:tc>
          <w:tcPr>
            <w:tcW w:type="dxa" w:w="6360"/>
            <w:vAlign w:val="center"/>
          </w:tcPr>
          <w:p>
            <w:pPr>
              <w:keepNext w:val="0"/>
              <w:spacing w:before="0" w:after="0" w:line="276" w:lineRule="auto"/>
              <w:jc w:val="left"/>
            </w:pPr>
            <w:r/>
            <w:r>
              <w:rPr>
                <w:rFonts w:ascii="Times New Roman" w:hAnsi="Times New Roman"/>
                <w:b w:val="0"/>
                <w:color w:val="000000"/>
                <w:sz w:val="22"/>
              </w:rPr>
              <w:t>ARUM ALPHA AJIJI</w:t>
            </w:r>
          </w:p>
        </w:tc>
      </w:tr>
      <w:tr>
        <w:tc>
          <w:tcPr>
            <w:tcW w:type="dxa" w:w="3000"/>
            <w:vAlign w:val="center"/>
          </w:tcPr>
          <w:p>
            <w:pPr>
              <w:keepNext w:val="0"/>
              <w:spacing w:before="0" w:after="0" w:line="276" w:lineRule="auto"/>
              <w:jc w:val="left"/>
            </w:pPr>
            <w:r/>
            <w:r>
              <w:rPr>
                <w:rFonts w:ascii="Times New Roman" w:hAnsi="Times New Roman"/>
                <w:b w:val="0"/>
                <w:color w:val="000000"/>
                <w:sz w:val="22"/>
              </w:rPr>
              <w:t>Matriculation Number</w:t>
            </w:r>
          </w:p>
        </w:tc>
        <w:tc>
          <w:tcPr>
            <w:tcW w:type="dxa" w:w="6360"/>
            <w:vAlign w:val="center"/>
          </w:tcPr>
          <w:p>
            <w:pPr>
              <w:keepNext w:val="0"/>
              <w:spacing w:before="0" w:after="0" w:line="276" w:lineRule="auto"/>
              <w:jc w:val="left"/>
            </w:pPr>
            <w:r/>
            <w:r>
              <w:rPr>
                <w:rFonts w:ascii="Times New Roman" w:hAnsi="Times New Roman"/>
                <w:b w:val="0"/>
                <w:color w:val="000000"/>
                <w:sz w:val="22"/>
              </w:rPr>
              <w:t>UJ/2018/EN/0456</w:t>
            </w:r>
          </w:p>
        </w:tc>
      </w:tr>
      <w:tr>
        <w:tc>
          <w:tcPr>
            <w:tcW w:type="dxa" w:w="3000"/>
            <w:vAlign w:val="center"/>
          </w:tcPr>
          <w:p>
            <w:pPr>
              <w:keepNext w:val="0"/>
              <w:spacing w:before="0" w:after="0" w:line="276" w:lineRule="auto"/>
              <w:jc w:val="center"/>
            </w:pPr>
            <w:r/>
            <w:r>
              <w:rPr>
                <w:rFonts w:ascii="Times New Roman" w:hAnsi="Times New Roman"/>
                <w:b w:val="0"/>
                <w:color w:val="000000"/>
                <w:sz w:val="22"/>
              </w:rPr>
              <w:t>Programme</w:t>
            </w:r>
          </w:p>
        </w:tc>
        <w:tc>
          <w:tcPr>
            <w:tcW w:type="dxa" w:w="6360"/>
            <w:vAlign w:val="center"/>
          </w:tcPr>
          <w:p>
            <w:pPr>
              <w:keepNext w:val="0"/>
              <w:spacing w:before="0" w:after="0" w:line="276" w:lineRule="auto"/>
              <w:jc w:val="left"/>
            </w:pPr>
            <w:r/>
            <w:r>
              <w:rPr>
                <w:rFonts w:ascii="Times New Roman" w:hAnsi="Times New Roman"/>
                <w:b w:val="0"/>
                <w:color w:val="000000"/>
                <w:sz w:val="22"/>
              </w:rPr>
              <w:t>B.Eng. Mining Engineering</w:t>
            </w:r>
          </w:p>
        </w:tc>
      </w:tr>
    </w:tbl>
    <w:p>
      <w:pPr>
        <w:keepNext w:val="0"/>
        <w:spacing w:before="0" w:after="80" w:line="240" w:lineRule="auto"/>
      </w:pPr>
    </w:p>
    <w:p>
      <w:pPr>
        <w:keepNext w:val="0"/>
        <w:spacing w:before="200" w:after="280" w:line="324" w:lineRule="auto"/>
        <w:jc w:val="center"/>
      </w:pPr>
      <w:r>
        <w:rPr>
          <w:rFonts w:ascii="Times New Roman" w:hAnsi="Times New Roman"/>
          <w:b w:val="0"/>
          <w:i w:val="0"/>
          <w:color w:val="000000"/>
          <w:sz w:val="24"/>
        </w:rPr>
        <w:t>Submitted to Department of Mining Engineering, University of Jos, in partial fulfilment of the requirements for the award of Bachelor of Engineering in Mining Engineering Programme.</w:t>
      </w:r>
    </w:p>
    <w:p>
      <w:pPr>
        <w:keepNext w:val="0"/>
        <w:spacing w:before="0" w:after="80" w:line="288" w:lineRule="auto"/>
        <w:jc w:val="center"/>
      </w:pPr>
      <w:r>
        <w:rPr>
          <w:rFonts w:ascii="Times New Roman" w:hAnsi="Times New Roman"/>
          <w:b/>
          <w:i w:val="0"/>
          <w:color w:val="000000"/>
          <w:sz w:val="24"/>
        </w:rPr>
        <w:t>Supervisor: Mr. Joshua D. Joro</w:t>
      </w:r>
    </w:p>
    <w:p>
      <w:pPr>
        <w:keepNext w:val="0"/>
        <w:spacing w:before="0" w:after="360" w:line="288" w:lineRule="auto"/>
        <w:jc w:val="center"/>
      </w:pPr>
      <w:r>
        <w:rPr>
          <w:rFonts w:ascii="Times New Roman" w:hAnsi="Times New Roman"/>
          <w:b/>
          <w:i w:val="0"/>
          <w:color w:val="000000"/>
          <w:sz w:val="24"/>
        </w:rPr>
        <w:t>Date of Submission: 03/2026</w:t>
      </w:r>
    </w:p>
    <w:p>
      <w:pPr>
        <w:keepNext w:val="0"/>
        <w:spacing w:before="280" w:after="80" w:line="276" w:lineRule="auto"/>
        <w:jc w:val="center"/>
        <w:pBdr>
          <w:bottom w:val="single" w:sz="4" w:space="4" w:color="D7DBE2"/>
        </w:pBdr>
      </w:pPr>
      <w:r>
        <w:rPr>
          <w:rFonts w:ascii="Times New Roman" w:hAnsi="Times New Roman"/>
          <w:b w:val="0"/>
          <w:i/>
          <w:color w:val="5A5A5A"/>
          <w:sz w:val="21"/>
        </w:rPr>
        <w:t>Note: The official student, matriculation number, supervisor, and submission date can be updated before departmental printing if any administrative detail changes.</w:t>
      </w:r>
    </w:p>
    <w:p>
      <w:r>
        <w:br w:type="page"/>
      </w:r>
    </w:p>
    <w:p>
      <w:pPr>
        <w:pStyle w:val="Heading1"/>
      </w:pPr>
      <w:r>
        <w:t>1.0 Introduction</w:t>
      </w:r>
    </w:p>
    <w:p>
      <w:pPr>
        <w:pStyle w:val="Heading2"/>
      </w:pPr>
      <w:r>
        <w:t>1.1 Background of the Study</w:t>
      </w:r>
    </w:p>
    <w:p>
      <w:pPr>
        <w:keepNext w:val="0"/>
        <w:spacing w:before="0" w:after="120" w:line="360" w:lineRule="auto"/>
      </w:pPr>
      <w:r>
        <w:rPr>
          <w:rFonts w:ascii="Times New Roman" w:hAnsi="Times New Roman"/>
          <w:b w:val="0"/>
          <w:i w:val="0"/>
          <w:color w:val="000000"/>
          <w:sz w:val="24"/>
        </w:rPr>
        <w:t>Mining engineering decisions depend heavily on reliable knowledge of ore grade, mineral distribution, geological controls and the cost of confirming a target. In many mineral fields, particularly those with long histories of small-scale and artisanal mining, decision makers often have scattered records, uneven sampling coverage and limited integration between geological, geophysical and spatial datasets. This creates uncertainty at the early exploration stage and can lead to poor mine planning, unnecessary drilling, inaccurate reserve classification and avoidable environmental disturbance.</w:t>
      </w:r>
    </w:p>
    <w:p>
      <w:pPr>
        <w:keepNext w:val="0"/>
        <w:spacing w:before="0" w:after="120" w:line="360" w:lineRule="auto"/>
      </w:pPr>
      <w:r>
        <w:rPr>
          <w:rFonts w:ascii="Times New Roman" w:hAnsi="Times New Roman"/>
          <w:b w:val="0"/>
          <w:i w:val="0"/>
          <w:color w:val="000000"/>
          <w:sz w:val="24"/>
        </w:rPr>
        <w:t>The Nigerian mining sector is increasingly expected to support economic diversification beyond crude oil. Nigeria has long-established mineral occurrences that include tin, columbite, tantalite, lead-zinc, gold, limestone, coal, barite and industrial minerals. Plateau State is especially important in the history of Nigerian solid minerals because of the occurrence and historical production of cassiterite, the principal ore of tin, within the Younger Granite province of the Jos Plateau. The Bukuru, Du, Naraguta, Rayfield and Gyel areas occur within this regional geological setting and are associated with historical tin mining activities and radiometric signatures related to granitic and hydrothermal processes.</w:t>
      </w:r>
    </w:p>
    <w:p>
      <w:pPr>
        <w:keepNext w:val="0"/>
        <w:spacing w:before="0" w:after="120" w:line="360" w:lineRule="auto"/>
      </w:pPr>
      <w:r>
        <w:rPr>
          <w:rFonts w:ascii="Times New Roman" w:hAnsi="Times New Roman"/>
          <w:b w:val="0"/>
          <w:i w:val="0"/>
          <w:color w:val="000000"/>
          <w:sz w:val="24"/>
        </w:rPr>
        <w:t>Traditional ore grade estimation in mineral exploration commonly uses interpolation and geostatistical techniques such as inverse distance weighting and ordinary kriging. These methods remain important because they provide spatially continuous estimates and can quantify spatial continuity when sampling is adequate. However, their performance depends on assumptions about stationarity, variogram structure and the spatial arrangement of samples. In terrains where mineralization is controlled by nonlinear interactions between lithology, structure, alteration, radiometric anomalies and geochemical ratios, machine learning can provide an additional method for identifying patterns that may not be captured by a single interpolation model.</w:t>
      </w:r>
    </w:p>
    <w:p>
      <w:pPr>
        <w:keepNext w:val="0"/>
        <w:spacing w:before="0" w:after="120" w:line="360" w:lineRule="auto"/>
      </w:pPr>
      <w:r>
        <w:rPr>
          <w:rFonts w:ascii="Times New Roman" w:hAnsi="Times New Roman"/>
          <w:b w:val="0"/>
          <w:i w:val="0"/>
          <w:color w:val="000000"/>
          <w:sz w:val="24"/>
        </w:rPr>
        <w:t>This project proposes a localized machine learning system for ore grade prediction and mineral distribution modelling for tin mineralization in Bukuru, Plateau State. The work will use available radiometric data from Sheet 168 Naraguta, field verification data where obtainable, geological information, geochemical indicators and spatial variables. The system will evaluate Random Forest and XGBoost models against traditional geostatistical baselines and present results through an interactive dashboard. The goal is not to replace geological field judgement, but to improve the quality, speed and transparency of preliminary exploration decisions.</w:t>
      </w:r>
    </w:p>
    <w:p>
      <w:pPr>
        <w:pStyle w:val="Heading2"/>
      </w:pPr>
      <w:r>
        <w:t>1.2 Statement of the Problem</w:t>
      </w:r>
    </w:p>
    <w:p>
      <w:pPr>
        <w:keepNext w:val="0"/>
        <w:spacing w:before="0" w:after="120" w:line="360" w:lineRule="auto"/>
      </w:pPr>
      <w:r>
        <w:rPr>
          <w:rFonts w:ascii="Times New Roman" w:hAnsi="Times New Roman"/>
          <w:b w:val="0"/>
          <w:i w:val="0"/>
          <w:color w:val="000000"/>
          <w:sz w:val="24"/>
        </w:rPr>
        <w:t>Ore grade estimation and mineral target ranking in the Bukuru area remain difficult because the local geological controls on cassiterite mineralization are spatially complex and the available datasets are not always integrated into a single decision-support workflow. Existing exploration decisions may depend on historical mining information, sparse sampling, visual field judgement or conventional interpolation methods without fully exploiting multi-source data such as radiometric potassium, thorium and uranium, geochemical assays, terrain variables and proximity to structural features.</w:t>
      </w:r>
    </w:p>
    <w:p>
      <w:pPr>
        <w:pStyle w:val="ListBullet"/>
        <w:jc w:val="both"/>
      </w:pPr>
      <w:r>
        <w:t>High uncertainty in ore grade estimation can lead to inefficient mine planning, weak reserve classification and unnecessary drilling expenditure.</w:t>
      </w:r>
    </w:p>
    <w:p>
      <w:pPr>
        <w:pStyle w:val="ListBullet"/>
        <w:jc w:val="both"/>
      </w:pPr>
      <w:r>
        <w:t>Traditional geostatistical models can underperform where mineralization is controlled by nonlinear feature relationships or sharply varying geological domains.</w:t>
      </w:r>
    </w:p>
    <w:p>
      <w:pPr>
        <w:pStyle w:val="ListBullet"/>
        <w:jc w:val="both"/>
      </w:pPr>
      <w:r>
        <w:t>Radiometric, geological, geochemical and spatial datasets are often fragmented, making it hard to compare target areas consistently.</w:t>
      </w:r>
    </w:p>
    <w:p>
      <w:pPr>
        <w:pStyle w:val="ListBullet"/>
        <w:jc w:val="both"/>
      </w:pPr>
      <w:r>
        <w:t>There is limited evidence of a localized machine learning dashboard designed specifically for tin prospectivity and ore grade prediction in the Bukuru/Jos Plateau context.</w:t>
      </w:r>
    </w:p>
    <w:p>
      <w:pPr>
        <w:pStyle w:val="ListBullet"/>
        <w:jc w:val="both"/>
      </w:pPr>
      <w:r>
        <w:t>Without a clear digital workflow, exploration can expose communities and the environment to avoidable disturbance before target confidence is properly established.</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9360"/>
      </w:tblGrid>
      <w:tr>
        <w:tc>
          <w:tcPr>
            <w:tcW w:type="dxa" w:w="9360"/>
            <w:shd w:fill="F4F6F9"/>
          </w:tcPr>
          <w:p>
            <w:pPr>
              <w:keepNext w:val="0"/>
              <w:spacing w:before="0" w:after="0" w:line="300" w:lineRule="auto"/>
            </w:pPr>
            <w:r/>
            <w:r>
              <w:rPr>
                <w:rFonts w:ascii="Times New Roman" w:hAnsi="Times New Roman"/>
                <w:b/>
                <w:color w:val="1F4D78"/>
                <w:sz w:val="22"/>
              </w:rPr>
              <w:t xml:space="preserve">Core problem: </w:t>
            </w:r>
            <w:r>
              <w:rPr>
                <w:rFonts w:ascii="Times New Roman" w:hAnsi="Times New Roman"/>
                <w:color w:val="000000"/>
                <w:sz w:val="22"/>
              </w:rPr>
              <w:t>The study addresses the absence of an integrated, localized and validated machine learning workflow for predicting tin ore grade and mapping mineral distribution in the Bukuru area of Plateau State.</w:t>
            </w:r>
          </w:p>
        </w:tc>
      </w:tr>
    </w:tbl>
    <w:p>
      <w:pPr>
        <w:keepNext w:val="0"/>
        <w:spacing w:before="0" w:after="80" w:line="240" w:lineRule="auto"/>
      </w:pPr>
    </w:p>
    <w:p>
      <w:pPr>
        <w:pStyle w:val="Heading2"/>
      </w:pPr>
      <w:r>
        <w:t>1.3 Aim of the Study</w:t>
      </w:r>
    </w:p>
    <w:p>
      <w:pPr>
        <w:keepNext w:val="0"/>
        <w:spacing w:before="0" w:after="120" w:line="360" w:lineRule="auto"/>
      </w:pPr>
      <w:r>
        <w:rPr>
          <w:rFonts w:ascii="Times New Roman" w:hAnsi="Times New Roman"/>
          <w:b w:val="0"/>
          <w:i w:val="0"/>
          <w:color w:val="000000"/>
          <w:sz w:val="24"/>
        </w:rPr>
        <w:t>The aim of this study is to design and evaluate a machine learning based predictive system for ore grade estimation and mineral distribution modelling of tin mineralization in Bukuru, Plateau State, Nigeria.</w:t>
      </w:r>
    </w:p>
    <w:p>
      <w:pPr>
        <w:pStyle w:val="Heading2"/>
      </w:pPr>
      <w:r>
        <w:t>1.4 Objectives of the Study</w:t>
      </w:r>
    </w:p>
    <w:p>
      <w:pPr>
        <w:keepNext/>
        <w:spacing w:before="0" w:after="120" w:line="360" w:lineRule="auto"/>
      </w:pPr>
      <w:r>
        <w:rPr>
          <w:rFonts w:ascii="Times New Roman" w:hAnsi="Times New Roman"/>
          <w:b w:val="0"/>
          <w:i w:val="0"/>
          <w:color w:val="000000"/>
          <w:sz w:val="24"/>
        </w:rPr>
        <w:t>The objectives of the project are to:</w:t>
      </w:r>
    </w:p>
    <w:p>
      <w:pPr>
        <w:pStyle w:val="ListNumber"/>
        <w:jc w:val="both"/>
      </w:pPr>
      <w:r>
        <w:t>compile and preprocess radiometric, geological, geochemical and spatial datasets relevant to tin mineralization in the Bukuru/Naraguta study area;</w:t>
      </w:r>
    </w:p>
    <w:p>
      <w:pPr>
        <w:pStyle w:val="ListNumber"/>
        <w:jc w:val="both"/>
      </w:pPr>
      <w:r>
        <w:t>develop predictive ore grade models using Random Forest and XGBoost regression algorithms;</w:t>
      </w:r>
    </w:p>
    <w:p>
      <w:pPr>
        <w:pStyle w:val="ListNumber"/>
        <w:jc w:val="both"/>
      </w:pPr>
      <w:r>
        <w:t>compare the predictive performance of the machine learning models with selected traditional geostatistical methods using RMSE, MAE, R2 and MAPE;</w:t>
      </w:r>
    </w:p>
    <w:p>
      <w:pPr>
        <w:pStyle w:val="ListNumber"/>
        <w:jc w:val="both"/>
      </w:pPr>
      <w:r>
        <w:t>produce mineral distribution maps and an interactive dashboard that communicate prediction confidence, risk level and exploration recommendations.</w:t>
      </w:r>
    </w:p>
    <w:p>
      <w:pPr>
        <w:pStyle w:val="Heading2"/>
      </w:pPr>
      <w:r>
        <w:t>1.5 Research Questions</w:t>
      </w:r>
    </w:p>
    <w:p>
      <w:pPr>
        <w:pStyle w:val="ListNumber"/>
        <w:jc w:val="both"/>
      </w:pPr>
      <w:r>
        <w:t>Which radiometric, geological, geochemical and spatial features are most useful for predicting tin mineralization potential in the Bukuru/Naraguta area?</w:t>
      </w:r>
    </w:p>
    <w:p>
      <w:pPr>
        <w:pStyle w:val="ListNumber"/>
        <w:jc w:val="both"/>
      </w:pPr>
      <w:r>
        <w:t>How accurately can Random Forest and XGBoost models estimate ore grade compared with ordinary kriging and inverse distance weighting?</w:t>
      </w:r>
    </w:p>
    <w:p>
      <w:pPr>
        <w:pStyle w:val="ListNumber"/>
        <w:jc w:val="both"/>
      </w:pPr>
      <w:r>
        <w:t>Which parts of the study area show relatively high predicted tin mineralization potential and require priority field verification?</w:t>
      </w:r>
    </w:p>
    <w:p>
      <w:pPr>
        <w:pStyle w:val="ListNumber"/>
        <w:jc w:val="both"/>
      </w:pPr>
      <w:r>
        <w:t>How can prediction results be presented in a dashboard so that mining engineers, students and exploration teams can interpret the outputs responsibly?</w:t>
      </w:r>
    </w:p>
    <w:p>
      <w:pPr>
        <w:pStyle w:val="Heading2"/>
      </w:pPr>
      <w:r>
        <w:t>1.6 Justification/Significance of the Study</w:t>
      </w:r>
    </w:p>
    <w:p>
      <w:pPr>
        <w:keepNext w:val="0"/>
        <w:spacing w:before="0" w:after="120" w:line="360" w:lineRule="auto"/>
      </w:pPr>
      <w:r>
        <w:rPr>
          <w:rFonts w:ascii="Times New Roman" w:hAnsi="Times New Roman"/>
          <w:b w:val="0"/>
          <w:i w:val="0"/>
          <w:color w:val="000000"/>
          <w:sz w:val="24"/>
        </w:rPr>
        <w:t>This research is justified by the need to improve exploration efficiency and reduce uncertainty in a historically important Nigerian tin province. For mining engineers and exploration companies, the work can provide a repeatable workflow for integrating radiometric and spatial evidence before expensive field campaigns are expanded. For the university and academic community, the project demonstrates how modern data science can be applied to a practical mining engineering problem in Nigeria rather than relying only on generic examples from foreign mineral fields.</w:t>
      </w:r>
    </w:p>
    <w:p>
      <w:pPr>
        <w:pStyle w:val="ListBullet"/>
        <w:jc w:val="both"/>
      </w:pPr>
      <w:r>
        <w:t>Industry benefit: The system can support target ranking, reduce blind sampling and improve the planning of drilling, trenching or detailed geochemical surveys.</w:t>
      </w:r>
    </w:p>
    <w:p>
      <w:pPr>
        <w:pStyle w:val="ListBullet"/>
        <w:jc w:val="both"/>
      </w:pPr>
      <w:r>
        <w:t>Community benefit: Better early-stage target selection can reduce unnecessary land disturbance and help encourage safer, more responsible mineral development.</w:t>
      </w:r>
    </w:p>
    <w:p>
      <w:pPr>
        <w:pStyle w:val="ListBullet"/>
        <w:jc w:val="both"/>
      </w:pPr>
      <w:r>
        <w:t>Academic benefit: The project contributes a localized case study on machine learning, radiometric data and mineral prospectivity mapping in the Jos Plateau.</w:t>
      </w:r>
    </w:p>
    <w:p>
      <w:pPr>
        <w:pStyle w:val="ListBullet"/>
        <w:jc w:val="both"/>
      </w:pPr>
      <w:r>
        <w:t>Policy benefit: The workflow supports evidence-based decision-making in the Nigerian solid minerals sector, especially where historical mining information needs to be combined with modern geospatial data.</w:t>
      </w:r>
    </w:p>
    <w:p>
      <w:pPr>
        <w:pStyle w:val="ListBullet"/>
        <w:jc w:val="both"/>
      </w:pPr>
      <w:r>
        <w:t>Technology benefit: The dashboard makes technical model outputs easier to review through maps, confidence measures, risk classes and field recommendations.</w:t>
      </w:r>
    </w:p>
    <w:p>
      <w:pPr>
        <w:pStyle w:val="Heading1"/>
      </w:pPr>
      <w:r>
        <w:t>2.0 Literature Review</w:t>
      </w:r>
    </w:p>
    <w:p>
      <w:pPr>
        <w:pStyle w:val="Heading2"/>
      </w:pPr>
      <w:r>
        <w:t>2.1 Conceptual Review</w:t>
      </w:r>
    </w:p>
    <w:p>
      <w:pPr>
        <w:keepNext w:val="0"/>
        <w:spacing w:before="0" w:after="120" w:line="360" w:lineRule="auto"/>
      </w:pPr>
      <w:r>
        <w:rPr>
          <w:rFonts w:ascii="Times New Roman" w:hAnsi="Times New Roman"/>
          <w:b w:val="0"/>
          <w:i w:val="0"/>
          <w:color w:val="000000"/>
          <w:sz w:val="24"/>
        </w:rPr>
        <w:t>Ore grade is the concentration of a valuable mineral or metal within a rock, soil or ore sample. In tin mining, cassiterite is commonly reported as SnO2 or tin-bearing mineral concentration, and grade estimates are used to determine whether a target is economically attractive. Mineral distribution refers to the spatial arrangement of mineralized zones across a study area, while mineral prospectivity mapping combines multiple evidential layers to identify locations that are more likely to host mineralization.</w:t>
      </w:r>
    </w:p>
    <w:p>
      <w:pPr>
        <w:keepNext w:val="0"/>
        <w:spacing w:before="0" w:after="120" w:line="360" w:lineRule="auto"/>
      </w:pPr>
      <w:r>
        <w:rPr>
          <w:rFonts w:ascii="Times New Roman" w:hAnsi="Times New Roman"/>
          <w:b w:val="0"/>
          <w:i w:val="0"/>
          <w:color w:val="000000"/>
          <w:sz w:val="24"/>
        </w:rPr>
        <w:t>Cassiterite mineralization on the Jos Plateau is related to the Nigerian Younger Granite province. Tin mineralization is often associated with granitic differentiation, greisenization, hydrothermal alteration, fractures and weathering processes that concentrate resistant cassiterite grains. Because these controls vary spatially, ore grade estimation requires more than a single observation. Radiometric data are useful because potassium, thorium and uranium can indicate lithological differences, alteration zones and the geochemical character of granitic rocks.</w:t>
      </w:r>
    </w:p>
    <w:p>
      <w:pPr>
        <w:keepNext w:val="0"/>
        <w:spacing w:before="0" w:after="120" w:line="360" w:lineRule="auto"/>
      </w:pPr>
      <w:r>
        <w:rPr>
          <w:rFonts w:ascii="Times New Roman" w:hAnsi="Times New Roman"/>
          <w:b w:val="0"/>
          <w:i w:val="0"/>
          <w:color w:val="000000"/>
          <w:sz w:val="24"/>
        </w:rPr>
        <w:t>Airborne or ground gamma-ray spectrometry records radioelement concentrations for potassium, equivalent thorium and equivalent uranium. In mineral exploration, radiometric ternary images and ratios such as Th/U and K/(Th+U) can support lithological discrimination and alteration mapping. However, radiometric anomalies are not direct ore grade measurements. They must be interpreted with geology, geochemistry, structural information and field validation.</w:t>
      </w:r>
    </w:p>
    <w:p>
      <w:pPr>
        <w:keepNext w:val="0"/>
        <w:spacing w:before="0" w:after="120" w:line="360" w:lineRule="auto"/>
      </w:pPr>
      <w:r>
        <w:rPr>
          <w:rFonts w:ascii="Times New Roman" w:hAnsi="Times New Roman"/>
          <w:b w:val="0"/>
          <w:i w:val="0"/>
          <w:color w:val="000000"/>
          <w:sz w:val="24"/>
        </w:rPr>
        <w:t>Machine learning is a data-driven modelling approach in which algorithms learn relationships between predictor variables and an output variable from examples. In this project, predictor variables may include radiometric values, geochemical assay results, coordinates, elevation, slope, distance to faults and historical mine proximity. The target variable is ore grade or mineralization class. Random Forest and XGBoost are ensemble tree algorithms that can model nonlinear relationships, rank feature importance and handle complex interactions among variables.</w:t>
      </w:r>
    </w:p>
    <w:p>
      <w:pPr>
        <w:keepNext w:val="0"/>
        <w:spacing w:before="0" w:after="120" w:line="360" w:lineRule="auto"/>
      </w:pPr>
      <w:r>
        <w:rPr>
          <w:rFonts w:ascii="Times New Roman" w:hAnsi="Times New Roman"/>
          <w:b w:val="0"/>
          <w:i w:val="0"/>
          <w:color w:val="000000"/>
          <w:sz w:val="24"/>
        </w:rPr>
        <w:t>A web-based dashboard is a decision-support interface that allows users to view data, run predictions and interpret spatial outputs. For this project, the dashboard is expected to provide coordinate input, map visualization, prediction confidence, risk level, radiometric values and exploration recommendations. The dashboard is important because a model that cannot be interpreted by the intended users has limited practical value.</w:t>
      </w:r>
    </w:p>
    <w:p>
      <w:pPr>
        <w:pStyle w:val="Heading2"/>
      </w:pPr>
      <w:r>
        <w:t>2.2 Theoretical Framework</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9360"/>
      </w:tblGrid>
      <w:tr>
        <w:tc>
          <w:tcPr>
            <w:tcW w:type="dxa" w:w="9360"/>
            <w:shd w:fill="F4F6F9"/>
          </w:tcPr>
          <w:p>
            <w:pPr>
              <w:keepNext w:val="0"/>
              <w:spacing w:before="0" w:after="0" w:line="300" w:lineRule="auto"/>
            </w:pPr>
            <w:r/>
            <w:r>
              <w:rPr>
                <w:rFonts w:ascii="Times New Roman" w:hAnsi="Times New Roman"/>
                <w:b/>
                <w:color w:val="1F4D78"/>
                <w:sz w:val="22"/>
              </w:rPr>
              <w:t xml:space="preserve">Mineral systems theory: </w:t>
            </w:r>
            <w:r>
              <w:rPr>
                <w:rFonts w:ascii="Times New Roman" w:hAnsi="Times New Roman"/>
                <w:color w:val="000000"/>
                <w:sz w:val="22"/>
              </w:rPr>
              <w:t>The study assumes that mineralization is controlled by source, transport, trap and preservation processes. For cassiterite, relevant indicators include granitic source rocks, hydrothermal pathways, structural conduits and weathering concentration. This theory guides the selection of geological, radiometric and spatial predictor variables.</w:t>
            </w:r>
          </w:p>
        </w:tc>
      </w:tr>
    </w:tbl>
    <w:p>
      <w:pPr>
        <w:keepNext w:val="0"/>
        <w:spacing w:before="0" w:after="80" w:line="240" w:lineRule="auto"/>
      </w:pP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9360"/>
      </w:tblGrid>
      <w:tr>
        <w:tc>
          <w:tcPr>
            <w:tcW w:type="dxa" w:w="9360"/>
            <w:shd w:fill="F4F6F9"/>
          </w:tcPr>
          <w:p>
            <w:pPr>
              <w:keepNext w:val="0"/>
              <w:spacing w:before="0" w:after="0" w:line="300" w:lineRule="auto"/>
            </w:pPr>
            <w:r/>
            <w:r>
              <w:rPr>
                <w:rFonts w:ascii="Times New Roman" w:hAnsi="Times New Roman"/>
                <w:b/>
                <w:color w:val="1F4D78"/>
                <w:sz w:val="22"/>
              </w:rPr>
              <w:t xml:space="preserve">Spatial autocorrelation and geostatistics: </w:t>
            </w:r>
            <w:r>
              <w:rPr>
                <w:rFonts w:ascii="Times New Roman" w:hAnsi="Times New Roman"/>
                <w:color w:val="000000"/>
                <w:sz w:val="22"/>
              </w:rPr>
              <w:t>Geological attributes close to one another are often more similar than attributes farther apart. This principle supports the use of kriging and inverse distance weighting as baseline methods. It also justifies spatial cross-checking of model predictions so that isolated anomalies are not accepted without geological reasoning.</w:t>
            </w:r>
          </w:p>
        </w:tc>
      </w:tr>
    </w:tbl>
    <w:p>
      <w:pPr>
        <w:keepNext w:val="0"/>
        <w:spacing w:before="0" w:after="80" w:line="240" w:lineRule="auto"/>
      </w:pP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9360"/>
      </w:tblGrid>
      <w:tr>
        <w:tc>
          <w:tcPr>
            <w:tcW w:type="dxa" w:w="9360"/>
            <w:shd w:fill="F4F6F9"/>
          </w:tcPr>
          <w:p>
            <w:pPr>
              <w:keepNext w:val="0"/>
              <w:spacing w:before="0" w:after="0" w:line="300" w:lineRule="auto"/>
            </w:pPr>
            <w:r/>
            <w:r>
              <w:rPr>
                <w:rFonts w:ascii="Times New Roman" w:hAnsi="Times New Roman"/>
                <w:b/>
                <w:color w:val="1F4D78"/>
                <w:sz w:val="22"/>
              </w:rPr>
              <w:t xml:space="preserve">Statistical learning theory: </w:t>
            </w:r>
            <w:r>
              <w:rPr>
                <w:rFonts w:ascii="Times New Roman" w:hAnsi="Times New Roman"/>
                <w:color w:val="000000"/>
                <w:sz w:val="22"/>
              </w:rPr>
              <w:t>Supervised learning models approximate the relationship between input features and known grade observations. Model performance is assessed on unseen validation or test data to reduce overfitting. This framework supports the use of train-validation-test splits, k-fold cross-validation and error metrics.</w:t>
            </w:r>
          </w:p>
        </w:tc>
      </w:tr>
    </w:tbl>
    <w:p>
      <w:pPr>
        <w:keepNext w:val="0"/>
        <w:spacing w:before="0" w:after="80" w:line="240" w:lineRule="auto"/>
      </w:pP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9360"/>
      </w:tblGrid>
      <w:tr>
        <w:tc>
          <w:tcPr>
            <w:tcW w:type="dxa" w:w="9360"/>
            <w:shd w:fill="F4F6F9"/>
          </w:tcPr>
          <w:p>
            <w:pPr>
              <w:keepNext w:val="0"/>
              <w:spacing w:before="0" w:after="0" w:line="300" w:lineRule="auto"/>
            </w:pPr>
            <w:r/>
            <w:r>
              <w:rPr>
                <w:rFonts w:ascii="Times New Roman" w:hAnsi="Times New Roman"/>
                <w:b/>
                <w:color w:val="1F4D78"/>
                <w:sz w:val="22"/>
              </w:rPr>
              <w:t xml:space="preserve">Data fusion theory: </w:t>
            </w:r>
            <w:r>
              <w:rPr>
                <w:rFonts w:ascii="Times New Roman" w:hAnsi="Times New Roman"/>
                <w:color w:val="000000"/>
                <w:sz w:val="22"/>
              </w:rPr>
              <w:t>No single dataset is expected to explain mineralization fully. Combining radiometric, geochemical, geological and terrain data should improve predictive performance by providing complementary evidence. The theory supports multi-source feature engineering and comparison against single-source baselines.</w:t>
            </w:r>
          </w:p>
        </w:tc>
      </w:tr>
    </w:tbl>
    <w:p>
      <w:pPr>
        <w:keepNext w:val="0"/>
        <w:spacing w:before="0" w:after="80" w:line="240" w:lineRule="auto"/>
      </w:pPr>
    </w:p>
    <w:p>
      <w:pPr>
        <w:pStyle w:val="Heading2"/>
      </w:pPr>
      <w:r>
        <w:t>2.3 Empirical Review/Research Gap</w:t>
      </w:r>
    </w:p>
    <w:p>
      <w:pPr>
        <w:keepNext w:val="0"/>
        <w:spacing w:before="0" w:after="120" w:line="360" w:lineRule="auto"/>
      </w:pPr>
      <w:r>
        <w:rPr>
          <w:rFonts w:ascii="Times New Roman" w:hAnsi="Times New Roman"/>
          <w:b w:val="0"/>
          <w:i w:val="0"/>
          <w:color w:val="000000"/>
          <w:sz w:val="24"/>
        </w:rPr>
        <w:t>Previous studies show that both geostatistical and machine learning methods have value in mineral exploration. Geostatistical approaches are well established for resource estimation and spatial interpolation, while modern machine learning is increasingly used for mineral prospectivity mapping, lithological classification and remote-sensing-based geological interpretation. The empirical literature also shows that model performance depends strongly on data quality, domain knowledge, validation design and the integration of relevant evidence layers.</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2300"/>
        <w:gridCol w:w="3720"/>
        <w:gridCol w:w="3340"/>
      </w:tblGrid>
      <w:tr>
        <w:trPr>
          <w:tblHeader w:val="true"/>
        </w:trPr>
        <w:tc>
          <w:tcPr>
            <w:tcW w:type="dxa" w:w="2300"/>
            <w:shd w:fill="E8EEF5"/>
            <w:vAlign w:val="center"/>
          </w:tcPr>
          <w:p>
            <w:pPr>
              <w:keepNext w:val="0"/>
              <w:spacing w:before="0" w:after="0" w:line="264" w:lineRule="auto"/>
              <w:jc w:val="center"/>
            </w:pPr>
            <w:r/>
            <w:r>
              <w:rPr>
                <w:rFonts w:ascii="Times New Roman" w:hAnsi="Times New Roman"/>
                <w:b/>
                <w:color w:val="000000"/>
                <w:sz w:val="17"/>
              </w:rPr>
              <w:t>Source</w:t>
            </w:r>
          </w:p>
        </w:tc>
        <w:tc>
          <w:tcPr>
            <w:tcW w:type="dxa" w:w="3720"/>
            <w:shd w:fill="E8EEF5"/>
            <w:vAlign w:val="center"/>
          </w:tcPr>
          <w:p>
            <w:pPr>
              <w:keepNext w:val="0"/>
              <w:spacing w:before="0" w:after="0" w:line="264" w:lineRule="auto"/>
              <w:jc w:val="center"/>
            </w:pPr>
            <w:r/>
            <w:r>
              <w:rPr>
                <w:rFonts w:ascii="Times New Roman" w:hAnsi="Times New Roman"/>
                <w:b/>
                <w:color w:val="000000"/>
                <w:sz w:val="17"/>
              </w:rPr>
              <w:t>Relevant Contribution</w:t>
            </w:r>
          </w:p>
        </w:tc>
        <w:tc>
          <w:tcPr>
            <w:tcW w:type="dxa" w:w="3340"/>
            <w:shd w:fill="E8EEF5"/>
            <w:vAlign w:val="center"/>
          </w:tcPr>
          <w:p>
            <w:pPr>
              <w:keepNext w:val="0"/>
              <w:spacing w:before="0" w:after="0" w:line="264" w:lineRule="auto"/>
              <w:jc w:val="center"/>
            </w:pPr>
            <w:r/>
            <w:r>
              <w:rPr>
                <w:rFonts w:ascii="Times New Roman" w:hAnsi="Times New Roman"/>
                <w:b/>
                <w:color w:val="000000"/>
                <w:sz w:val="17"/>
              </w:rPr>
              <w:t>Application to This Study</w:t>
            </w:r>
          </w:p>
        </w:tc>
      </w:tr>
      <w:tr>
        <w:tc>
          <w:tcPr>
            <w:tcW w:type="dxa" w:w="2300"/>
            <w:vAlign w:val="center"/>
          </w:tcPr>
          <w:p>
            <w:pPr>
              <w:keepNext w:val="0"/>
              <w:spacing w:before="0" w:after="0" w:line="276" w:lineRule="auto"/>
              <w:jc w:val="left"/>
            </w:pPr>
            <w:r/>
            <w:r>
              <w:rPr>
                <w:rFonts w:ascii="Times New Roman" w:hAnsi="Times New Roman"/>
                <w:b w:val="0"/>
                <w:color w:val="000000"/>
                <w:sz w:val="17"/>
              </w:rPr>
              <w:t>Journel and Huijbregts (1978)</w:t>
            </w:r>
          </w:p>
        </w:tc>
        <w:tc>
          <w:tcPr>
            <w:tcW w:type="dxa" w:w="3720"/>
            <w:vAlign w:val="center"/>
          </w:tcPr>
          <w:p>
            <w:pPr>
              <w:keepNext w:val="0"/>
              <w:spacing w:before="0" w:after="0" w:line="276" w:lineRule="auto"/>
              <w:jc w:val="left"/>
            </w:pPr>
            <w:r/>
            <w:r>
              <w:rPr>
                <w:rFonts w:ascii="Times New Roman" w:hAnsi="Times New Roman"/>
                <w:b w:val="0"/>
                <w:color w:val="000000"/>
                <w:sz w:val="17"/>
              </w:rPr>
              <w:t>Established classical mining geostatistics and variogram-based resource estimation principles.</w:t>
            </w:r>
          </w:p>
        </w:tc>
        <w:tc>
          <w:tcPr>
            <w:tcW w:type="dxa" w:w="3340"/>
            <w:vAlign w:val="center"/>
          </w:tcPr>
          <w:p>
            <w:pPr>
              <w:keepNext w:val="0"/>
              <w:spacing w:before="0" w:after="0" w:line="276" w:lineRule="auto"/>
              <w:jc w:val="left"/>
            </w:pPr>
            <w:r/>
            <w:r>
              <w:rPr>
                <w:rFonts w:ascii="Times New Roman" w:hAnsi="Times New Roman"/>
                <w:b w:val="0"/>
                <w:color w:val="000000"/>
                <w:sz w:val="17"/>
              </w:rPr>
              <w:t>Provides the theoretical basis for kriging as a comparison method.</w:t>
            </w:r>
          </w:p>
        </w:tc>
      </w:tr>
      <w:tr>
        <w:tc>
          <w:tcPr>
            <w:tcW w:type="dxa" w:w="2300"/>
            <w:vAlign w:val="center"/>
          </w:tcPr>
          <w:p>
            <w:pPr>
              <w:keepNext w:val="0"/>
              <w:spacing w:before="0" w:after="0" w:line="276" w:lineRule="auto"/>
              <w:jc w:val="left"/>
            </w:pPr>
            <w:r/>
            <w:r>
              <w:rPr>
                <w:rFonts w:ascii="Times New Roman" w:hAnsi="Times New Roman"/>
                <w:b w:val="0"/>
                <w:color w:val="000000"/>
                <w:sz w:val="17"/>
              </w:rPr>
              <w:t>Isaaks and Srivastava (1989)</w:t>
            </w:r>
          </w:p>
        </w:tc>
        <w:tc>
          <w:tcPr>
            <w:tcW w:type="dxa" w:w="3720"/>
            <w:vAlign w:val="center"/>
          </w:tcPr>
          <w:p>
            <w:pPr>
              <w:keepNext w:val="0"/>
              <w:spacing w:before="0" w:after="0" w:line="276" w:lineRule="auto"/>
              <w:jc w:val="left"/>
            </w:pPr>
            <w:r/>
            <w:r>
              <w:rPr>
                <w:rFonts w:ascii="Times New Roman" w:hAnsi="Times New Roman"/>
                <w:b w:val="0"/>
                <w:color w:val="000000"/>
                <w:sz w:val="17"/>
              </w:rPr>
              <w:t>Explained applied geostatistical estimation, spatial continuity and practical variogram interpretation.</w:t>
            </w:r>
          </w:p>
        </w:tc>
        <w:tc>
          <w:tcPr>
            <w:tcW w:type="dxa" w:w="3340"/>
            <w:vAlign w:val="center"/>
          </w:tcPr>
          <w:p>
            <w:pPr>
              <w:keepNext w:val="0"/>
              <w:spacing w:before="0" w:after="0" w:line="276" w:lineRule="auto"/>
              <w:jc w:val="left"/>
            </w:pPr>
            <w:r/>
            <w:r>
              <w:rPr>
                <w:rFonts w:ascii="Times New Roman" w:hAnsi="Times New Roman"/>
                <w:b w:val="0"/>
                <w:color w:val="000000"/>
                <w:sz w:val="17"/>
              </w:rPr>
              <w:t>Supports the baseline interpolation workflow and uncertainty discussion.</w:t>
            </w:r>
          </w:p>
        </w:tc>
      </w:tr>
      <w:tr>
        <w:tc>
          <w:tcPr>
            <w:tcW w:type="dxa" w:w="2300"/>
            <w:vAlign w:val="center"/>
          </w:tcPr>
          <w:p>
            <w:pPr>
              <w:keepNext w:val="0"/>
              <w:spacing w:before="0" w:after="0" w:line="276" w:lineRule="auto"/>
              <w:jc w:val="left"/>
            </w:pPr>
            <w:r/>
            <w:r>
              <w:rPr>
                <w:rFonts w:ascii="Times New Roman" w:hAnsi="Times New Roman"/>
                <w:b w:val="0"/>
                <w:color w:val="000000"/>
                <w:sz w:val="17"/>
              </w:rPr>
              <w:t>Bonham-Carter (1994)</w:t>
            </w:r>
          </w:p>
        </w:tc>
        <w:tc>
          <w:tcPr>
            <w:tcW w:type="dxa" w:w="3720"/>
            <w:vAlign w:val="center"/>
          </w:tcPr>
          <w:p>
            <w:pPr>
              <w:keepNext w:val="0"/>
              <w:spacing w:before="0" w:after="0" w:line="276" w:lineRule="auto"/>
              <w:jc w:val="left"/>
            </w:pPr>
            <w:r/>
            <w:r>
              <w:rPr>
                <w:rFonts w:ascii="Times New Roman" w:hAnsi="Times New Roman"/>
                <w:b w:val="0"/>
                <w:color w:val="000000"/>
                <w:sz w:val="17"/>
              </w:rPr>
              <w:t>Developed GIS-based geoscience data integration and weights-of-evidence thinking.</w:t>
            </w:r>
          </w:p>
        </w:tc>
        <w:tc>
          <w:tcPr>
            <w:tcW w:type="dxa" w:w="3340"/>
            <w:vAlign w:val="center"/>
          </w:tcPr>
          <w:p>
            <w:pPr>
              <w:keepNext w:val="0"/>
              <w:spacing w:before="0" w:after="0" w:line="276" w:lineRule="auto"/>
              <w:jc w:val="left"/>
            </w:pPr>
            <w:r/>
            <w:r>
              <w:rPr>
                <w:rFonts w:ascii="Times New Roman" w:hAnsi="Times New Roman"/>
                <w:b w:val="0"/>
                <w:color w:val="000000"/>
                <w:sz w:val="17"/>
              </w:rPr>
              <w:t>Shows why multiple evidential layers should be combined for prospectivity mapping.</w:t>
            </w:r>
          </w:p>
        </w:tc>
      </w:tr>
      <w:tr>
        <w:tc>
          <w:tcPr>
            <w:tcW w:type="dxa" w:w="2300"/>
            <w:vAlign w:val="center"/>
          </w:tcPr>
          <w:p>
            <w:pPr>
              <w:keepNext w:val="0"/>
              <w:spacing w:before="0" w:after="0" w:line="276" w:lineRule="auto"/>
              <w:jc w:val="left"/>
            </w:pPr>
            <w:r/>
            <w:r>
              <w:rPr>
                <w:rFonts w:ascii="Times New Roman" w:hAnsi="Times New Roman"/>
                <w:b w:val="0"/>
                <w:color w:val="000000"/>
                <w:sz w:val="17"/>
              </w:rPr>
              <w:t>Goovaerts (1997)</w:t>
            </w:r>
          </w:p>
        </w:tc>
        <w:tc>
          <w:tcPr>
            <w:tcW w:type="dxa" w:w="3720"/>
            <w:vAlign w:val="center"/>
          </w:tcPr>
          <w:p>
            <w:pPr>
              <w:keepNext w:val="0"/>
              <w:spacing w:before="0" w:after="0" w:line="276" w:lineRule="auto"/>
              <w:jc w:val="left"/>
            </w:pPr>
            <w:r/>
            <w:r>
              <w:rPr>
                <w:rFonts w:ascii="Times New Roman" w:hAnsi="Times New Roman"/>
                <w:b w:val="0"/>
                <w:color w:val="000000"/>
                <w:sz w:val="17"/>
              </w:rPr>
              <w:t>Presented geostatistics for natural resources evaluation with emphasis on spatial dependence and prediction.</w:t>
            </w:r>
          </w:p>
        </w:tc>
        <w:tc>
          <w:tcPr>
            <w:tcW w:type="dxa" w:w="3340"/>
            <w:vAlign w:val="center"/>
          </w:tcPr>
          <w:p>
            <w:pPr>
              <w:keepNext w:val="0"/>
              <w:spacing w:before="0" w:after="0" w:line="276" w:lineRule="auto"/>
              <w:jc w:val="left"/>
            </w:pPr>
            <w:r/>
            <w:r>
              <w:rPr>
                <w:rFonts w:ascii="Times New Roman" w:hAnsi="Times New Roman"/>
                <w:b w:val="0"/>
                <w:color w:val="000000"/>
                <w:sz w:val="17"/>
              </w:rPr>
              <w:t>Frames the comparison between traditional geostatistics and machine learning.</w:t>
            </w:r>
          </w:p>
        </w:tc>
      </w:tr>
      <w:tr>
        <w:tc>
          <w:tcPr>
            <w:tcW w:type="dxa" w:w="2300"/>
            <w:vAlign w:val="center"/>
          </w:tcPr>
          <w:p>
            <w:pPr>
              <w:keepNext w:val="0"/>
              <w:spacing w:before="0" w:after="0" w:line="276" w:lineRule="auto"/>
              <w:jc w:val="center"/>
            </w:pPr>
            <w:r/>
            <w:r>
              <w:rPr>
                <w:rFonts w:ascii="Times New Roman" w:hAnsi="Times New Roman"/>
                <w:b w:val="0"/>
                <w:color w:val="000000"/>
                <w:sz w:val="17"/>
              </w:rPr>
              <w:t>Minty (1997)</w:t>
            </w:r>
          </w:p>
        </w:tc>
        <w:tc>
          <w:tcPr>
            <w:tcW w:type="dxa" w:w="3720"/>
            <w:vAlign w:val="center"/>
          </w:tcPr>
          <w:p>
            <w:pPr>
              <w:keepNext w:val="0"/>
              <w:spacing w:before="0" w:after="0" w:line="276" w:lineRule="auto"/>
              <w:jc w:val="left"/>
            </w:pPr>
            <w:r/>
            <w:r>
              <w:rPr>
                <w:rFonts w:ascii="Times New Roman" w:hAnsi="Times New Roman"/>
                <w:b w:val="0"/>
                <w:color w:val="000000"/>
                <w:sz w:val="17"/>
              </w:rPr>
              <w:t>Reviewed fundamentals of airborne gamma-ray spectrometry and radioelement mapping.</w:t>
            </w:r>
          </w:p>
        </w:tc>
        <w:tc>
          <w:tcPr>
            <w:tcW w:type="dxa" w:w="3340"/>
            <w:vAlign w:val="center"/>
          </w:tcPr>
          <w:p>
            <w:pPr>
              <w:keepNext w:val="0"/>
              <w:spacing w:before="0" w:after="0" w:line="276" w:lineRule="auto"/>
              <w:jc w:val="left"/>
            </w:pPr>
            <w:r/>
            <w:r>
              <w:rPr>
                <w:rFonts w:ascii="Times New Roman" w:hAnsi="Times New Roman"/>
                <w:b w:val="0"/>
                <w:color w:val="000000"/>
                <w:sz w:val="17"/>
              </w:rPr>
              <w:t>Supports the use of K, Th and U radiometric variables in the study.</w:t>
            </w:r>
          </w:p>
        </w:tc>
      </w:tr>
      <w:tr>
        <w:tc>
          <w:tcPr>
            <w:tcW w:type="dxa" w:w="2300"/>
            <w:vAlign w:val="center"/>
          </w:tcPr>
          <w:p>
            <w:pPr>
              <w:keepNext w:val="0"/>
              <w:spacing w:before="0" w:after="0" w:line="276" w:lineRule="auto"/>
              <w:jc w:val="center"/>
            </w:pPr>
            <w:r/>
            <w:r>
              <w:rPr>
                <w:rFonts w:ascii="Times New Roman" w:hAnsi="Times New Roman"/>
                <w:b w:val="0"/>
                <w:color w:val="000000"/>
                <w:sz w:val="17"/>
              </w:rPr>
              <w:t>IAEA (2003)</w:t>
            </w:r>
          </w:p>
        </w:tc>
        <w:tc>
          <w:tcPr>
            <w:tcW w:type="dxa" w:w="3720"/>
            <w:vAlign w:val="center"/>
          </w:tcPr>
          <w:p>
            <w:pPr>
              <w:keepNext w:val="0"/>
              <w:spacing w:before="0" w:after="0" w:line="276" w:lineRule="auto"/>
              <w:jc w:val="left"/>
            </w:pPr>
            <w:r/>
            <w:r>
              <w:rPr>
                <w:rFonts w:ascii="Times New Roman" w:hAnsi="Times New Roman"/>
                <w:b w:val="0"/>
                <w:color w:val="000000"/>
                <w:sz w:val="17"/>
              </w:rPr>
              <w:t>Provided guidelines for radioelement mapping using gamma-ray spectrometric data.</w:t>
            </w:r>
          </w:p>
        </w:tc>
        <w:tc>
          <w:tcPr>
            <w:tcW w:type="dxa" w:w="3340"/>
            <w:vAlign w:val="center"/>
          </w:tcPr>
          <w:p>
            <w:pPr>
              <w:keepNext w:val="0"/>
              <w:spacing w:before="0" w:after="0" w:line="276" w:lineRule="auto"/>
              <w:jc w:val="left"/>
            </w:pPr>
            <w:r/>
            <w:r>
              <w:rPr>
                <w:rFonts w:ascii="Times New Roman" w:hAnsi="Times New Roman"/>
                <w:b w:val="0"/>
                <w:color w:val="000000"/>
                <w:sz w:val="17"/>
              </w:rPr>
              <w:t>Guides interpretation of radiometric maps and quality control of radioelement data.</w:t>
            </w:r>
          </w:p>
        </w:tc>
      </w:tr>
      <w:tr>
        <w:tc>
          <w:tcPr>
            <w:tcW w:type="dxa" w:w="2300"/>
            <w:vAlign w:val="center"/>
          </w:tcPr>
          <w:p>
            <w:pPr>
              <w:keepNext w:val="0"/>
              <w:spacing w:before="0" w:after="0" w:line="276" w:lineRule="auto"/>
              <w:jc w:val="left"/>
            </w:pPr>
            <w:r/>
            <w:r>
              <w:rPr>
                <w:rFonts w:ascii="Times New Roman" w:hAnsi="Times New Roman"/>
                <w:b w:val="0"/>
                <w:color w:val="000000"/>
                <w:sz w:val="17"/>
              </w:rPr>
              <w:t>Carranza (2008)</w:t>
            </w:r>
          </w:p>
        </w:tc>
        <w:tc>
          <w:tcPr>
            <w:tcW w:type="dxa" w:w="3720"/>
            <w:vAlign w:val="center"/>
          </w:tcPr>
          <w:p>
            <w:pPr>
              <w:keepNext w:val="0"/>
              <w:spacing w:before="0" w:after="0" w:line="276" w:lineRule="auto"/>
              <w:jc w:val="left"/>
            </w:pPr>
            <w:r/>
            <w:r>
              <w:rPr>
                <w:rFonts w:ascii="Times New Roman" w:hAnsi="Times New Roman"/>
                <w:b w:val="0"/>
                <w:color w:val="000000"/>
                <w:sz w:val="17"/>
              </w:rPr>
              <w:t>Explained GIS-based geochemical anomaly and mineral prospectivity mapping.</w:t>
            </w:r>
          </w:p>
        </w:tc>
        <w:tc>
          <w:tcPr>
            <w:tcW w:type="dxa" w:w="3340"/>
            <w:vAlign w:val="center"/>
          </w:tcPr>
          <w:p>
            <w:pPr>
              <w:keepNext w:val="0"/>
              <w:spacing w:before="0" w:after="0" w:line="276" w:lineRule="auto"/>
              <w:jc w:val="left"/>
            </w:pPr>
            <w:r/>
            <w:r>
              <w:rPr>
                <w:rFonts w:ascii="Times New Roman" w:hAnsi="Times New Roman"/>
                <w:b w:val="0"/>
                <w:color w:val="000000"/>
                <w:sz w:val="17"/>
              </w:rPr>
              <w:t>Supports the design of an evidence-layer approach rather than isolated sample interpretation.</w:t>
            </w:r>
          </w:p>
        </w:tc>
      </w:tr>
      <w:tr>
        <w:tc>
          <w:tcPr>
            <w:tcW w:type="dxa" w:w="2300"/>
            <w:vAlign w:val="center"/>
          </w:tcPr>
          <w:p>
            <w:pPr>
              <w:keepNext w:val="0"/>
              <w:spacing w:before="0" w:after="0" w:line="276" w:lineRule="auto"/>
              <w:jc w:val="center"/>
            </w:pPr>
            <w:r/>
            <w:r>
              <w:rPr>
                <w:rFonts w:ascii="Times New Roman" w:hAnsi="Times New Roman"/>
                <w:b w:val="0"/>
                <w:color w:val="000000"/>
                <w:sz w:val="17"/>
              </w:rPr>
              <w:t>Obaje (2009)</w:t>
            </w:r>
          </w:p>
        </w:tc>
        <w:tc>
          <w:tcPr>
            <w:tcW w:type="dxa" w:w="3720"/>
            <w:vAlign w:val="center"/>
          </w:tcPr>
          <w:p>
            <w:pPr>
              <w:keepNext w:val="0"/>
              <w:spacing w:before="0" w:after="0" w:line="276" w:lineRule="auto"/>
              <w:jc w:val="left"/>
            </w:pPr>
            <w:r/>
            <w:r>
              <w:rPr>
                <w:rFonts w:ascii="Times New Roman" w:hAnsi="Times New Roman"/>
                <w:b w:val="0"/>
                <w:color w:val="000000"/>
                <w:sz w:val="17"/>
              </w:rPr>
              <w:t>Summarized Nigerian geology and mineral resources, including tin-bearing Younger Granite contexts.</w:t>
            </w:r>
          </w:p>
        </w:tc>
        <w:tc>
          <w:tcPr>
            <w:tcW w:type="dxa" w:w="3340"/>
            <w:vAlign w:val="center"/>
          </w:tcPr>
          <w:p>
            <w:pPr>
              <w:keepNext w:val="0"/>
              <w:spacing w:before="0" w:after="0" w:line="276" w:lineRule="auto"/>
              <w:jc w:val="left"/>
            </w:pPr>
            <w:r/>
            <w:r>
              <w:rPr>
                <w:rFonts w:ascii="Times New Roman" w:hAnsi="Times New Roman"/>
                <w:b w:val="0"/>
                <w:color w:val="000000"/>
                <w:sz w:val="17"/>
              </w:rPr>
              <w:t>Provides Nigerian geological context for Plateau State tin mineralization.</w:t>
            </w:r>
          </w:p>
        </w:tc>
      </w:tr>
      <w:tr>
        <w:tc>
          <w:tcPr>
            <w:tcW w:type="dxa" w:w="2300"/>
            <w:vAlign w:val="center"/>
          </w:tcPr>
          <w:p>
            <w:pPr>
              <w:keepNext w:val="0"/>
              <w:spacing w:before="0" w:after="0" w:line="276" w:lineRule="auto"/>
              <w:jc w:val="left"/>
            </w:pPr>
            <w:r/>
            <w:r>
              <w:rPr>
                <w:rFonts w:ascii="Times New Roman" w:hAnsi="Times New Roman"/>
                <w:b w:val="0"/>
                <w:color w:val="000000"/>
                <w:sz w:val="17"/>
              </w:rPr>
              <w:t>Kinnaird (1985)</w:t>
            </w:r>
          </w:p>
        </w:tc>
        <w:tc>
          <w:tcPr>
            <w:tcW w:type="dxa" w:w="3720"/>
            <w:vAlign w:val="center"/>
          </w:tcPr>
          <w:p>
            <w:pPr>
              <w:keepNext w:val="0"/>
              <w:spacing w:before="0" w:after="0" w:line="276" w:lineRule="auto"/>
              <w:jc w:val="left"/>
            </w:pPr>
            <w:r/>
            <w:r>
              <w:rPr>
                <w:rFonts w:ascii="Times New Roman" w:hAnsi="Times New Roman"/>
                <w:b w:val="0"/>
                <w:color w:val="000000"/>
                <w:sz w:val="17"/>
              </w:rPr>
              <w:t>Discussed hydrothermal alteration and mineralization in Nigerian anorogenic ring complexes.</w:t>
            </w:r>
          </w:p>
        </w:tc>
        <w:tc>
          <w:tcPr>
            <w:tcW w:type="dxa" w:w="3340"/>
            <w:vAlign w:val="center"/>
          </w:tcPr>
          <w:p>
            <w:pPr>
              <w:keepNext w:val="0"/>
              <w:spacing w:before="0" w:after="0" w:line="276" w:lineRule="auto"/>
              <w:jc w:val="left"/>
            </w:pPr>
            <w:r/>
            <w:r>
              <w:rPr>
                <w:rFonts w:ascii="Times New Roman" w:hAnsi="Times New Roman"/>
                <w:b w:val="0"/>
                <w:color w:val="000000"/>
                <w:sz w:val="17"/>
              </w:rPr>
              <w:t>Links cassiterite mineralization to Younger Granite alteration and structural controls.</w:t>
            </w:r>
          </w:p>
        </w:tc>
      </w:tr>
      <w:tr>
        <w:tc>
          <w:tcPr>
            <w:tcW w:type="dxa" w:w="2300"/>
            <w:vAlign w:val="center"/>
          </w:tcPr>
          <w:p>
            <w:pPr>
              <w:keepNext w:val="0"/>
              <w:spacing w:before="0" w:after="0" w:line="276" w:lineRule="auto"/>
              <w:jc w:val="left"/>
            </w:pPr>
            <w:r/>
            <w:r>
              <w:rPr>
                <w:rFonts w:ascii="Times New Roman" w:hAnsi="Times New Roman"/>
                <w:b w:val="0"/>
                <w:color w:val="000000"/>
                <w:sz w:val="17"/>
              </w:rPr>
              <w:t>Breiman (2001)</w:t>
            </w:r>
          </w:p>
        </w:tc>
        <w:tc>
          <w:tcPr>
            <w:tcW w:type="dxa" w:w="3720"/>
            <w:vAlign w:val="center"/>
          </w:tcPr>
          <w:p>
            <w:pPr>
              <w:keepNext w:val="0"/>
              <w:spacing w:before="0" w:after="0" w:line="276" w:lineRule="auto"/>
              <w:jc w:val="left"/>
            </w:pPr>
            <w:r/>
            <w:r>
              <w:rPr>
                <w:rFonts w:ascii="Times New Roman" w:hAnsi="Times New Roman"/>
                <w:b w:val="0"/>
                <w:color w:val="000000"/>
                <w:sz w:val="17"/>
              </w:rPr>
              <w:t>Introduced Random Forests as an ensemble method capable of robust classification and regression.</w:t>
            </w:r>
          </w:p>
        </w:tc>
        <w:tc>
          <w:tcPr>
            <w:tcW w:type="dxa" w:w="3340"/>
            <w:vAlign w:val="center"/>
          </w:tcPr>
          <w:p>
            <w:pPr>
              <w:keepNext w:val="0"/>
              <w:spacing w:before="0" w:after="0" w:line="276" w:lineRule="auto"/>
              <w:jc w:val="left"/>
            </w:pPr>
            <w:r/>
            <w:r>
              <w:rPr>
                <w:rFonts w:ascii="Times New Roman" w:hAnsi="Times New Roman"/>
                <w:b w:val="0"/>
                <w:color w:val="000000"/>
                <w:sz w:val="17"/>
              </w:rPr>
              <w:t>Justifies Random Forest regression for nonlinear grade prediction.</w:t>
            </w:r>
          </w:p>
        </w:tc>
      </w:tr>
      <w:tr>
        <w:tc>
          <w:tcPr>
            <w:tcW w:type="dxa" w:w="2300"/>
            <w:vAlign w:val="center"/>
          </w:tcPr>
          <w:p>
            <w:pPr>
              <w:keepNext w:val="0"/>
              <w:spacing w:before="0" w:after="0" w:line="276" w:lineRule="auto"/>
              <w:jc w:val="left"/>
            </w:pPr>
            <w:r/>
            <w:r>
              <w:rPr>
                <w:rFonts w:ascii="Times New Roman" w:hAnsi="Times New Roman"/>
                <w:b w:val="0"/>
                <w:color w:val="000000"/>
                <w:sz w:val="17"/>
              </w:rPr>
              <w:t>Chen and Guestrin (2016)</w:t>
            </w:r>
          </w:p>
        </w:tc>
        <w:tc>
          <w:tcPr>
            <w:tcW w:type="dxa" w:w="3720"/>
            <w:vAlign w:val="center"/>
          </w:tcPr>
          <w:p>
            <w:pPr>
              <w:keepNext w:val="0"/>
              <w:spacing w:before="0" w:after="0" w:line="276" w:lineRule="auto"/>
              <w:jc w:val="left"/>
            </w:pPr>
            <w:r/>
            <w:r>
              <w:rPr>
                <w:rFonts w:ascii="Times New Roman" w:hAnsi="Times New Roman"/>
                <w:b w:val="0"/>
                <w:color w:val="000000"/>
                <w:sz w:val="17"/>
              </w:rPr>
              <w:t>Presented XGBoost as a scalable gradient tree boosting system.</w:t>
            </w:r>
          </w:p>
        </w:tc>
        <w:tc>
          <w:tcPr>
            <w:tcW w:type="dxa" w:w="3340"/>
            <w:vAlign w:val="center"/>
          </w:tcPr>
          <w:p>
            <w:pPr>
              <w:keepNext w:val="0"/>
              <w:spacing w:before="0" w:after="0" w:line="276" w:lineRule="auto"/>
              <w:jc w:val="left"/>
            </w:pPr>
            <w:r/>
            <w:r>
              <w:rPr>
                <w:rFonts w:ascii="Times New Roman" w:hAnsi="Times New Roman"/>
                <w:b w:val="0"/>
                <w:color w:val="000000"/>
                <w:sz w:val="17"/>
              </w:rPr>
              <w:t>Justifies XGBoost regression for high-performance predictive modelling.</w:t>
            </w:r>
          </w:p>
        </w:tc>
      </w:tr>
      <w:tr>
        <w:tc>
          <w:tcPr>
            <w:tcW w:type="dxa" w:w="2300"/>
            <w:vAlign w:val="center"/>
          </w:tcPr>
          <w:p>
            <w:pPr>
              <w:keepNext w:val="0"/>
              <w:spacing w:before="0" w:after="0" w:line="276" w:lineRule="auto"/>
              <w:jc w:val="left"/>
            </w:pPr>
            <w:r/>
            <w:r>
              <w:rPr>
                <w:rFonts w:ascii="Times New Roman" w:hAnsi="Times New Roman"/>
                <w:b w:val="0"/>
                <w:color w:val="000000"/>
                <w:sz w:val="17"/>
              </w:rPr>
              <w:t>Rodriguez-Galiano et al. (2015)</w:t>
            </w:r>
          </w:p>
        </w:tc>
        <w:tc>
          <w:tcPr>
            <w:tcW w:type="dxa" w:w="3720"/>
            <w:vAlign w:val="center"/>
          </w:tcPr>
          <w:p>
            <w:pPr>
              <w:keepNext w:val="0"/>
              <w:spacing w:before="0" w:after="0" w:line="276" w:lineRule="auto"/>
              <w:jc w:val="left"/>
            </w:pPr>
            <w:r/>
            <w:r>
              <w:rPr>
                <w:rFonts w:ascii="Times New Roman" w:hAnsi="Times New Roman"/>
                <w:b w:val="0"/>
                <w:color w:val="000000"/>
                <w:sz w:val="17"/>
              </w:rPr>
              <w:t>Evaluated machine learning approaches for mineral prospectivity mapping.</w:t>
            </w:r>
          </w:p>
        </w:tc>
        <w:tc>
          <w:tcPr>
            <w:tcW w:type="dxa" w:w="3340"/>
            <w:vAlign w:val="center"/>
          </w:tcPr>
          <w:p>
            <w:pPr>
              <w:keepNext w:val="0"/>
              <w:spacing w:before="0" w:after="0" w:line="276" w:lineRule="auto"/>
              <w:jc w:val="left"/>
            </w:pPr>
            <w:r/>
            <w:r>
              <w:rPr>
                <w:rFonts w:ascii="Times New Roman" w:hAnsi="Times New Roman"/>
                <w:b w:val="0"/>
                <w:color w:val="000000"/>
                <w:sz w:val="17"/>
              </w:rPr>
              <w:t>Supports comparing ensemble models with more traditional methods.</w:t>
            </w:r>
          </w:p>
        </w:tc>
      </w:tr>
      <w:tr>
        <w:tc>
          <w:tcPr>
            <w:tcW w:type="dxa" w:w="2300"/>
            <w:vAlign w:val="center"/>
          </w:tcPr>
          <w:p>
            <w:pPr>
              <w:keepNext w:val="0"/>
              <w:spacing w:before="0" w:after="0" w:line="276" w:lineRule="auto"/>
              <w:jc w:val="left"/>
            </w:pPr>
            <w:r/>
            <w:r>
              <w:rPr>
                <w:rFonts w:ascii="Times New Roman" w:hAnsi="Times New Roman"/>
                <w:b w:val="0"/>
                <w:color w:val="000000"/>
                <w:sz w:val="17"/>
              </w:rPr>
              <w:t>Cracknell and Reading (2014)</w:t>
            </w:r>
          </w:p>
        </w:tc>
        <w:tc>
          <w:tcPr>
            <w:tcW w:type="dxa" w:w="3720"/>
            <w:vAlign w:val="center"/>
          </w:tcPr>
          <w:p>
            <w:pPr>
              <w:keepNext w:val="0"/>
              <w:spacing w:before="0" w:after="0" w:line="276" w:lineRule="auto"/>
              <w:jc w:val="left"/>
            </w:pPr>
            <w:r/>
            <w:r>
              <w:rPr>
                <w:rFonts w:ascii="Times New Roman" w:hAnsi="Times New Roman"/>
                <w:b w:val="0"/>
                <w:color w:val="000000"/>
                <w:sz w:val="17"/>
              </w:rPr>
              <w:t>Compared machine learning methods for geological mapping using remotely sensed data.</w:t>
            </w:r>
          </w:p>
        </w:tc>
        <w:tc>
          <w:tcPr>
            <w:tcW w:type="dxa" w:w="3340"/>
            <w:vAlign w:val="center"/>
          </w:tcPr>
          <w:p>
            <w:pPr>
              <w:keepNext w:val="0"/>
              <w:spacing w:before="0" w:after="0" w:line="276" w:lineRule="auto"/>
              <w:jc w:val="left"/>
            </w:pPr>
            <w:r/>
            <w:r>
              <w:rPr>
                <w:rFonts w:ascii="Times New Roman" w:hAnsi="Times New Roman"/>
                <w:b w:val="0"/>
                <w:color w:val="000000"/>
                <w:sz w:val="17"/>
              </w:rPr>
              <w:t>Shows the value of machine learning for mapping geological patterns from indirect evidence.</w:t>
            </w:r>
          </w:p>
        </w:tc>
      </w:tr>
      <w:tr>
        <w:tc>
          <w:tcPr>
            <w:tcW w:type="dxa" w:w="2300"/>
            <w:vAlign w:val="center"/>
          </w:tcPr>
          <w:p>
            <w:pPr>
              <w:keepNext w:val="0"/>
              <w:spacing w:before="0" w:after="0" w:line="276" w:lineRule="auto"/>
              <w:jc w:val="left"/>
            </w:pPr>
            <w:r/>
            <w:r>
              <w:rPr>
                <w:rFonts w:ascii="Times New Roman" w:hAnsi="Times New Roman"/>
                <w:b w:val="0"/>
                <w:color w:val="000000"/>
                <w:sz w:val="17"/>
              </w:rPr>
              <w:t>Zuo and Carranza (2011)</w:t>
            </w:r>
          </w:p>
        </w:tc>
        <w:tc>
          <w:tcPr>
            <w:tcW w:type="dxa" w:w="3720"/>
            <w:vAlign w:val="center"/>
          </w:tcPr>
          <w:p>
            <w:pPr>
              <w:keepNext w:val="0"/>
              <w:spacing w:before="0" w:after="0" w:line="276" w:lineRule="auto"/>
              <w:jc w:val="left"/>
            </w:pPr>
            <w:r/>
            <w:r>
              <w:rPr>
                <w:rFonts w:ascii="Times New Roman" w:hAnsi="Times New Roman"/>
                <w:b w:val="0"/>
                <w:color w:val="000000"/>
                <w:sz w:val="17"/>
              </w:rPr>
              <w:t>Applied support vector machines to mineral prospectivity mapping.</w:t>
            </w:r>
          </w:p>
        </w:tc>
        <w:tc>
          <w:tcPr>
            <w:tcW w:type="dxa" w:w="3340"/>
            <w:vAlign w:val="center"/>
          </w:tcPr>
          <w:p>
            <w:pPr>
              <w:keepNext w:val="0"/>
              <w:spacing w:before="0" w:after="0" w:line="276" w:lineRule="auto"/>
              <w:jc w:val="left"/>
            </w:pPr>
            <w:r/>
            <w:r>
              <w:rPr>
                <w:rFonts w:ascii="Times New Roman" w:hAnsi="Times New Roman"/>
                <w:b w:val="0"/>
                <w:color w:val="000000"/>
                <w:sz w:val="17"/>
              </w:rPr>
              <w:t>Demonstrates that nonlinear algorithms can improve exploration targeting.</w:t>
            </w:r>
          </w:p>
        </w:tc>
      </w:tr>
      <w:tr>
        <w:tc>
          <w:tcPr>
            <w:tcW w:type="dxa" w:w="2300"/>
            <w:vAlign w:val="center"/>
          </w:tcPr>
          <w:p>
            <w:pPr>
              <w:keepNext w:val="0"/>
              <w:spacing w:before="0" w:after="0" w:line="276" w:lineRule="auto"/>
              <w:jc w:val="left"/>
            </w:pPr>
            <w:r/>
            <w:r>
              <w:rPr>
                <w:rFonts w:ascii="Times New Roman" w:hAnsi="Times New Roman"/>
                <w:b w:val="0"/>
                <w:color w:val="000000"/>
                <w:sz w:val="17"/>
              </w:rPr>
              <w:t>McCuaig and Hronsky (2014)</w:t>
            </w:r>
          </w:p>
        </w:tc>
        <w:tc>
          <w:tcPr>
            <w:tcW w:type="dxa" w:w="3720"/>
            <w:vAlign w:val="center"/>
          </w:tcPr>
          <w:p>
            <w:pPr>
              <w:keepNext w:val="0"/>
              <w:spacing w:before="0" w:after="0" w:line="276" w:lineRule="auto"/>
              <w:jc w:val="left"/>
            </w:pPr>
            <w:r/>
            <w:r>
              <w:rPr>
                <w:rFonts w:ascii="Times New Roman" w:hAnsi="Times New Roman"/>
                <w:b w:val="0"/>
                <w:color w:val="000000"/>
                <w:sz w:val="17"/>
              </w:rPr>
              <w:t>Discussed the mineral systems concept for exploration targeting.</w:t>
            </w:r>
          </w:p>
        </w:tc>
        <w:tc>
          <w:tcPr>
            <w:tcW w:type="dxa" w:w="3340"/>
            <w:vAlign w:val="center"/>
          </w:tcPr>
          <w:p>
            <w:pPr>
              <w:keepNext w:val="0"/>
              <w:spacing w:before="0" w:after="0" w:line="276" w:lineRule="auto"/>
              <w:jc w:val="left"/>
            </w:pPr>
            <w:r/>
            <w:r>
              <w:rPr>
                <w:rFonts w:ascii="Times New Roman" w:hAnsi="Times New Roman"/>
                <w:b w:val="0"/>
                <w:color w:val="000000"/>
                <w:sz w:val="17"/>
              </w:rPr>
              <w:t>Supports selecting features based on geological process, not only data availability.</w:t>
            </w:r>
          </w:p>
        </w:tc>
      </w:tr>
      <w:tr>
        <w:tc>
          <w:tcPr>
            <w:tcW w:type="dxa" w:w="2300"/>
            <w:vAlign w:val="center"/>
          </w:tcPr>
          <w:p>
            <w:pPr>
              <w:keepNext w:val="0"/>
              <w:spacing w:before="0" w:after="0" w:line="276" w:lineRule="auto"/>
              <w:jc w:val="left"/>
            </w:pPr>
            <w:r/>
            <w:r>
              <w:rPr>
                <w:rFonts w:ascii="Times New Roman" w:hAnsi="Times New Roman"/>
                <w:b w:val="0"/>
                <w:color w:val="000000"/>
                <w:sz w:val="17"/>
              </w:rPr>
              <w:t>Singer and Menzie (2010)</w:t>
            </w:r>
          </w:p>
        </w:tc>
        <w:tc>
          <w:tcPr>
            <w:tcW w:type="dxa" w:w="3720"/>
            <w:vAlign w:val="center"/>
          </w:tcPr>
          <w:p>
            <w:pPr>
              <w:keepNext w:val="0"/>
              <w:spacing w:before="0" w:after="0" w:line="276" w:lineRule="auto"/>
              <w:jc w:val="left"/>
            </w:pPr>
            <w:r/>
            <w:r>
              <w:rPr>
                <w:rFonts w:ascii="Times New Roman" w:hAnsi="Times New Roman"/>
                <w:b w:val="0"/>
                <w:color w:val="000000"/>
                <w:sz w:val="17"/>
              </w:rPr>
              <w:t>Presented quantitative mineral resource assessment principles.</w:t>
            </w:r>
          </w:p>
        </w:tc>
        <w:tc>
          <w:tcPr>
            <w:tcW w:type="dxa" w:w="3340"/>
            <w:vAlign w:val="center"/>
          </w:tcPr>
          <w:p>
            <w:pPr>
              <w:keepNext w:val="0"/>
              <w:spacing w:before="0" w:after="0" w:line="276" w:lineRule="auto"/>
              <w:jc w:val="left"/>
            </w:pPr>
            <w:r/>
            <w:r>
              <w:rPr>
                <w:rFonts w:ascii="Times New Roman" w:hAnsi="Times New Roman"/>
                <w:b w:val="0"/>
                <w:color w:val="000000"/>
                <w:sz w:val="17"/>
              </w:rPr>
              <w:t>Supports uncertainty-aware interpretation of predicted mineral potential.</w:t>
            </w:r>
          </w:p>
        </w:tc>
      </w:tr>
      <w:tr>
        <w:tc>
          <w:tcPr>
            <w:tcW w:type="dxa" w:w="2300"/>
            <w:vAlign w:val="center"/>
          </w:tcPr>
          <w:p>
            <w:pPr>
              <w:keepNext w:val="0"/>
              <w:spacing w:before="0" w:after="0" w:line="276" w:lineRule="auto"/>
              <w:jc w:val="left"/>
            </w:pPr>
            <w:r/>
            <w:r>
              <w:rPr>
                <w:rFonts w:ascii="Times New Roman" w:hAnsi="Times New Roman"/>
                <w:b w:val="0"/>
                <w:color w:val="000000"/>
                <w:sz w:val="17"/>
              </w:rPr>
              <w:t>Shirmard et al. (2021)</w:t>
            </w:r>
          </w:p>
        </w:tc>
        <w:tc>
          <w:tcPr>
            <w:tcW w:type="dxa" w:w="3720"/>
            <w:vAlign w:val="center"/>
          </w:tcPr>
          <w:p>
            <w:pPr>
              <w:keepNext w:val="0"/>
              <w:spacing w:before="0" w:after="0" w:line="276" w:lineRule="auto"/>
              <w:jc w:val="left"/>
            </w:pPr>
            <w:r/>
            <w:r>
              <w:rPr>
                <w:rFonts w:ascii="Times New Roman" w:hAnsi="Times New Roman"/>
                <w:b w:val="0"/>
                <w:color w:val="000000"/>
                <w:sz w:val="17"/>
              </w:rPr>
              <w:t>Reviewed machine learning in remote sensing data processing for mineral exploration.</w:t>
            </w:r>
          </w:p>
        </w:tc>
        <w:tc>
          <w:tcPr>
            <w:tcW w:type="dxa" w:w="3340"/>
            <w:vAlign w:val="center"/>
          </w:tcPr>
          <w:p>
            <w:pPr>
              <w:keepNext w:val="0"/>
              <w:spacing w:before="0" w:after="0" w:line="276" w:lineRule="auto"/>
              <w:jc w:val="left"/>
            </w:pPr>
            <w:r/>
            <w:r>
              <w:rPr>
                <w:rFonts w:ascii="Times New Roman" w:hAnsi="Times New Roman"/>
                <w:b w:val="0"/>
                <w:color w:val="000000"/>
                <w:sz w:val="17"/>
              </w:rPr>
              <w:t>Shows broad evidence that ML can support modern mineral targeting.</w:t>
            </w:r>
          </w:p>
        </w:tc>
      </w:tr>
      <w:tr>
        <w:tc>
          <w:tcPr>
            <w:tcW w:type="dxa" w:w="2300"/>
            <w:vAlign w:val="center"/>
          </w:tcPr>
          <w:p>
            <w:pPr>
              <w:keepNext w:val="0"/>
              <w:spacing w:before="0" w:after="0" w:line="276" w:lineRule="auto"/>
              <w:jc w:val="left"/>
            </w:pPr>
            <w:r/>
            <w:r>
              <w:rPr>
                <w:rFonts w:ascii="Times New Roman" w:hAnsi="Times New Roman"/>
                <w:b w:val="0"/>
                <w:color w:val="000000"/>
                <w:sz w:val="17"/>
              </w:rPr>
              <w:t>Local Sheet 168 metadata (2021)</w:t>
            </w:r>
          </w:p>
        </w:tc>
        <w:tc>
          <w:tcPr>
            <w:tcW w:type="dxa" w:w="3720"/>
            <w:vAlign w:val="center"/>
          </w:tcPr>
          <w:p>
            <w:pPr>
              <w:keepNext w:val="0"/>
              <w:spacing w:before="0" w:after="0" w:line="276" w:lineRule="auto"/>
              <w:jc w:val="left"/>
            </w:pPr>
            <w:r/>
            <w:r>
              <w:rPr>
                <w:rFonts w:ascii="Times New Roman" w:hAnsi="Times New Roman"/>
                <w:b w:val="0"/>
                <w:color w:val="000000"/>
                <w:sz w:val="17"/>
              </w:rPr>
              <w:t>Documents K, Th and U grid sources, WGS 84 / UTM Zone 32N and geographic extents.</w:t>
            </w:r>
          </w:p>
        </w:tc>
        <w:tc>
          <w:tcPr>
            <w:tcW w:type="dxa" w:w="3340"/>
            <w:vAlign w:val="center"/>
          </w:tcPr>
          <w:p>
            <w:pPr>
              <w:keepNext w:val="0"/>
              <w:spacing w:before="0" w:after="0" w:line="276" w:lineRule="auto"/>
              <w:jc w:val="left"/>
            </w:pPr>
            <w:r/>
            <w:r>
              <w:rPr>
                <w:rFonts w:ascii="Times New Roman" w:hAnsi="Times New Roman"/>
                <w:b w:val="0"/>
                <w:color w:val="000000"/>
                <w:sz w:val="17"/>
              </w:rPr>
              <w:t>Provides the local radiometric dataset foundation for this project.</w:t>
            </w:r>
          </w:p>
        </w:tc>
      </w:tr>
    </w:tbl>
    <w:p>
      <w:pPr>
        <w:keepNext w:val="0"/>
        <w:spacing w:before="0" w:after="80" w:line="240" w:lineRule="auto"/>
      </w:pPr>
    </w:p>
    <w:p>
      <w:pPr>
        <w:pStyle w:val="Heading3"/>
      </w:pPr>
      <w:r>
        <w:t>Identified Research Gap</w:t>
      </w:r>
    </w:p>
    <w:p>
      <w:pPr>
        <w:pStyle w:val="ListBullet"/>
        <w:jc w:val="both"/>
      </w:pPr>
      <w:r>
        <w:t>Most reviewed studies focus on general mineral prospectivity methods or foreign case studies rather than a localized Bukuru/Jos Plateau tin prediction system.</w:t>
      </w:r>
    </w:p>
    <w:p>
      <w:pPr>
        <w:pStyle w:val="ListBullet"/>
        <w:jc w:val="both"/>
      </w:pPr>
      <w:r>
        <w:t>Existing geostatistical approaches are valuable but may not fully capture nonlinear relationships among radiometric values, geology, terrain and structural controls.</w:t>
      </w:r>
    </w:p>
    <w:p>
      <w:pPr>
        <w:pStyle w:val="ListBullet"/>
        <w:jc w:val="both"/>
      </w:pPr>
      <w:r>
        <w:t>Many studies discuss modelling but do not deliver an interactive dashboard that can be used by students or exploration teams to review predictions on a map.</w:t>
      </w:r>
    </w:p>
    <w:p>
      <w:pPr>
        <w:pStyle w:val="ListBullet"/>
        <w:jc w:val="both"/>
      </w:pPr>
      <w:r>
        <w:t>The available local radiometric grids require integration with field or assay data before a field-validated grade prediction model can be defended scientifically.</w:t>
      </w:r>
    </w:p>
    <w:p>
      <w:pPr>
        <w:pStyle w:val="Heading2"/>
      </w:pPr>
      <w:r>
        <w:t>2.4 Summary of Literature</w:t>
      </w:r>
    </w:p>
    <w:p>
      <w:pPr>
        <w:keepNext w:val="0"/>
        <w:spacing w:before="0" w:after="120" w:line="360" w:lineRule="auto"/>
      </w:pPr>
      <w:r>
        <w:rPr>
          <w:rFonts w:ascii="Times New Roman" w:hAnsi="Times New Roman"/>
          <w:b w:val="0"/>
          <w:i w:val="0"/>
          <w:color w:val="000000"/>
          <w:sz w:val="24"/>
        </w:rPr>
        <w:t>The literature agrees that spatial data integration is central to modern mineral exploration. Geostatistics remains essential for resource estimation and spatial interpolation, but machine learning provides additional strength where relationships are nonlinear, multivariate and difficult to express through a single variogram. The main conflict in the literature is not whether machine learning is useful, but how it should be validated and interpreted. Poorly validated models can look convincing on maps while failing in the field. Therefore, this project occupies a practical niche: it proposes a localized, geologically guided, validated and dashboard-supported machine learning workflow for tin ore grade prediction in Bukuru, Plateau State.</w:t>
      </w:r>
    </w:p>
    <w:p>
      <w:pPr>
        <w:pStyle w:val="Heading1"/>
      </w:pPr>
      <w:r>
        <w:t>3.0 Methodology</w:t>
      </w:r>
    </w:p>
    <w:p>
      <w:pPr>
        <w:pStyle w:val="Heading2"/>
      </w:pPr>
      <w:r>
        <w:t>3.1 Study Area</w:t>
      </w:r>
    </w:p>
    <w:p>
      <w:pPr>
        <w:keepNext w:val="0"/>
        <w:spacing w:before="0" w:after="120" w:line="360" w:lineRule="auto"/>
      </w:pPr>
      <w:r>
        <w:rPr>
          <w:rFonts w:ascii="Times New Roman" w:hAnsi="Times New Roman"/>
          <w:b w:val="0"/>
          <w:i w:val="0"/>
          <w:color w:val="000000"/>
          <w:sz w:val="24"/>
        </w:rPr>
        <w:t>The proposed study area is the Bukuru/Du/Naraguta corridor within Jos South and nearby parts of the Jos Plateau, Plateau State, Nigeria. The local digital dataset in the repository is Sheet 168 Naraguta, which covers approximately 8.499873E to 8.999431E longitude and 9.500149N to 9.999096N latitude. The grid metadata indicate WGS 84 / UTM Zone 32N projection with UTM extents of 445187.5 mE to 499937.5 mE and 1050187.5 mN to 1105312.5 mN.</w:t>
      </w:r>
    </w:p>
    <w:p>
      <w:pPr>
        <w:keepNext w:val="0"/>
        <w:spacing w:before="0" w:after="120" w:line="360" w:lineRule="auto"/>
      </w:pPr>
      <w:r>
        <w:rPr>
          <w:rFonts w:ascii="Times New Roman" w:hAnsi="Times New Roman"/>
          <w:b w:val="0"/>
          <w:i w:val="0"/>
          <w:color w:val="000000"/>
          <w:sz w:val="24"/>
        </w:rPr>
        <w:t>Geologically, the area forms part of the Jos Plateau Younger Granite province, a setting historically associated with cassiterite and related tin-columbite mineralization. The field context includes old mining localities, granitic rocks, weathered profiles, alluvial reworking and possible hydrothermal alteration zones. These features make the area suitable for a final-year project that combines mining engineering, geostatistics, geospatial analysis and machine learning.</w:t>
      </w:r>
    </w:p>
    <w:p>
      <w:pPr>
        <w:jc w:val="center"/>
      </w:pPr>
      <w:r>
        <w:drawing>
          <wp:inline xmlns:a="http://schemas.openxmlformats.org/drawingml/2006/main" xmlns:pic="http://schemas.openxmlformats.org/drawingml/2006/picture">
            <wp:extent cx="5577840" cy="3650950"/>
            <wp:docPr id="2" name="Picture 2"/>
            <wp:cNvGraphicFramePr>
              <a:graphicFrameLocks noChangeAspect="1"/>
            </wp:cNvGraphicFramePr>
            <a:graphic>
              <a:graphicData uri="http://schemas.openxmlformats.org/drawingml/2006/picture">
                <pic:pic>
                  <pic:nvPicPr>
                    <pic:cNvPr id="0" name="study_area_locator.png"/>
                    <pic:cNvPicPr/>
                  </pic:nvPicPr>
                  <pic:blipFill>
                    <a:blip r:embed="rId12"/>
                    <a:stretch>
                      <a:fillRect/>
                    </a:stretch>
                  </pic:blipFill>
                  <pic:spPr>
                    <a:xfrm>
                      <a:off x="0" y="0"/>
                      <a:ext cx="5577840" cy="3650950"/>
                    </a:xfrm>
                    <a:prstGeom prst="rect"/>
                  </pic:spPr>
                </pic:pic>
              </a:graphicData>
            </a:graphic>
          </wp:inline>
        </w:drawing>
      </w:r>
    </w:p>
    <w:p>
      <w:pPr>
        <w:keepNext w:val="0"/>
        <w:spacing w:before="40" w:after="160" w:line="276" w:lineRule="auto"/>
        <w:jc w:val="center"/>
      </w:pPr>
      <w:r>
        <w:rPr>
          <w:rFonts w:ascii="Times New Roman" w:hAnsi="Times New Roman"/>
          <w:b w:val="0"/>
          <w:i/>
          <w:color w:val="5A5A5A"/>
          <w:sz w:val="20"/>
        </w:rPr>
        <w:t>Figure 1: Preliminary locator diagram for the Sheet 168 Naraguta/Bukuru study area.</w:t>
      </w:r>
    </w:p>
    <w:p>
      <w:pPr>
        <w:pStyle w:val="Heading2"/>
      </w:pPr>
      <w:r>
        <w:t>3.2 Research Design</w:t>
      </w:r>
    </w:p>
    <w:p>
      <w:pPr>
        <w:keepNext w:val="0"/>
        <w:spacing w:before="0" w:after="120" w:line="360" w:lineRule="auto"/>
      </w:pPr>
      <w:r>
        <w:rPr>
          <w:rFonts w:ascii="Times New Roman" w:hAnsi="Times New Roman"/>
          <w:b w:val="0"/>
          <w:i w:val="0"/>
          <w:color w:val="000000"/>
          <w:sz w:val="24"/>
        </w:rPr>
        <w:t>The research design is an applied quantitative case study with modelling and design-based components. It is quantitative because it will use numerical radiometric, geochemical, spatial and grade variables. It is a case study because it focuses on a defined mining-geological area in Plateau State. It is design-based because the final output includes an operational dashboard and a reproducible workflow for mineral estimation.</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2600"/>
        <w:gridCol w:w="6760"/>
      </w:tblGrid>
      <w:tr>
        <w:trPr>
          <w:tblHeader w:val="true"/>
        </w:trPr>
        <w:tc>
          <w:tcPr>
            <w:tcW w:type="dxa" w:w="2600"/>
            <w:shd w:fill="E8EEF5"/>
            <w:vAlign w:val="center"/>
          </w:tcPr>
          <w:p>
            <w:pPr>
              <w:keepNext w:val="0"/>
              <w:spacing w:before="0" w:after="0" w:line="264" w:lineRule="auto"/>
              <w:jc w:val="center"/>
            </w:pPr>
            <w:r/>
            <w:r>
              <w:rPr>
                <w:rFonts w:ascii="Times New Roman" w:hAnsi="Times New Roman"/>
                <w:b/>
                <w:color w:val="000000"/>
                <w:sz w:val="19"/>
              </w:rPr>
              <w:t>Design Element</w:t>
            </w:r>
          </w:p>
        </w:tc>
        <w:tc>
          <w:tcPr>
            <w:tcW w:type="dxa" w:w="6760"/>
            <w:shd w:fill="E8EEF5"/>
            <w:vAlign w:val="center"/>
          </w:tcPr>
          <w:p>
            <w:pPr>
              <w:keepNext w:val="0"/>
              <w:spacing w:before="0" w:after="0" w:line="264" w:lineRule="auto"/>
              <w:jc w:val="center"/>
            </w:pPr>
            <w:r/>
            <w:r>
              <w:rPr>
                <w:rFonts w:ascii="Times New Roman" w:hAnsi="Times New Roman"/>
                <w:b/>
                <w:color w:val="000000"/>
                <w:sz w:val="19"/>
              </w:rPr>
              <w:t>Description</w:t>
            </w:r>
          </w:p>
        </w:tc>
      </w:tr>
      <w:tr>
        <w:tc>
          <w:tcPr>
            <w:tcW w:type="dxa" w:w="2600"/>
            <w:vAlign w:val="center"/>
          </w:tcPr>
          <w:p>
            <w:pPr>
              <w:keepNext w:val="0"/>
              <w:spacing w:before="0" w:after="0" w:line="276" w:lineRule="auto"/>
              <w:jc w:val="left"/>
            </w:pPr>
            <w:r/>
            <w:r>
              <w:rPr>
                <w:rFonts w:ascii="Times New Roman" w:hAnsi="Times New Roman"/>
                <w:b w:val="0"/>
                <w:color w:val="000000"/>
                <w:sz w:val="19"/>
              </w:rPr>
              <w:t>Research type</w:t>
            </w:r>
          </w:p>
        </w:tc>
        <w:tc>
          <w:tcPr>
            <w:tcW w:type="dxa" w:w="6760"/>
            <w:vAlign w:val="center"/>
          </w:tcPr>
          <w:p>
            <w:pPr>
              <w:keepNext w:val="0"/>
              <w:spacing w:before="0" w:after="0" w:line="276" w:lineRule="auto"/>
              <w:jc w:val="left"/>
            </w:pPr>
            <w:r/>
            <w:r>
              <w:rPr>
                <w:rFonts w:ascii="Times New Roman" w:hAnsi="Times New Roman"/>
                <w:b w:val="0"/>
                <w:color w:val="000000"/>
                <w:sz w:val="19"/>
              </w:rPr>
              <w:t>Applied quantitative research with geospatial modelling</w:t>
            </w:r>
          </w:p>
        </w:tc>
      </w:tr>
      <w:tr>
        <w:tc>
          <w:tcPr>
            <w:tcW w:type="dxa" w:w="2600"/>
            <w:vAlign w:val="center"/>
          </w:tcPr>
          <w:p>
            <w:pPr>
              <w:keepNext w:val="0"/>
              <w:spacing w:before="0" w:after="0" w:line="276" w:lineRule="auto"/>
              <w:jc w:val="center"/>
            </w:pPr>
            <w:r/>
            <w:r>
              <w:rPr>
                <w:rFonts w:ascii="Times New Roman" w:hAnsi="Times New Roman"/>
                <w:b w:val="0"/>
                <w:color w:val="000000"/>
                <w:sz w:val="19"/>
              </w:rPr>
              <w:t>Case study</w:t>
            </w:r>
          </w:p>
        </w:tc>
        <w:tc>
          <w:tcPr>
            <w:tcW w:type="dxa" w:w="6760"/>
            <w:vAlign w:val="center"/>
          </w:tcPr>
          <w:p>
            <w:pPr>
              <w:keepNext w:val="0"/>
              <w:spacing w:before="0" w:after="0" w:line="276" w:lineRule="auto"/>
              <w:jc w:val="left"/>
            </w:pPr>
            <w:r/>
            <w:r>
              <w:rPr>
                <w:rFonts w:ascii="Times New Roman" w:hAnsi="Times New Roman"/>
                <w:b w:val="0"/>
                <w:color w:val="000000"/>
                <w:sz w:val="19"/>
              </w:rPr>
              <w:t>Bukuru/Du/Naraguta corridor, Sheet 168 Naraguta, Plateau State</w:t>
            </w:r>
          </w:p>
        </w:tc>
      </w:tr>
      <w:tr>
        <w:tc>
          <w:tcPr>
            <w:tcW w:type="dxa" w:w="2600"/>
            <w:vAlign w:val="center"/>
          </w:tcPr>
          <w:p>
            <w:pPr>
              <w:keepNext w:val="0"/>
              <w:spacing w:before="0" w:after="0" w:line="276" w:lineRule="auto"/>
              <w:jc w:val="left"/>
            </w:pPr>
            <w:r/>
            <w:r>
              <w:rPr>
                <w:rFonts w:ascii="Times New Roman" w:hAnsi="Times New Roman"/>
                <w:b w:val="0"/>
                <w:color w:val="000000"/>
                <w:sz w:val="19"/>
              </w:rPr>
              <w:t>Modelling approach</w:t>
            </w:r>
          </w:p>
        </w:tc>
        <w:tc>
          <w:tcPr>
            <w:tcW w:type="dxa" w:w="6760"/>
            <w:vAlign w:val="center"/>
          </w:tcPr>
          <w:p>
            <w:pPr>
              <w:keepNext w:val="0"/>
              <w:spacing w:before="0" w:after="0" w:line="276" w:lineRule="auto"/>
              <w:jc w:val="left"/>
            </w:pPr>
            <w:r/>
            <w:r>
              <w:rPr>
                <w:rFonts w:ascii="Times New Roman" w:hAnsi="Times New Roman"/>
                <w:b w:val="0"/>
                <w:color w:val="000000"/>
                <w:sz w:val="19"/>
              </w:rPr>
              <w:t>Random Forest, XGBoost, ordinary kriging and inverse distance weighting</w:t>
            </w:r>
          </w:p>
        </w:tc>
      </w:tr>
      <w:tr>
        <w:tc>
          <w:tcPr>
            <w:tcW w:type="dxa" w:w="2600"/>
            <w:vAlign w:val="center"/>
          </w:tcPr>
          <w:p>
            <w:pPr>
              <w:keepNext w:val="0"/>
              <w:spacing w:before="0" w:after="0" w:line="276" w:lineRule="auto"/>
              <w:jc w:val="left"/>
            </w:pPr>
            <w:r/>
            <w:r>
              <w:rPr>
                <w:rFonts w:ascii="Times New Roman" w:hAnsi="Times New Roman"/>
                <w:b w:val="0"/>
                <w:color w:val="000000"/>
                <w:sz w:val="19"/>
              </w:rPr>
              <w:t>Product approach</w:t>
            </w:r>
          </w:p>
        </w:tc>
        <w:tc>
          <w:tcPr>
            <w:tcW w:type="dxa" w:w="6760"/>
            <w:vAlign w:val="center"/>
          </w:tcPr>
          <w:p>
            <w:pPr>
              <w:keepNext w:val="0"/>
              <w:spacing w:before="0" w:after="0" w:line="276" w:lineRule="auto"/>
              <w:jc w:val="left"/>
            </w:pPr>
            <w:r/>
            <w:r>
              <w:rPr>
                <w:rFonts w:ascii="Times New Roman" w:hAnsi="Times New Roman"/>
                <w:b w:val="0"/>
                <w:color w:val="000000"/>
                <w:sz w:val="19"/>
              </w:rPr>
              <w:t>Interactive web dashboard for prediction, visualization and reporting</w:t>
            </w:r>
          </w:p>
        </w:tc>
      </w:tr>
      <w:tr>
        <w:tc>
          <w:tcPr>
            <w:tcW w:type="dxa" w:w="2600"/>
            <w:vAlign w:val="center"/>
          </w:tcPr>
          <w:p>
            <w:pPr>
              <w:keepNext w:val="0"/>
              <w:spacing w:before="0" w:after="0" w:line="276" w:lineRule="auto"/>
              <w:jc w:val="left"/>
            </w:pPr>
            <w:r/>
            <w:r>
              <w:rPr>
                <w:rFonts w:ascii="Times New Roman" w:hAnsi="Times New Roman"/>
                <w:b w:val="0"/>
                <w:color w:val="000000"/>
                <w:sz w:val="19"/>
              </w:rPr>
              <w:t>Validation approach</w:t>
            </w:r>
          </w:p>
        </w:tc>
        <w:tc>
          <w:tcPr>
            <w:tcW w:type="dxa" w:w="6760"/>
            <w:vAlign w:val="center"/>
          </w:tcPr>
          <w:p>
            <w:pPr>
              <w:keepNext w:val="0"/>
              <w:spacing w:before="0" w:after="0" w:line="276" w:lineRule="auto"/>
              <w:jc w:val="left"/>
            </w:pPr>
            <w:r/>
            <w:r>
              <w:rPr>
                <w:rFonts w:ascii="Times New Roman" w:hAnsi="Times New Roman"/>
                <w:b w:val="0"/>
                <w:color w:val="000000"/>
                <w:sz w:val="19"/>
              </w:rPr>
              <w:t>Train-validation-test split, k-fold cross-validation and field/assay verification where available</w:t>
            </w:r>
          </w:p>
        </w:tc>
      </w:tr>
    </w:tbl>
    <w:p>
      <w:pPr>
        <w:keepNext w:val="0"/>
        <w:spacing w:before="0" w:after="80" w:line="240" w:lineRule="auto"/>
      </w:pPr>
    </w:p>
    <w:p>
      <w:pPr>
        <w:pStyle w:val="Heading2"/>
      </w:pPr>
      <w:r>
        <w:t>3.3 Data Requirements and Sources</w:t>
      </w:r>
    </w:p>
    <w:p>
      <w:pPr>
        <w:pStyle w:val="Heading3"/>
      </w:pPr>
      <w:r>
        <w:t>Primary Data</w:t>
      </w:r>
    </w:p>
    <w:p>
      <w:pPr>
        <w:pStyle w:val="ListBullet"/>
        <w:jc w:val="both"/>
      </w:pPr>
      <w:r>
        <w:t>Rock, soil or tailings samples from selected anomaly classes and accessible historical mining locations.</w:t>
      </w:r>
    </w:p>
    <w:p>
      <w:pPr>
        <w:pStyle w:val="ListBullet"/>
        <w:jc w:val="both"/>
      </w:pPr>
      <w:r>
        <w:t>GPS coordinates of sample points, old workings, drainage channels, structural observations and safe access routes.</w:t>
      </w:r>
    </w:p>
    <w:p>
      <w:pPr>
        <w:pStyle w:val="ListBullet"/>
        <w:jc w:val="both"/>
      </w:pPr>
      <w:r>
        <w:t>Field descriptions of lithology, alteration, weathering, mineral indications and mining disturbance.</w:t>
      </w:r>
    </w:p>
    <w:p>
      <w:pPr>
        <w:pStyle w:val="ListBullet"/>
        <w:jc w:val="both"/>
      </w:pPr>
      <w:r>
        <w:t>Laboratory assay results for tin and selected pathfinder elements where laboratory access is available.</w:t>
      </w:r>
    </w:p>
    <w:p>
      <w:pPr>
        <w:pStyle w:val="ListBullet"/>
        <w:jc w:val="both"/>
      </w:pPr>
      <w:r>
        <w:t>Ground radiometric readings for selected control points, if a portable radiometric instrument is available.</w:t>
      </w:r>
    </w:p>
    <w:p>
      <w:pPr>
        <w:pStyle w:val="Heading3"/>
      </w:pPr>
      <w:r>
        <w:t>Secondary Data</w:t>
      </w:r>
    </w:p>
    <w:p>
      <w:pPr>
        <w:pStyle w:val="ListBullet"/>
        <w:jc w:val="both"/>
      </w:pPr>
      <w:r>
        <w:t>Sheet 168 Naraguta potassium, thorium and uranium radiometric grids and their XML metadata.</w:t>
      </w:r>
    </w:p>
    <w:p>
      <w:pPr>
        <w:pStyle w:val="ListBullet"/>
        <w:jc w:val="both"/>
      </w:pPr>
      <w:r>
        <w:t>Geological maps, airborne geophysical maps and mineral occurrence records from relevant Nigerian geological sources.</w:t>
      </w:r>
    </w:p>
    <w:p>
      <w:pPr>
        <w:pStyle w:val="ListBullet"/>
        <w:jc w:val="both"/>
      </w:pPr>
      <w:r>
        <w:t>Digital elevation model data for elevation, slope, aspect and drainage interpretation.</w:t>
      </w:r>
    </w:p>
    <w:p>
      <w:pPr>
        <w:pStyle w:val="ListBullet"/>
        <w:jc w:val="both"/>
      </w:pPr>
      <w:r>
        <w:t>Historical literature on the Jos Plateau Younger Granite province and tin mineralization.</w:t>
      </w:r>
    </w:p>
    <w:p>
      <w:pPr>
        <w:pStyle w:val="ListBullet"/>
        <w:jc w:val="both"/>
      </w:pPr>
      <w:r>
        <w:t>Existing project source code, dashboard components and data parsing utilities in the ARUM ALPHA repository.</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1900"/>
        <w:gridCol w:w="3680"/>
        <w:gridCol w:w="3780"/>
      </w:tblGrid>
      <w:tr>
        <w:trPr>
          <w:tblHeader w:val="true"/>
        </w:trPr>
        <w:tc>
          <w:tcPr>
            <w:tcW w:type="dxa" w:w="1900"/>
            <w:shd w:fill="E8EEF5"/>
            <w:vAlign w:val="center"/>
          </w:tcPr>
          <w:p>
            <w:pPr>
              <w:keepNext w:val="0"/>
              <w:spacing w:before="0" w:after="0" w:line="264" w:lineRule="auto"/>
              <w:jc w:val="center"/>
            </w:pPr>
            <w:r/>
            <w:r>
              <w:rPr>
                <w:rFonts w:ascii="Times New Roman" w:hAnsi="Times New Roman"/>
                <w:b/>
                <w:color w:val="000000"/>
                <w:sz w:val="18"/>
              </w:rPr>
              <w:t>Data Group</w:t>
            </w:r>
          </w:p>
        </w:tc>
        <w:tc>
          <w:tcPr>
            <w:tcW w:type="dxa" w:w="3680"/>
            <w:shd w:fill="E8EEF5"/>
            <w:vAlign w:val="center"/>
          </w:tcPr>
          <w:p>
            <w:pPr>
              <w:keepNext w:val="0"/>
              <w:spacing w:before="0" w:after="0" w:line="264" w:lineRule="auto"/>
              <w:jc w:val="center"/>
            </w:pPr>
            <w:r/>
            <w:r>
              <w:rPr>
                <w:rFonts w:ascii="Times New Roman" w:hAnsi="Times New Roman"/>
                <w:b/>
                <w:color w:val="000000"/>
                <w:sz w:val="18"/>
              </w:rPr>
              <w:t>Variables</w:t>
            </w:r>
          </w:p>
        </w:tc>
        <w:tc>
          <w:tcPr>
            <w:tcW w:type="dxa" w:w="3780"/>
            <w:shd w:fill="E8EEF5"/>
            <w:vAlign w:val="center"/>
          </w:tcPr>
          <w:p>
            <w:pPr>
              <w:keepNext w:val="0"/>
              <w:spacing w:before="0" w:after="0" w:line="264" w:lineRule="auto"/>
              <w:jc w:val="center"/>
            </w:pPr>
            <w:r/>
            <w:r>
              <w:rPr>
                <w:rFonts w:ascii="Times New Roman" w:hAnsi="Times New Roman"/>
                <w:b/>
                <w:color w:val="000000"/>
                <w:sz w:val="18"/>
              </w:rPr>
              <w:t>Main Source</w:t>
            </w:r>
          </w:p>
        </w:tc>
      </w:tr>
      <w:tr>
        <w:tc>
          <w:tcPr>
            <w:tcW w:type="dxa" w:w="1900"/>
            <w:vAlign w:val="center"/>
          </w:tcPr>
          <w:p>
            <w:pPr>
              <w:keepNext w:val="0"/>
              <w:spacing w:before="0" w:after="0" w:line="276" w:lineRule="auto"/>
              <w:jc w:val="center"/>
            </w:pPr>
            <w:r/>
            <w:r>
              <w:rPr>
                <w:rFonts w:ascii="Times New Roman" w:hAnsi="Times New Roman"/>
                <w:b w:val="0"/>
                <w:color w:val="000000"/>
                <w:sz w:val="18"/>
              </w:rPr>
              <w:t>Radiometric</w:t>
            </w:r>
          </w:p>
        </w:tc>
        <w:tc>
          <w:tcPr>
            <w:tcW w:type="dxa" w:w="3680"/>
            <w:vAlign w:val="center"/>
          </w:tcPr>
          <w:p>
            <w:pPr>
              <w:keepNext w:val="0"/>
              <w:spacing w:before="0" w:after="0" w:line="276" w:lineRule="auto"/>
              <w:jc w:val="left"/>
            </w:pPr>
            <w:r/>
            <w:r>
              <w:rPr>
                <w:rFonts w:ascii="Times New Roman" w:hAnsi="Times New Roman"/>
                <w:b w:val="0"/>
                <w:color w:val="000000"/>
                <w:sz w:val="18"/>
              </w:rPr>
              <w:t>K percent, Th ppm, U ppm, K/(Th+U), Th/U</w:t>
            </w:r>
          </w:p>
        </w:tc>
        <w:tc>
          <w:tcPr>
            <w:tcW w:type="dxa" w:w="3780"/>
            <w:vAlign w:val="center"/>
          </w:tcPr>
          <w:p>
            <w:pPr>
              <w:keepNext w:val="0"/>
              <w:spacing w:before="0" w:after="0" w:line="276" w:lineRule="auto"/>
              <w:jc w:val="left"/>
            </w:pPr>
            <w:r/>
            <w:r>
              <w:rPr>
                <w:rFonts w:ascii="Times New Roman" w:hAnsi="Times New Roman"/>
                <w:b w:val="0"/>
                <w:color w:val="000000"/>
                <w:sz w:val="18"/>
              </w:rPr>
              <w:t>Sheet 168 grids and ground checks</w:t>
            </w:r>
          </w:p>
        </w:tc>
      </w:tr>
      <w:tr>
        <w:tc>
          <w:tcPr>
            <w:tcW w:type="dxa" w:w="1900"/>
            <w:vAlign w:val="center"/>
          </w:tcPr>
          <w:p>
            <w:pPr>
              <w:keepNext w:val="0"/>
              <w:spacing w:before="0" w:after="0" w:line="276" w:lineRule="auto"/>
              <w:jc w:val="center"/>
            </w:pPr>
            <w:r/>
            <w:r>
              <w:rPr>
                <w:rFonts w:ascii="Times New Roman" w:hAnsi="Times New Roman"/>
                <w:b w:val="0"/>
                <w:color w:val="000000"/>
                <w:sz w:val="18"/>
              </w:rPr>
              <w:t>Geochemical</w:t>
            </w:r>
          </w:p>
        </w:tc>
        <w:tc>
          <w:tcPr>
            <w:tcW w:type="dxa" w:w="3680"/>
            <w:vAlign w:val="center"/>
          </w:tcPr>
          <w:p>
            <w:pPr>
              <w:keepNext w:val="0"/>
              <w:spacing w:before="0" w:after="0" w:line="276" w:lineRule="auto"/>
              <w:jc w:val="left"/>
            </w:pPr>
            <w:r/>
            <w:r>
              <w:rPr>
                <w:rFonts w:ascii="Times New Roman" w:hAnsi="Times New Roman"/>
                <w:b w:val="0"/>
                <w:color w:val="000000"/>
                <w:sz w:val="18"/>
              </w:rPr>
              <w:t>Sn, Fe, Cu, Pb, Zn and other available assays</w:t>
            </w:r>
          </w:p>
        </w:tc>
        <w:tc>
          <w:tcPr>
            <w:tcW w:type="dxa" w:w="3780"/>
            <w:vAlign w:val="center"/>
          </w:tcPr>
          <w:p>
            <w:pPr>
              <w:keepNext w:val="0"/>
              <w:spacing w:before="0" w:after="0" w:line="276" w:lineRule="auto"/>
              <w:jc w:val="left"/>
            </w:pPr>
            <w:r/>
            <w:r>
              <w:rPr>
                <w:rFonts w:ascii="Times New Roman" w:hAnsi="Times New Roman"/>
                <w:b w:val="0"/>
                <w:color w:val="000000"/>
                <w:sz w:val="18"/>
              </w:rPr>
              <w:t>Field samples and laboratory analysis</w:t>
            </w:r>
          </w:p>
        </w:tc>
      </w:tr>
      <w:tr>
        <w:tc>
          <w:tcPr>
            <w:tcW w:type="dxa" w:w="1900"/>
            <w:vAlign w:val="center"/>
          </w:tcPr>
          <w:p>
            <w:pPr>
              <w:keepNext w:val="0"/>
              <w:spacing w:before="0" w:after="0" w:line="276" w:lineRule="auto"/>
              <w:jc w:val="center"/>
            </w:pPr>
            <w:r/>
            <w:r>
              <w:rPr>
                <w:rFonts w:ascii="Times New Roman" w:hAnsi="Times New Roman"/>
                <w:b w:val="0"/>
                <w:color w:val="000000"/>
                <w:sz w:val="18"/>
              </w:rPr>
              <w:t>Spatial</w:t>
            </w:r>
          </w:p>
        </w:tc>
        <w:tc>
          <w:tcPr>
            <w:tcW w:type="dxa" w:w="3680"/>
            <w:vAlign w:val="center"/>
          </w:tcPr>
          <w:p>
            <w:pPr>
              <w:keepNext w:val="0"/>
              <w:spacing w:before="0" w:after="0" w:line="276" w:lineRule="auto"/>
              <w:jc w:val="left"/>
            </w:pPr>
            <w:r/>
            <w:r>
              <w:rPr>
                <w:rFonts w:ascii="Times New Roman" w:hAnsi="Times New Roman"/>
                <w:b w:val="0"/>
                <w:color w:val="000000"/>
                <w:sz w:val="18"/>
              </w:rPr>
              <w:t>Latitude, longitude, UTM coordinates, elevation, slope, aspect</w:t>
            </w:r>
          </w:p>
        </w:tc>
        <w:tc>
          <w:tcPr>
            <w:tcW w:type="dxa" w:w="3780"/>
            <w:vAlign w:val="center"/>
          </w:tcPr>
          <w:p>
            <w:pPr>
              <w:keepNext w:val="0"/>
              <w:spacing w:before="0" w:after="0" w:line="276" w:lineRule="auto"/>
              <w:jc w:val="left"/>
            </w:pPr>
            <w:r/>
            <w:r>
              <w:rPr>
                <w:rFonts w:ascii="Times New Roman" w:hAnsi="Times New Roman"/>
                <w:b w:val="0"/>
                <w:color w:val="000000"/>
                <w:sz w:val="18"/>
              </w:rPr>
              <w:t>GPS, DEM and GIS processing</w:t>
            </w:r>
          </w:p>
        </w:tc>
      </w:tr>
      <w:tr>
        <w:tc>
          <w:tcPr>
            <w:tcW w:type="dxa" w:w="1900"/>
            <w:vAlign w:val="center"/>
          </w:tcPr>
          <w:p>
            <w:pPr>
              <w:keepNext w:val="0"/>
              <w:spacing w:before="0" w:after="0" w:line="276" w:lineRule="auto"/>
              <w:jc w:val="center"/>
            </w:pPr>
            <w:r/>
            <w:r>
              <w:rPr>
                <w:rFonts w:ascii="Times New Roman" w:hAnsi="Times New Roman"/>
                <w:b w:val="0"/>
                <w:color w:val="000000"/>
                <w:sz w:val="18"/>
              </w:rPr>
              <w:t>Geological</w:t>
            </w:r>
          </w:p>
        </w:tc>
        <w:tc>
          <w:tcPr>
            <w:tcW w:type="dxa" w:w="3680"/>
            <w:vAlign w:val="center"/>
          </w:tcPr>
          <w:p>
            <w:pPr>
              <w:keepNext w:val="0"/>
              <w:spacing w:before="0" w:after="0" w:line="276" w:lineRule="auto"/>
              <w:jc w:val="left"/>
            </w:pPr>
            <w:r/>
            <w:r>
              <w:rPr>
                <w:rFonts w:ascii="Times New Roman" w:hAnsi="Times New Roman"/>
                <w:b w:val="0"/>
                <w:color w:val="000000"/>
                <w:sz w:val="18"/>
              </w:rPr>
              <w:t>Lithology, alteration, fractures, old workings, fault distance</w:t>
            </w:r>
          </w:p>
        </w:tc>
        <w:tc>
          <w:tcPr>
            <w:tcW w:type="dxa" w:w="3780"/>
            <w:vAlign w:val="center"/>
          </w:tcPr>
          <w:p>
            <w:pPr>
              <w:keepNext w:val="0"/>
              <w:spacing w:before="0" w:after="0" w:line="276" w:lineRule="auto"/>
              <w:jc w:val="left"/>
            </w:pPr>
            <w:r/>
            <w:r>
              <w:rPr>
                <w:rFonts w:ascii="Times New Roman" w:hAnsi="Times New Roman"/>
                <w:b w:val="0"/>
                <w:color w:val="000000"/>
                <w:sz w:val="18"/>
              </w:rPr>
              <w:t>Field mapping and geological maps</w:t>
            </w:r>
          </w:p>
        </w:tc>
      </w:tr>
      <w:tr>
        <w:tc>
          <w:tcPr>
            <w:tcW w:type="dxa" w:w="1900"/>
            <w:vAlign w:val="center"/>
          </w:tcPr>
          <w:p>
            <w:pPr>
              <w:keepNext w:val="0"/>
              <w:spacing w:before="0" w:after="0" w:line="276" w:lineRule="auto"/>
              <w:jc w:val="center"/>
            </w:pPr>
            <w:r/>
            <w:r>
              <w:rPr>
                <w:rFonts w:ascii="Times New Roman" w:hAnsi="Times New Roman"/>
                <w:b w:val="0"/>
                <w:color w:val="000000"/>
                <w:sz w:val="18"/>
              </w:rPr>
              <w:t>Model target</w:t>
            </w:r>
          </w:p>
        </w:tc>
        <w:tc>
          <w:tcPr>
            <w:tcW w:type="dxa" w:w="3680"/>
            <w:vAlign w:val="center"/>
          </w:tcPr>
          <w:p>
            <w:pPr>
              <w:keepNext w:val="0"/>
              <w:spacing w:before="0" w:after="0" w:line="276" w:lineRule="auto"/>
              <w:jc w:val="left"/>
            </w:pPr>
            <w:r/>
            <w:r>
              <w:rPr>
                <w:rFonts w:ascii="Times New Roman" w:hAnsi="Times New Roman"/>
                <w:b w:val="0"/>
                <w:color w:val="000000"/>
                <w:sz w:val="18"/>
              </w:rPr>
              <w:t>Tin grade or mineralization class</w:t>
            </w:r>
          </w:p>
        </w:tc>
        <w:tc>
          <w:tcPr>
            <w:tcW w:type="dxa" w:w="3780"/>
            <w:vAlign w:val="center"/>
          </w:tcPr>
          <w:p>
            <w:pPr>
              <w:keepNext w:val="0"/>
              <w:spacing w:before="0" w:after="0" w:line="276" w:lineRule="auto"/>
              <w:jc w:val="left"/>
            </w:pPr>
            <w:r/>
            <w:r>
              <w:rPr>
                <w:rFonts w:ascii="Times New Roman" w:hAnsi="Times New Roman"/>
                <w:b w:val="0"/>
                <w:color w:val="000000"/>
                <w:sz w:val="18"/>
              </w:rPr>
              <w:t>Assay results and verified sample records</w:t>
            </w:r>
          </w:p>
        </w:tc>
      </w:tr>
    </w:tbl>
    <w:p>
      <w:pPr>
        <w:keepNext w:val="0"/>
        <w:spacing w:before="0" w:after="80" w:line="240" w:lineRule="auto"/>
      </w:pPr>
    </w:p>
    <w:p>
      <w:pPr>
        <w:pStyle w:val="Heading2"/>
      </w:pPr>
      <w:r>
        <w:t>3.4 Data Collection Methods</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2400"/>
        <w:gridCol w:w="6960"/>
      </w:tblGrid>
      <w:tr>
        <w:trPr>
          <w:tblHeader w:val="true"/>
        </w:trPr>
        <w:tc>
          <w:tcPr>
            <w:tcW w:type="dxa" w:w="2400"/>
            <w:shd w:fill="E8EEF5"/>
            <w:vAlign w:val="center"/>
          </w:tcPr>
          <w:p>
            <w:pPr>
              <w:keepNext w:val="0"/>
              <w:spacing w:before="0" w:after="0" w:line="264" w:lineRule="auto"/>
              <w:jc w:val="center"/>
            </w:pPr>
            <w:r/>
            <w:r>
              <w:rPr>
                <w:rFonts w:ascii="Times New Roman" w:hAnsi="Times New Roman"/>
                <w:b/>
                <w:color w:val="000000"/>
                <w:sz w:val="19"/>
              </w:rPr>
              <w:t>Method</w:t>
            </w:r>
          </w:p>
        </w:tc>
        <w:tc>
          <w:tcPr>
            <w:tcW w:type="dxa" w:w="6960"/>
            <w:shd w:fill="E8EEF5"/>
            <w:vAlign w:val="center"/>
          </w:tcPr>
          <w:p>
            <w:pPr>
              <w:keepNext w:val="0"/>
              <w:spacing w:before="0" w:after="0" w:line="264" w:lineRule="auto"/>
              <w:jc w:val="center"/>
            </w:pPr>
            <w:r/>
            <w:r>
              <w:rPr>
                <w:rFonts w:ascii="Times New Roman" w:hAnsi="Times New Roman"/>
                <w:b/>
                <w:color w:val="000000"/>
                <w:sz w:val="19"/>
              </w:rPr>
              <w:t>Description</w:t>
            </w:r>
          </w:p>
        </w:tc>
      </w:tr>
      <w:tr>
        <w:tc>
          <w:tcPr>
            <w:tcW w:type="dxa" w:w="2400"/>
            <w:vAlign w:val="center"/>
          </w:tcPr>
          <w:p>
            <w:pPr>
              <w:keepNext w:val="0"/>
              <w:spacing w:before="0" w:after="0" w:line="276" w:lineRule="auto"/>
              <w:jc w:val="center"/>
            </w:pPr>
            <w:r/>
            <w:r>
              <w:rPr>
                <w:rFonts w:ascii="Times New Roman" w:hAnsi="Times New Roman"/>
                <w:b w:val="0"/>
                <w:color w:val="000000"/>
                <w:sz w:val="19"/>
              </w:rPr>
              <w:t>Desk study</w:t>
            </w:r>
          </w:p>
        </w:tc>
        <w:tc>
          <w:tcPr>
            <w:tcW w:type="dxa" w:w="6960"/>
            <w:vAlign w:val="center"/>
          </w:tcPr>
          <w:p>
            <w:pPr>
              <w:keepNext w:val="0"/>
              <w:spacing w:before="0" w:after="0" w:line="276" w:lineRule="auto"/>
              <w:jc w:val="left"/>
            </w:pPr>
            <w:r/>
            <w:r>
              <w:rPr>
                <w:rFonts w:ascii="Times New Roman" w:hAnsi="Times New Roman"/>
                <w:b w:val="0"/>
                <w:color w:val="000000"/>
                <w:sz w:val="19"/>
              </w:rPr>
              <w:t>Collect and review geological maps, radiometric grids, previous publications, project files and mining history for Bukuru and surrounding communities.</w:t>
            </w:r>
          </w:p>
        </w:tc>
      </w:tr>
      <w:tr>
        <w:tc>
          <w:tcPr>
            <w:tcW w:type="dxa" w:w="2400"/>
            <w:vAlign w:val="center"/>
          </w:tcPr>
          <w:p>
            <w:pPr>
              <w:keepNext w:val="0"/>
              <w:spacing w:before="0" w:after="0" w:line="276" w:lineRule="auto"/>
              <w:jc w:val="left"/>
            </w:pPr>
            <w:r/>
            <w:r>
              <w:rPr>
                <w:rFonts w:ascii="Times New Roman" w:hAnsi="Times New Roman"/>
                <w:b w:val="0"/>
                <w:color w:val="000000"/>
                <w:sz w:val="19"/>
              </w:rPr>
              <w:t>GIS preparation</w:t>
            </w:r>
          </w:p>
        </w:tc>
        <w:tc>
          <w:tcPr>
            <w:tcW w:type="dxa" w:w="6960"/>
            <w:vAlign w:val="center"/>
          </w:tcPr>
          <w:p>
            <w:pPr>
              <w:keepNext w:val="0"/>
              <w:spacing w:before="0" w:after="0" w:line="276" w:lineRule="auto"/>
              <w:jc w:val="left"/>
            </w:pPr>
            <w:r/>
            <w:r>
              <w:rPr>
                <w:rFonts w:ascii="Times New Roman" w:hAnsi="Times New Roman"/>
                <w:b w:val="0"/>
                <w:color w:val="000000"/>
                <w:sz w:val="19"/>
              </w:rPr>
              <w:t>Import radiometric grids, convert coordinate systems where necessary, clip layers to the study area and prepare a geodatabase for analysis.</w:t>
            </w:r>
          </w:p>
        </w:tc>
      </w:tr>
      <w:tr>
        <w:tc>
          <w:tcPr>
            <w:tcW w:type="dxa" w:w="2400"/>
            <w:vAlign w:val="center"/>
          </w:tcPr>
          <w:p>
            <w:pPr>
              <w:keepNext w:val="0"/>
              <w:spacing w:before="0" w:after="0" w:line="276" w:lineRule="auto"/>
              <w:jc w:val="left"/>
            </w:pPr>
            <w:r/>
            <w:r>
              <w:rPr>
                <w:rFonts w:ascii="Times New Roman" w:hAnsi="Times New Roman"/>
                <w:b w:val="0"/>
                <w:color w:val="000000"/>
                <w:sz w:val="19"/>
              </w:rPr>
              <w:t>Reconnaissance survey</w:t>
            </w:r>
          </w:p>
        </w:tc>
        <w:tc>
          <w:tcPr>
            <w:tcW w:type="dxa" w:w="6960"/>
            <w:vAlign w:val="center"/>
          </w:tcPr>
          <w:p>
            <w:pPr>
              <w:keepNext w:val="0"/>
              <w:spacing w:before="0" w:after="0" w:line="276" w:lineRule="auto"/>
              <w:jc w:val="left"/>
            </w:pPr>
            <w:r/>
            <w:r>
              <w:rPr>
                <w:rFonts w:ascii="Times New Roman" w:hAnsi="Times New Roman"/>
                <w:b w:val="0"/>
                <w:color w:val="000000"/>
                <w:sz w:val="19"/>
              </w:rPr>
              <w:t>Visit accessible communities and mine-related locations with supervisor approval, record GPS points and identify safe sampling locations.</w:t>
            </w:r>
          </w:p>
        </w:tc>
      </w:tr>
      <w:tr>
        <w:tc>
          <w:tcPr>
            <w:tcW w:type="dxa" w:w="2400"/>
            <w:vAlign w:val="center"/>
          </w:tcPr>
          <w:p>
            <w:pPr>
              <w:keepNext w:val="0"/>
              <w:spacing w:before="0" w:after="0" w:line="276" w:lineRule="auto"/>
              <w:jc w:val="center"/>
            </w:pPr>
            <w:r/>
            <w:r>
              <w:rPr>
                <w:rFonts w:ascii="Times New Roman" w:hAnsi="Times New Roman"/>
                <w:b w:val="0"/>
                <w:color w:val="000000"/>
                <w:sz w:val="19"/>
              </w:rPr>
              <w:t>Sampling</w:t>
            </w:r>
          </w:p>
        </w:tc>
        <w:tc>
          <w:tcPr>
            <w:tcW w:type="dxa" w:w="6960"/>
            <w:vAlign w:val="center"/>
          </w:tcPr>
          <w:p>
            <w:pPr>
              <w:keepNext w:val="0"/>
              <w:spacing w:before="0" w:after="0" w:line="276" w:lineRule="auto"/>
              <w:jc w:val="left"/>
            </w:pPr>
            <w:r/>
            <w:r>
              <w:rPr>
                <w:rFonts w:ascii="Times New Roman" w:hAnsi="Times New Roman"/>
                <w:b w:val="0"/>
                <w:color w:val="000000"/>
                <w:sz w:val="19"/>
              </w:rPr>
              <w:t>Collect representative rock, soil or tailings samples from selected radiometric anomaly zones, background zones and historical workings.</w:t>
            </w:r>
          </w:p>
        </w:tc>
      </w:tr>
      <w:tr>
        <w:tc>
          <w:tcPr>
            <w:tcW w:type="dxa" w:w="2400"/>
            <w:vAlign w:val="center"/>
          </w:tcPr>
          <w:p>
            <w:pPr>
              <w:keepNext w:val="0"/>
              <w:spacing w:before="0" w:after="0" w:line="276" w:lineRule="auto"/>
              <w:jc w:val="left"/>
            </w:pPr>
            <w:r/>
            <w:r>
              <w:rPr>
                <w:rFonts w:ascii="Times New Roman" w:hAnsi="Times New Roman"/>
                <w:b w:val="0"/>
                <w:color w:val="000000"/>
                <w:sz w:val="19"/>
              </w:rPr>
              <w:t>Laboratory analysis</w:t>
            </w:r>
          </w:p>
        </w:tc>
        <w:tc>
          <w:tcPr>
            <w:tcW w:type="dxa" w:w="6960"/>
            <w:vAlign w:val="center"/>
          </w:tcPr>
          <w:p>
            <w:pPr>
              <w:keepNext w:val="0"/>
              <w:spacing w:before="0" w:after="0" w:line="276" w:lineRule="auto"/>
              <w:jc w:val="left"/>
            </w:pPr>
            <w:r/>
            <w:r>
              <w:rPr>
                <w:rFonts w:ascii="Times New Roman" w:hAnsi="Times New Roman"/>
                <w:b w:val="0"/>
                <w:color w:val="000000"/>
                <w:sz w:val="19"/>
              </w:rPr>
              <w:t>Prepare and submit samples for tin and pathfinder element analysis where facilities and funds permit.</w:t>
            </w:r>
          </w:p>
        </w:tc>
      </w:tr>
      <w:tr>
        <w:tc>
          <w:tcPr>
            <w:tcW w:type="dxa" w:w="2400"/>
            <w:vAlign w:val="center"/>
          </w:tcPr>
          <w:p>
            <w:pPr>
              <w:keepNext w:val="0"/>
              <w:spacing w:before="0" w:after="0" w:line="276" w:lineRule="auto"/>
              <w:jc w:val="left"/>
            </w:pPr>
            <w:r/>
            <w:r>
              <w:rPr>
                <w:rFonts w:ascii="Times New Roman" w:hAnsi="Times New Roman"/>
                <w:b w:val="0"/>
                <w:color w:val="000000"/>
                <w:sz w:val="19"/>
              </w:rPr>
              <w:t>Software modelling</w:t>
            </w:r>
          </w:p>
        </w:tc>
        <w:tc>
          <w:tcPr>
            <w:tcW w:type="dxa" w:w="6960"/>
            <w:vAlign w:val="center"/>
          </w:tcPr>
          <w:p>
            <w:pPr>
              <w:keepNext w:val="0"/>
              <w:spacing w:before="0" w:after="0" w:line="276" w:lineRule="auto"/>
              <w:jc w:val="left"/>
            </w:pPr>
            <w:r/>
            <w:r>
              <w:rPr>
                <w:rFonts w:ascii="Times New Roman" w:hAnsi="Times New Roman"/>
                <w:b w:val="0"/>
                <w:color w:val="000000"/>
                <w:sz w:val="19"/>
              </w:rPr>
              <w:t>Use Excel, Python, QGIS/ArcGIS and the ARUM ALPHA dashboard environment to clean data, engineer features, train models and display outputs.</w:t>
            </w:r>
          </w:p>
        </w:tc>
      </w:tr>
    </w:tbl>
    <w:p>
      <w:pPr>
        <w:keepNext w:val="0"/>
        <w:spacing w:before="0" w:after="80" w:line="240" w:lineRule="auto"/>
      </w:pPr>
    </w:p>
    <w:p>
      <w:pPr>
        <w:pStyle w:val="Heading2"/>
      </w:pPr>
      <w:r>
        <w:t>3.5 Sampling Technique</w:t>
      </w:r>
    </w:p>
    <w:p>
      <w:pPr>
        <w:keepNext w:val="0"/>
        <w:spacing w:before="0" w:after="120" w:line="360" w:lineRule="auto"/>
      </w:pPr>
      <w:r>
        <w:rPr>
          <w:rFonts w:ascii="Times New Roman" w:hAnsi="Times New Roman"/>
          <w:b w:val="0"/>
          <w:i w:val="0"/>
          <w:color w:val="000000"/>
          <w:sz w:val="24"/>
        </w:rPr>
        <w:t>A purposive and stratified sampling approach will be used because the study is concerned with mineralization potential rather than a purely random social survey. The study area will first be divided into anomaly classes using radiometric indicators, historical mining evidence and geological setting. Samples will then be selected from high, medium and low anomaly zones so that the model can learn both mineralized and background conditions.</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2600"/>
        <w:gridCol w:w="6760"/>
      </w:tblGrid>
      <w:tr>
        <w:trPr>
          <w:tblHeader w:val="true"/>
        </w:trPr>
        <w:tc>
          <w:tcPr>
            <w:tcW w:type="dxa" w:w="2600"/>
            <w:shd w:fill="E8EEF5"/>
            <w:vAlign w:val="center"/>
          </w:tcPr>
          <w:p>
            <w:pPr>
              <w:keepNext w:val="0"/>
              <w:spacing w:before="0" w:after="0" w:line="264" w:lineRule="auto"/>
              <w:jc w:val="center"/>
            </w:pPr>
            <w:r/>
            <w:r>
              <w:rPr>
                <w:rFonts w:ascii="Times New Roman" w:hAnsi="Times New Roman"/>
                <w:b/>
                <w:color w:val="000000"/>
                <w:sz w:val="19"/>
              </w:rPr>
              <w:t>Sampling Item</w:t>
            </w:r>
          </w:p>
        </w:tc>
        <w:tc>
          <w:tcPr>
            <w:tcW w:type="dxa" w:w="6760"/>
            <w:shd w:fill="E8EEF5"/>
            <w:vAlign w:val="center"/>
          </w:tcPr>
          <w:p>
            <w:pPr>
              <w:keepNext w:val="0"/>
              <w:spacing w:before="0" w:after="0" w:line="264" w:lineRule="auto"/>
              <w:jc w:val="center"/>
            </w:pPr>
            <w:r/>
            <w:r>
              <w:rPr>
                <w:rFonts w:ascii="Times New Roman" w:hAnsi="Times New Roman"/>
                <w:b/>
                <w:color w:val="000000"/>
                <w:sz w:val="19"/>
              </w:rPr>
              <w:t>Planned Approach</w:t>
            </w:r>
          </w:p>
        </w:tc>
      </w:tr>
      <w:tr>
        <w:tc>
          <w:tcPr>
            <w:tcW w:type="dxa" w:w="2600"/>
            <w:vAlign w:val="center"/>
          </w:tcPr>
          <w:p>
            <w:pPr>
              <w:keepNext w:val="0"/>
              <w:spacing w:before="0" w:after="0" w:line="276" w:lineRule="auto"/>
              <w:jc w:val="left"/>
            </w:pPr>
            <w:r/>
            <w:r>
              <w:rPr>
                <w:rFonts w:ascii="Times New Roman" w:hAnsi="Times New Roman"/>
                <w:b w:val="0"/>
                <w:color w:val="000000"/>
                <w:sz w:val="19"/>
              </w:rPr>
              <w:t>Target sample size</w:t>
            </w:r>
          </w:p>
        </w:tc>
        <w:tc>
          <w:tcPr>
            <w:tcW w:type="dxa" w:w="6760"/>
            <w:vAlign w:val="center"/>
          </w:tcPr>
          <w:p>
            <w:pPr>
              <w:keepNext w:val="0"/>
              <w:spacing w:before="0" w:after="0" w:line="276" w:lineRule="auto"/>
              <w:jc w:val="left"/>
            </w:pPr>
            <w:r/>
            <w:r>
              <w:rPr>
                <w:rFonts w:ascii="Times New Roman" w:hAnsi="Times New Roman"/>
                <w:b w:val="0"/>
                <w:color w:val="000000"/>
                <w:sz w:val="19"/>
              </w:rPr>
              <w:t>40 to 60 rock/soil/tailings samples, subject to access, safety and laboratory budget</w:t>
            </w:r>
          </w:p>
        </w:tc>
      </w:tr>
      <w:tr>
        <w:tc>
          <w:tcPr>
            <w:tcW w:type="dxa" w:w="2600"/>
            <w:vAlign w:val="center"/>
          </w:tcPr>
          <w:p>
            <w:pPr>
              <w:keepNext w:val="0"/>
              <w:spacing w:before="0" w:after="0" w:line="276" w:lineRule="auto"/>
              <w:jc w:val="left"/>
            </w:pPr>
            <w:r/>
            <w:r>
              <w:rPr>
                <w:rFonts w:ascii="Times New Roman" w:hAnsi="Times New Roman"/>
                <w:b w:val="0"/>
                <w:color w:val="000000"/>
                <w:sz w:val="19"/>
              </w:rPr>
              <w:t>Control points</w:t>
            </w:r>
          </w:p>
        </w:tc>
        <w:tc>
          <w:tcPr>
            <w:tcW w:type="dxa" w:w="6760"/>
            <w:vAlign w:val="center"/>
          </w:tcPr>
          <w:p>
            <w:pPr>
              <w:keepNext w:val="0"/>
              <w:spacing w:before="0" w:after="0" w:line="276" w:lineRule="auto"/>
              <w:jc w:val="left"/>
            </w:pPr>
            <w:r/>
            <w:r>
              <w:rPr>
                <w:rFonts w:ascii="Times New Roman" w:hAnsi="Times New Roman"/>
                <w:b w:val="0"/>
                <w:color w:val="000000"/>
                <w:sz w:val="19"/>
              </w:rPr>
              <w:t>At least 10 background or low-anomaly points for comparison</w:t>
            </w:r>
          </w:p>
        </w:tc>
      </w:tr>
      <w:tr>
        <w:tc>
          <w:tcPr>
            <w:tcW w:type="dxa" w:w="2600"/>
            <w:vAlign w:val="center"/>
          </w:tcPr>
          <w:p>
            <w:pPr>
              <w:keepNext w:val="0"/>
              <w:spacing w:before="0" w:after="0" w:line="276" w:lineRule="auto"/>
              <w:jc w:val="left"/>
            </w:pPr>
            <w:r/>
            <w:r>
              <w:rPr>
                <w:rFonts w:ascii="Times New Roman" w:hAnsi="Times New Roman"/>
                <w:b w:val="0"/>
                <w:color w:val="000000"/>
                <w:sz w:val="19"/>
              </w:rPr>
              <w:t>Selection basis</w:t>
            </w:r>
          </w:p>
        </w:tc>
        <w:tc>
          <w:tcPr>
            <w:tcW w:type="dxa" w:w="6760"/>
            <w:vAlign w:val="center"/>
          </w:tcPr>
          <w:p>
            <w:pPr>
              <w:keepNext w:val="0"/>
              <w:spacing w:before="0" w:after="0" w:line="276" w:lineRule="auto"/>
              <w:jc w:val="left"/>
            </w:pPr>
            <w:r/>
            <w:r>
              <w:rPr>
                <w:rFonts w:ascii="Times New Roman" w:hAnsi="Times New Roman"/>
                <w:b w:val="0"/>
                <w:color w:val="000000"/>
                <w:sz w:val="19"/>
              </w:rPr>
              <w:t>Radiometric anomaly strength, accessibility, geological setting and safe field conditions</w:t>
            </w:r>
          </w:p>
        </w:tc>
      </w:tr>
      <w:tr>
        <w:tc>
          <w:tcPr>
            <w:tcW w:type="dxa" w:w="2600"/>
            <w:vAlign w:val="center"/>
          </w:tcPr>
          <w:p>
            <w:pPr>
              <w:keepNext w:val="0"/>
              <w:spacing w:before="0" w:after="0" w:line="276" w:lineRule="auto"/>
              <w:jc w:val="left"/>
            </w:pPr>
            <w:r/>
            <w:r>
              <w:rPr>
                <w:rFonts w:ascii="Times New Roman" w:hAnsi="Times New Roman"/>
                <w:b w:val="0"/>
                <w:color w:val="000000"/>
                <w:sz w:val="19"/>
              </w:rPr>
              <w:t>Sampling pattern</w:t>
            </w:r>
          </w:p>
        </w:tc>
        <w:tc>
          <w:tcPr>
            <w:tcW w:type="dxa" w:w="6760"/>
            <w:vAlign w:val="center"/>
          </w:tcPr>
          <w:p>
            <w:pPr>
              <w:keepNext w:val="0"/>
              <w:spacing w:before="0" w:after="0" w:line="276" w:lineRule="auto"/>
              <w:jc w:val="left"/>
            </w:pPr>
            <w:r/>
            <w:r>
              <w:rPr>
                <w:rFonts w:ascii="Times New Roman" w:hAnsi="Times New Roman"/>
                <w:b w:val="0"/>
                <w:color w:val="000000"/>
                <w:sz w:val="19"/>
              </w:rPr>
              <w:t>Stratified purposive sampling with GPS control and duplicate/check samples where possible</w:t>
            </w:r>
          </w:p>
        </w:tc>
      </w:tr>
      <w:tr>
        <w:tc>
          <w:tcPr>
            <w:tcW w:type="dxa" w:w="2600"/>
            <w:vAlign w:val="center"/>
          </w:tcPr>
          <w:p>
            <w:pPr>
              <w:keepNext w:val="0"/>
              <w:spacing w:before="0" w:after="0" w:line="276" w:lineRule="auto"/>
              <w:jc w:val="center"/>
            </w:pPr>
            <w:r/>
            <w:r>
              <w:rPr>
                <w:rFonts w:ascii="Times New Roman" w:hAnsi="Times New Roman"/>
                <w:b w:val="0"/>
                <w:color w:val="000000"/>
                <w:sz w:val="19"/>
              </w:rPr>
              <w:t>Data split</w:t>
            </w:r>
          </w:p>
        </w:tc>
        <w:tc>
          <w:tcPr>
            <w:tcW w:type="dxa" w:w="6760"/>
            <w:vAlign w:val="center"/>
          </w:tcPr>
          <w:p>
            <w:pPr>
              <w:keepNext w:val="0"/>
              <w:spacing w:before="0" w:after="0" w:line="276" w:lineRule="auto"/>
              <w:jc w:val="left"/>
            </w:pPr>
            <w:r/>
            <w:r>
              <w:rPr>
                <w:rFonts w:ascii="Times New Roman" w:hAnsi="Times New Roman"/>
                <w:b w:val="0"/>
                <w:color w:val="000000"/>
                <w:sz w:val="19"/>
              </w:rPr>
              <w:t>70 percent training, 15 percent validation and 15 percent testing, with k-fold cross-validation</w:t>
            </w:r>
          </w:p>
        </w:tc>
      </w:tr>
    </w:tbl>
    <w:p>
      <w:pPr>
        <w:keepNext w:val="0"/>
        <w:spacing w:before="0" w:after="80" w:line="240" w:lineRule="auto"/>
      </w:pPr>
    </w:p>
    <w:p>
      <w:pPr>
        <w:pStyle w:val="Heading2"/>
      </w:pPr>
      <w:r>
        <w:t>3.6 Data Analysis Methods</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2400"/>
        <w:gridCol w:w="6960"/>
      </w:tblGrid>
      <w:tr>
        <w:trPr>
          <w:tblHeader w:val="true"/>
        </w:trPr>
        <w:tc>
          <w:tcPr>
            <w:tcW w:type="dxa" w:w="2400"/>
            <w:shd w:fill="E8EEF5"/>
            <w:vAlign w:val="center"/>
          </w:tcPr>
          <w:p>
            <w:pPr>
              <w:keepNext w:val="0"/>
              <w:spacing w:before="0" w:after="0" w:line="264" w:lineRule="auto"/>
              <w:jc w:val="center"/>
            </w:pPr>
            <w:r/>
            <w:r>
              <w:rPr>
                <w:rFonts w:ascii="Times New Roman" w:hAnsi="Times New Roman"/>
                <w:b/>
                <w:color w:val="000000"/>
                <w:sz w:val="18"/>
              </w:rPr>
              <w:t>Analysis Stage</w:t>
            </w:r>
          </w:p>
        </w:tc>
        <w:tc>
          <w:tcPr>
            <w:tcW w:type="dxa" w:w="6960"/>
            <w:shd w:fill="E8EEF5"/>
            <w:vAlign w:val="center"/>
          </w:tcPr>
          <w:p>
            <w:pPr>
              <w:keepNext w:val="0"/>
              <w:spacing w:before="0" w:after="0" w:line="264" w:lineRule="auto"/>
              <w:jc w:val="center"/>
            </w:pPr>
            <w:r/>
            <w:r>
              <w:rPr>
                <w:rFonts w:ascii="Times New Roman" w:hAnsi="Times New Roman"/>
                <w:b/>
                <w:color w:val="000000"/>
                <w:sz w:val="18"/>
              </w:rPr>
              <w:t>Method</w:t>
            </w:r>
          </w:p>
        </w:tc>
      </w:tr>
      <w:tr>
        <w:tc>
          <w:tcPr>
            <w:tcW w:type="dxa" w:w="2400"/>
            <w:vAlign w:val="center"/>
          </w:tcPr>
          <w:p>
            <w:pPr>
              <w:keepNext w:val="0"/>
              <w:spacing w:before="0" w:after="0" w:line="276" w:lineRule="auto"/>
              <w:jc w:val="left"/>
            </w:pPr>
            <w:r/>
            <w:r>
              <w:rPr>
                <w:rFonts w:ascii="Times New Roman" w:hAnsi="Times New Roman"/>
                <w:b w:val="0"/>
                <w:color w:val="000000"/>
                <w:sz w:val="18"/>
              </w:rPr>
              <w:t>Data cleaning</w:t>
            </w:r>
          </w:p>
        </w:tc>
        <w:tc>
          <w:tcPr>
            <w:tcW w:type="dxa" w:w="6960"/>
            <w:vAlign w:val="center"/>
          </w:tcPr>
          <w:p>
            <w:pPr>
              <w:keepNext w:val="0"/>
              <w:spacing w:before="0" w:after="0" w:line="276" w:lineRule="auto"/>
              <w:jc w:val="left"/>
            </w:pPr>
            <w:r/>
            <w:r>
              <w:rPr>
                <w:rFonts w:ascii="Times New Roman" w:hAnsi="Times New Roman"/>
                <w:b w:val="0"/>
                <w:color w:val="000000"/>
                <w:sz w:val="18"/>
              </w:rPr>
              <w:t>Remove duplicates, correct coordinate errors, handle missing values and flag unreliable observations.</w:t>
            </w:r>
          </w:p>
        </w:tc>
      </w:tr>
      <w:tr>
        <w:tc>
          <w:tcPr>
            <w:tcW w:type="dxa" w:w="2400"/>
            <w:vAlign w:val="center"/>
          </w:tcPr>
          <w:p>
            <w:pPr>
              <w:keepNext w:val="0"/>
              <w:spacing w:before="0" w:after="0" w:line="276" w:lineRule="auto"/>
              <w:jc w:val="left"/>
            </w:pPr>
            <w:r/>
            <w:r>
              <w:rPr>
                <w:rFonts w:ascii="Times New Roman" w:hAnsi="Times New Roman"/>
                <w:b w:val="0"/>
                <w:color w:val="000000"/>
                <w:sz w:val="18"/>
              </w:rPr>
              <w:t>Exploratory data analysis</w:t>
            </w:r>
          </w:p>
        </w:tc>
        <w:tc>
          <w:tcPr>
            <w:tcW w:type="dxa" w:w="6960"/>
            <w:vAlign w:val="center"/>
          </w:tcPr>
          <w:p>
            <w:pPr>
              <w:keepNext w:val="0"/>
              <w:spacing w:before="0" w:after="0" w:line="276" w:lineRule="auto"/>
              <w:jc w:val="left"/>
            </w:pPr>
            <w:r/>
            <w:r>
              <w:rPr>
                <w:rFonts w:ascii="Times New Roman" w:hAnsi="Times New Roman"/>
                <w:b w:val="0"/>
                <w:color w:val="000000"/>
                <w:sz w:val="18"/>
              </w:rPr>
              <w:t>Use descriptive statistics, histograms, scatter plots and correlation checks for K, Th, U, ratios and grades.</w:t>
            </w:r>
          </w:p>
        </w:tc>
      </w:tr>
      <w:tr>
        <w:tc>
          <w:tcPr>
            <w:tcW w:type="dxa" w:w="2400"/>
            <w:vAlign w:val="center"/>
          </w:tcPr>
          <w:p>
            <w:pPr>
              <w:keepNext w:val="0"/>
              <w:spacing w:before="0" w:after="0" w:line="276" w:lineRule="auto"/>
              <w:jc w:val="left"/>
            </w:pPr>
            <w:r/>
            <w:r>
              <w:rPr>
                <w:rFonts w:ascii="Times New Roman" w:hAnsi="Times New Roman"/>
                <w:b w:val="0"/>
                <w:color w:val="000000"/>
                <w:sz w:val="18"/>
              </w:rPr>
              <w:t>Feature engineering</w:t>
            </w:r>
          </w:p>
        </w:tc>
        <w:tc>
          <w:tcPr>
            <w:tcW w:type="dxa" w:w="6960"/>
            <w:vAlign w:val="center"/>
          </w:tcPr>
          <w:p>
            <w:pPr>
              <w:keepNext w:val="0"/>
              <w:spacing w:before="0" w:after="0" w:line="276" w:lineRule="auto"/>
              <w:jc w:val="left"/>
            </w:pPr>
            <w:r/>
            <w:r>
              <w:rPr>
                <w:rFonts w:ascii="Times New Roman" w:hAnsi="Times New Roman"/>
                <w:b w:val="0"/>
                <w:color w:val="000000"/>
                <w:sz w:val="18"/>
              </w:rPr>
              <w:t>Calculate radiometric ratios, terrain derivatives, distance-to-feature variables and local neighbourhood statistics.</w:t>
            </w:r>
          </w:p>
        </w:tc>
      </w:tr>
      <w:tr>
        <w:tc>
          <w:tcPr>
            <w:tcW w:type="dxa" w:w="2400"/>
            <w:vAlign w:val="center"/>
          </w:tcPr>
          <w:p>
            <w:pPr>
              <w:keepNext w:val="0"/>
              <w:spacing w:before="0" w:after="0" w:line="276" w:lineRule="auto"/>
              <w:jc w:val="left"/>
            </w:pPr>
            <w:r/>
            <w:r>
              <w:rPr>
                <w:rFonts w:ascii="Times New Roman" w:hAnsi="Times New Roman"/>
                <w:b w:val="0"/>
                <w:color w:val="000000"/>
                <w:sz w:val="18"/>
              </w:rPr>
              <w:t>Model training</w:t>
            </w:r>
          </w:p>
        </w:tc>
        <w:tc>
          <w:tcPr>
            <w:tcW w:type="dxa" w:w="6960"/>
            <w:vAlign w:val="center"/>
          </w:tcPr>
          <w:p>
            <w:pPr>
              <w:keepNext w:val="0"/>
              <w:spacing w:before="0" w:after="0" w:line="276" w:lineRule="auto"/>
              <w:jc w:val="left"/>
            </w:pPr>
            <w:r/>
            <w:r>
              <w:rPr>
                <w:rFonts w:ascii="Times New Roman" w:hAnsi="Times New Roman"/>
                <w:b w:val="0"/>
                <w:color w:val="000000"/>
                <w:sz w:val="18"/>
              </w:rPr>
              <w:t>Train Random Forest and XGBoost regressors using supervised grade data once assay labels are available.</w:t>
            </w:r>
          </w:p>
        </w:tc>
      </w:tr>
      <w:tr>
        <w:tc>
          <w:tcPr>
            <w:tcW w:type="dxa" w:w="2400"/>
            <w:vAlign w:val="center"/>
          </w:tcPr>
          <w:p>
            <w:pPr>
              <w:keepNext w:val="0"/>
              <w:spacing w:before="0" w:after="0" w:line="276" w:lineRule="auto"/>
              <w:jc w:val="left"/>
            </w:pPr>
            <w:r/>
            <w:r>
              <w:rPr>
                <w:rFonts w:ascii="Times New Roman" w:hAnsi="Times New Roman"/>
                <w:b w:val="0"/>
                <w:color w:val="000000"/>
                <w:sz w:val="18"/>
              </w:rPr>
              <w:t>Baseline comparison</w:t>
            </w:r>
          </w:p>
        </w:tc>
        <w:tc>
          <w:tcPr>
            <w:tcW w:type="dxa" w:w="6960"/>
            <w:vAlign w:val="center"/>
          </w:tcPr>
          <w:p>
            <w:pPr>
              <w:keepNext w:val="0"/>
              <w:spacing w:before="0" w:after="0" w:line="276" w:lineRule="auto"/>
              <w:jc w:val="left"/>
            </w:pPr>
            <w:r/>
            <w:r>
              <w:rPr>
                <w:rFonts w:ascii="Times New Roman" w:hAnsi="Times New Roman"/>
                <w:b w:val="0"/>
                <w:color w:val="000000"/>
                <w:sz w:val="18"/>
              </w:rPr>
              <w:t>Apply inverse distance weighting and ordinary kriging to compare traditional spatial estimation with machine learning outputs.</w:t>
            </w:r>
          </w:p>
        </w:tc>
      </w:tr>
      <w:tr>
        <w:tc>
          <w:tcPr>
            <w:tcW w:type="dxa" w:w="2400"/>
            <w:vAlign w:val="center"/>
          </w:tcPr>
          <w:p>
            <w:pPr>
              <w:keepNext w:val="0"/>
              <w:spacing w:before="0" w:after="0" w:line="276" w:lineRule="auto"/>
              <w:jc w:val="left"/>
            </w:pPr>
            <w:r/>
            <w:r>
              <w:rPr>
                <w:rFonts w:ascii="Times New Roman" w:hAnsi="Times New Roman"/>
                <w:b w:val="0"/>
                <w:color w:val="000000"/>
                <w:sz w:val="18"/>
              </w:rPr>
              <w:t>Model evaluation</w:t>
            </w:r>
          </w:p>
        </w:tc>
        <w:tc>
          <w:tcPr>
            <w:tcW w:type="dxa" w:w="6960"/>
            <w:vAlign w:val="center"/>
          </w:tcPr>
          <w:p>
            <w:pPr>
              <w:keepNext w:val="0"/>
              <w:spacing w:before="0" w:after="0" w:line="276" w:lineRule="auto"/>
              <w:jc w:val="left"/>
            </w:pPr>
            <w:r/>
            <w:r>
              <w:rPr>
                <w:rFonts w:ascii="Times New Roman" w:hAnsi="Times New Roman"/>
                <w:b w:val="0"/>
                <w:color w:val="000000"/>
                <w:sz w:val="18"/>
              </w:rPr>
              <w:t>Evaluate models using RMSE, MAE, R2, MAPE, residual plots, cross-validation and spatial reasonableness checks.</w:t>
            </w:r>
          </w:p>
        </w:tc>
      </w:tr>
      <w:tr>
        <w:tc>
          <w:tcPr>
            <w:tcW w:type="dxa" w:w="2400"/>
            <w:vAlign w:val="center"/>
          </w:tcPr>
          <w:p>
            <w:pPr>
              <w:keepNext w:val="0"/>
              <w:spacing w:before="0" w:after="0" w:line="276" w:lineRule="auto"/>
              <w:jc w:val="center"/>
            </w:pPr>
            <w:r/>
            <w:r>
              <w:rPr>
                <w:rFonts w:ascii="Times New Roman" w:hAnsi="Times New Roman"/>
                <w:b w:val="0"/>
                <w:color w:val="000000"/>
                <w:sz w:val="18"/>
              </w:rPr>
              <w:t>Mapping</w:t>
            </w:r>
          </w:p>
        </w:tc>
        <w:tc>
          <w:tcPr>
            <w:tcW w:type="dxa" w:w="6960"/>
            <w:vAlign w:val="center"/>
          </w:tcPr>
          <w:p>
            <w:pPr>
              <w:keepNext w:val="0"/>
              <w:spacing w:before="0" w:after="0" w:line="276" w:lineRule="auto"/>
              <w:jc w:val="left"/>
            </w:pPr>
            <w:r/>
            <w:r>
              <w:rPr>
                <w:rFonts w:ascii="Times New Roman" w:hAnsi="Times New Roman"/>
                <w:b w:val="0"/>
                <w:color w:val="000000"/>
                <w:sz w:val="18"/>
              </w:rPr>
              <w:t>Generate grade prediction maps, mineral potential classes, confidence layers and priority target zones in GIS/dashboard format.</w:t>
            </w:r>
          </w:p>
        </w:tc>
      </w:tr>
      <w:tr>
        <w:tc>
          <w:tcPr>
            <w:tcW w:type="dxa" w:w="2400"/>
            <w:vAlign w:val="center"/>
          </w:tcPr>
          <w:p>
            <w:pPr>
              <w:keepNext w:val="0"/>
              <w:spacing w:before="0" w:after="0" w:line="276" w:lineRule="auto"/>
              <w:jc w:val="left"/>
            </w:pPr>
            <w:r/>
            <w:r>
              <w:rPr>
                <w:rFonts w:ascii="Times New Roman" w:hAnsi="Times New Roman"/>
                <w:b w:val="0"/>
                <w:color w:val="000000"/>
                <w:sz w:val="18"/>
              </w:rPr>
              <w:t>Interpretation</w:t>
            </w:r>
          </w:p>
        </w:tc>
        <w:tc>
          <w:tcPr>
            <w:tcW w:type="dxa" w:w="6960"/>
            <w:vAlign w:val="center"/>
          </w:tcPr>
          <w:p>
            <w:pPr>
              <w:keepNext w:val="0"/>
              <w:spacing w:before="0" w:after="0" w:line="276" w:lineRule="auto"/>
              <w:jc w:val="left"/>
            </w:pPr>
            <w:r/>
            <w:r>
              <w:rPr>
                <w:rFonts w:ascii="Times New Roman" w:hAnsi="Times New Roman"/>
                <w:b w:val="0"/>
                <w:color w:val="000000"/>
                <w:sz w:val="18"/>
              </w:rPr>
              <w:t>Relate model results to geology, radiometric signatures, field observations and known tin mineralization controls.</w:t>
            </w:r>
          </w:p>
        </w:tc>
      </w:tr>
    </w:tbl>
    <w:p>
      <w:pPr>
        <w:keepNext w:val="0"/>
        <w:spacing w:before="0" w:after="80" w:line="240" w:lineRule="auto"/>
      </w:pPr>
    </w:p>
    <w:p>
      <w:pPr>
        <w:pStyle w:val="Heading2"/>
      </w:pPr>
      <w:r>
        <w:t>3.7 Ethical and Safety Considerations</w:t>
      </w:r>
    </w:p>
    <w:p>
      <w:pPr>
        <w:pStyle w:val="ListBullet"/>
        <w:jc w:val="both"/>
      </w:pPr>
      <w:r>
        <w:t>Approval and access permission will be obtained from the supervisor, department and any relevant community or site authority before fieldwork.</w:t>
      </w:r>
    </w:p>
    <w:p>
      <w:pPr>
        <w:pStyle w:val="ListBullet"/>
        <w:jc w:val="both"/>
      </w:pPr>
      <w:r>
        <w:t>Fieldwork will avoid unstable pits, steep mine faces, water-filled excavations, illegal mining zones and areas with security concerns.</w:t>
      </w:r>
    </w:p>
    <w:p>
      <w:pPr>
        <w:pStyle w:val="ListBullet"/>
        <w:jc w:val="both"/>
      </w:pPr>
      <w:r>
        <w:t>Personal protective equipment such as boots, helmet, gloves, reflective vest and first-aid materials will be used during field visits.</w:t>
      </w:r>
    </w:p>
    <w:p>
      <w:pPr>
        <w:pStyle w:val="ListBullet"/>
        <w:jc w:val="both"/>
      </w:pPr>
      <w:r>
        <w:t>Samples will be collected in a way that minimizes disturbance and avoids contamination of water bodies, farms or community property.</w:t>
      </w:r>
    </w:p>
    <w:p>
      <w:pPr>
        <w:pStyle w:val="ListBullet"/>
        <w:jc w:val="both"/>
      </w:pPr>
      <w:r>
        <w:t>Where interviews or local guidance are needed, informed consent will be requested and personal information will not be published without permission.</w:t>
      </w:r>
    </w:p>
    <w:p>
      <w:pPr>
        <w:pStyle w:val="ListBullet"/>
        <w:jc w:val="both"/>
      </w:pPr>
      <w:r>
        <w:t>AI-generated interpretations will be treated as decision support only; final conclusions will depend on geological evidence, laboratory data and supervisor review.</w:t>
      </w:r>
    </w:p>
    <w:p>
      <w:pPr>
        <w:pStyle w:val="Heading1"/>
      </w:pPr>
      <w:r>
        <w:t>4.0 Expected Outcomes and Deliverables</w:t>
      </w:r>
    </w:p>
    <w:p>
      <w:pPr>
        <w:keepNext w:val="0"/>
        <w:spacing w:before="0" w:after="120" w:line="360" w:lineRule="auto"/>
      </w:pPr>
      <w:r>
        <w:rPr>
          <w:rFonts w:ascii="Times New Roman" w:hAnsi="Times New Roman"/>
          <w:b w:val="0"/>
          <w:i w:val="0"/>
          <w:color w:val="000000"/>
          <w:sz w:val="24"/>
        </w:rPr>
        <w:t>At the end of the project, the work is expected to deliver both technical outputs and practical recommendations for exploration decision-making. The project will not claim a formal mineral reserve unless the data density and validation requirements for reserve estimation are satisfied. Instead, it will provide a defensible early-stage prediction and visualization workflow.</w:t>
      </w:r>
    </w:p>
    <w:p>
      <w:pPr>
        <w:pStyle w:val="ListBullet"/>
        <w:jc w:val="both"/>
      </w:pPr>
      <w:r>
        <w:t>A cleaned and documented geospatial dataset containing radiometric, geological, geochemical and spatial variables for the study area.</w:t>
      </w:r>
    </w:p>
    <w:p>
      <w:pPr>
        <w:pStyle w:val="ListBullet"/>
        <w:jc w:val="both"/>
      </w:pPr>
      <w:r>
        <w:t>A machine learning model, preferably Random Forest or XGBoost, capable of predicting tin grade or mineralization class from selected input features.</w:t>
      </w:r>
    </w:p>
    <w:p>
      <w:pPr>
        <w:pStyle w:val="ListBullet"/>
        <w:jc w:val="both"/>
      </w:pPr>
      <w:r>
        <w:t>A comparative performance report showing how the machine learning models perform against ordinary kriging and inverse distance weighting.</w:t>
      </w:r>
    </w:p>
    <w:p>
      <w:pPr>
        <w:pStyle w:val="ListBullet"/>
        <w:jc w:val="both"/>
      </w:pPr>
      <w:r>
        <w:t>Mineral distribution and prospectivity maps showing predicted grade, confidence and priority zones for field verification.</w:t>
      </w:r>
    </w:p>
    <w:p>
      <w:pPr>
        <w:pStyle w:val="ListBullet"/>
        <w:jc w:val="both"/>
      </w:pPr>
      <w:r>
        <w:t>An interactive web dashboard that accepts coordinate input, displays study-area data and returns prediction outputs with risk interpretation.</w:t>
      </w:r>
    </w:p>
    <w:p>
      <w:pPr>
        <w:pStyle w:val="ListBullet"/>
        <w:jc w:val="both"/>
      </w:pPr>
      <w:r>
        <w:t>Technical recommendations for improved exploration efficiency, field verification and future data collection in Bukuru and surrounding areas.</w:t>
      </w:r>
    </w:p>
    <w:p>
      <w:pPr>
        <w:pStyle w:val="ListBullet"/>
        <w:jc w:val="both"/>
      </w:pPr>
      <w:r>
        <w:t>The final deliverable: A Comprehensive Final Year Project Report.</w:t>
      </w:r>
    </w:p>
    <w:p>
      <w:pPr>
        <w:pStyle w:val="Heading1"/>
      </w:pPr>
      <w:r>
        <w:t>5.0 Project Plan (Work Schedule/Gantt Chart)</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650"/>
        <w:gridCol w:w="3650"/>
        <w:gridCol w:w="840"/>
        <w:gridCol w:w="840"/>
        <w:gridCol w:w="840"/>
        <w:gridCol w:w="840"/>
        <w:gridCol w:w="840"/>
        <w:gridCol w:w="860"/>
      </w:tblGrid>
      <w:tr>
        <w:trPr>
          <w:tblHeader w:val="true"/>
        </w:trPr>
        <w:tc>
          <w:tcPr>
            <w:tcW w:type="dxa" w:w="650"/>
            <w:shd w:fill="E8EEF5"/>
            <w:vAlign w:val="center"/>
          </w:tcPr>
          <w:p>
            <w:pPr>
              <w:keepNext w:val="0"/>
              <w:spacing w:before="0" w:after="0" w:line="264" w:lineRule="auto"/>
              <w:jc w:val="center"/>
            </w:pPr>
            <w:r/>
            <w:r>
              <w:rPr>
                <w:rFonts w:ascii="Times New Roman" w:hAnsi="Times New Roman"/>
                <w:b/>
                <w:color w:val="000000"/>
                <w:sz w:val="17"/>
              </w:rPr>
              <w:t>S/N</w:t>
            </w:r>
          </w:p>
        </w:tc>
        <w:tc>
          <w:tcPr>
            <w:tcW w:type="dxa" w:w="3650"/>
            <w:shd w:fill="E8EEF5"/>
            <w:vAlign w:val="center"/>
          </w:tcPr>
          <w:p>
            <w:pPr>
              <w:keepNext w:val="0"/>
              <w:spacing w:before="0" w:after="0" w:line="264" w:lineRule="auto"/>
              <w:jc w:val="center"/>
            </w:pPr>
            <w:r/>
            <w:r>
              <w:rPr>
                <w:rFonts w:ascii="Times New Roman" w:hAnsi="Times New Roman"/>
                <w:b/>
                <w:color w:val="000000"/>
                <w:sz w:val="17"/>
              </w:rPr>
              <w:t>Activity/Milestone</w:t>
            </w:r>
          </w:p>
        </w:tc>
        <w:tc>
          <w:tcPr>
            <w:tcW w:type="dxa" w:w="840"/>
            <w:shd w:fill="E8EEF5"/>
            <w:vAlign w:val="center"/>
          </w:tcPr>
          <w:p>
            <w:pPr>
              <w:keepNext w:val="0"/>
              <w:spacing w:before="0" w:after="0" w:line="264" w:lineRule="auto"/>
              <w:jc w:val="center"/>
            </w:pPr>
            <w:r/>
            <w:r>
              <w:rPr>
                <w:rFonts w:ascii="Times New Roman" w:hAnsi="Times New Roman"/>
                <w:b/>
                <w:color w:val="000000"/>
                <w:sz w:val="17"/>
              </w:rPr>
              <w:t>Jan</w:t>
            </w:r>
          </w:p>
        </w:tc>
        <w:tc>
          <w:tcPr>
            <w:tcW w:type="dxa" w:w="840"/>
            <w:shd w:fill="E8EEF5"/>
            <w:vAlign w:val="center"/>
          </w:tcPr>
          <w:p>
            <w:pPr>
              <w:keepNext w:val="0"/>
              <w:spacing w:before="0" w:after="0" w:line="264" w:lineRule="auto"/>
              <w:jc w:val="center"/>
            </w:pPr>
            <w:r/>
            <w:r>
              <w:rPr>
                <w:rFonts w:ascii="Times New Roman" w:hAnsi="Times New Roman"/>
                <w:b/>
                <w:color w:val="000000"/>
                <w:sz w:val="17"/>
              </w:rPr>
              <w:t>Feb</w:t>
            </w:r>
          </w:p>
        </w:tc>
        <w:tc>
          <w:tcPr>
            <w:tcW w:type="dxa" w:w="840"/>
            <w:shd w:fill="E8EEF5"/>
            <w:vAlign w:val="center"/>
          </w:tcPr>
          <w:p>
            <w:pPr>
              <w:keepNext w:val="0"/>
              <w:spacing w:before="0" w:after="0" w:line="264" w:lineRule="auto"/>
              <w:jc w:val="center"/>
            </w:pPr>
            <w:r/>
            <w:r>
              <w:rPr>
                <w:rFonts w:ascii="Times New Roman" w:hAnsi="Times New Roman"/>
                <w:b/>
                <w:color w:val="000000"/>
                <w:sz w:val="17"/>
              </w:rPr>
              <w:t>Mar</w:t>
            </w:r>
          </w:p>
        </w:tc>
        <w:tc>
          <w:tcPr>
            <w:tcW w:type="dxa" w:w="840"/>
            <w:shd w:fill="E8EEF5"/>
            <w:vAlign w:val="center"/>
          </w:tcPr>
          <w:p>
            <w:pPr>
              <w:keepNext w:val="0"/>
              <w:spacing w:before="0" w:after="0" w:line="264" w:lineRule="auto"/>
              <w:jc w:val="center"/>
            </w:pPr>
            <w:r/>
            <w:r>
              <w:rPr>
                <w:rFonts w:ascii="Times New Roman" w:hAnsi="Times New Roman"/>
                <w:b/>
                <w:color w:val="000000"/>
                <w:sz w:val="17"/>
              </w:rPr>
              <w:t>Apr</w:t>
            </w:r>
          </w:p>
        </w:tc>
        <w:tc>
          <w:tcPr>
            <w:tcW w:type="dxa" w:w="840"/>
            <w:shd w:fill="E8EEF5"/>
            <w:vAlign w:val="center"/>
          </w:tcPr>
          <w:p>
            <w:pPr>
              <w:keepNext w:val="0"/>
              <w:spacing w:before="0" w:after="0" w:line="264" w:lineRule="auto"/>
              <w:jc w:val="center"/>
            </w:pPr>
            <w:r/>
            <w:r>
              <w:rPr>
                <w:rFonts w:ascii="Times New Roman" w:hAnsi="Times New Roman"/>
                <w:b/>
                <w:color w:val="000000"/>
                <w:sz w:val="17"/>
              </w:rPr>
              <w:t>May</w:t>
            </w:r>
          </w:p>
        </w:tc>
        <w:tc>
          <w:tcPr>
            <w:tcW w:type="dxa" w:w="860"/>
            <w:shd w:fill="E8EEF5"/>
            <w:vAlign w:val="center"/>
          </w:tcPr>
          <w:p>
            <w:pPr>
              <w:keepNext w:val="0"/>
              <w:spacing w:before="0" w:after="0" w:line="264" w:lineRule="auto"/>
              <w:jc w:val="center"/>
            </w:pPr>
            <w:r/>
            <w:r>
              <w:rPr>
                <w:rFonts w:ascii="Times New Roman" w:hAnsi="Times New Roman"/>
                <w:b/>
                <w:color w:val="000000"/>
                <w:sz w:val="17"/>
              </w:rPr>
              <w:t>Jun</w:t>
            </w:r>
          </w:p>
        </w:tc>
      </w:tr>
      <w:tr>
        <w:tc>
          <w:tcPr>
            <w:tcW w:type="dxa" w:w="650"/>
            <w:vAlign w:val="center"/>
          </w:tcPr>
          <w:p>
            <w:pPr>
              <w:keepNext w:val="0"/>
              <w:spacing w:before="0" w:after="0" w:line="276" w:lineRule="auto"/>
              <w:jc w:val="center"/>
            </w:pPr>
            <w:r/>
            <w:r>
              <w:rPr>
                <w:rFonts w:ascii="Times New Roman" w:hAnsi="Times New Roman"/>
                <w:b w:val="0"/>
                <w:color w:val="000000"/>
                <w:sz w:val="17"/>
              </w:rPr>
              <w:t>1</w:t>
            </w:r>
          </w:p>
        </w:tc>
        <w:tc>
          <w:tcPr>
            <w:tcW w:type="dxa" w:w="3650"/>
            <w:vAlign w:val="center"/>
          </w:tcPr>
          <w:p>
            <w:pPr>
              <w:keepNext w:val="0"/>
              <w:spacing w:before="0" w:after="0" w:line="276" w:lineRule="auto"/>
              <w:jc w:val="left"/>
            </w:pPr>
            <w:r/>
            <w:r>
              <w:rPr>
                <w:rFonts w:ascii="Times New Roman" w:hAnsi="Times New Roman"/>
                <w:b w:val="0"/>
                <w:color w:val="000000"/>
                <w:sz w:val="17"/>
              </w:rPr>
              <w:t>Topic selection and supervisor approval</w:t>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60"/>
            <w:vAlign w:val="center"/>
          </w:tcPr>
          <w:p>
            <w:pPr>
              <w:keepNext w:val="0"/>
              <w:spacing w:before="0" w:after="0" w:line="276" w:lineRule="auto"/>
              <w:jc w:val="center"/>
            </w:pPr>
            <w:r/>
            <w:r>
              <w:rPr>
                <w:rFonts w:ascii="Times New Roman" w:hAnsi="Times New Roman"/>
                <w:b w:val="0"/>
                <w:color w:val="000000"/>
                <w:sz w:val="17"/>
              </w:rPr>
            </w:r>
          </w:p>
        </w:tc>
      </w:tr>
      <w:tr>
        <w:tc>
          <w:tcPr>
            <w:tcW w:type="dxa" w:w="650"/>
            <w:vAlign w:val="center"/>
          </w:tcPr>
          <w:p>
            <w:pPr>
              <w:keepNext w:val="0"/>
              <w:spacing w:before="0" w:after="0" w:line="276" w:lineRule="auto"/>
              <w:jc w:val="center"/>
            </w:pPr>
            <w:r/>
            <w:r>
              <w:rPr>
                <w:rFonts w:ascii="Times New Roman" w:hAnsi="Times New Roman"/>
                <w:b w:val="0"/>
                <w:color w:val="000000"/>
                <w:sz w:val="17"/>
              </w:rPr>
              <w:t>2</w:t>
            </w:r>
          </w:p>
        </w:tc>
        <w:tc>
          <w:tcPr>
            <w:tcW w:type="dxa" w:w="3650"/>
            <w:vAlign w:val="center"/>
          </w:tcPr>
          <w:p>
            <w:pPr>
              <w:keepNext w:val="0"/>
              <w:spacing w:before="0" w:after="0" w:line="276" w:lineRule="auto"/>
              <w:jc w:val="left"/>
            </w:pPr>
            <w:r/>
            <w:r>
              <w:rPr>
                <w:rFonts w:ascii="Times New Roman" w:hAnsi="Times New Roman"/>
                <w:b w:val="0"/>
                <w:color w:val="000000"/>
                <w:sz w:val="17"/>
              </w:rPr>
              <w:t>Literature review and proposal development</w:t>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60"/>
            <w:vAlign w:val="center"/>
          </w:tcPr>
          <w:p>
            <w:pPr>
              <w:keepNext w:val="0"/>
              <w:spacing w:before="0" w:after="0" w:line="276" w:lineRule="auto"/>
              <w:jc w:val="center"/>
            </w:pPr>
            <w:r/>
            <w:r>
              <w:rPr>
                <w:rFonts w:ascii="Times New Roman" w:hAnsi="Times New Roman"/>
                <w:b w:val="0"/>
                <w:color w:val="000000"/>
                <w:sz w:val="17"/>
              </w:rPr>
            </w:r>
          </w:p>
        </w:tc>
      </w:tr>
      <w:tr>
        <w:tc>
          <w:tcPr>
            <w:tcW w:type="dxa" w:w="650"/>
            <w:vAlign w:val="center"/>
          </w:tcPr>
          <w:p>
            <w:pPr>
              <w:keepNext w:val="0"/>
              <w:spacing w:before="0" w:after="0" w:line="276" w:lineRule="auto"/>
              <w:jc w:val="center"/>
            </w:pPr>
            <w:r/>
            <w:r>
              <w:rPr>
                <w:rFonts w:ascii="Times New Roman" w:hAnsi="Times New Roman"/>
                <w:b w:val="0"/>
                <w:color w:val="000000"/>
                <w:sz w:val="17"/>
              </w:rPr>
              <w:t>3</w:t>
            </w:r>
          </w:p>
        </w:tc>
        <w:tc>
          <w:tcPr>
            <w:tcW w:type="dxa" w:w="3650"/>
            <w:vAlign w:val="center"/>
          </w:tcPr>
          <w:p>
            <w:pPr>
              <w:keepNext w:val="0"/>
              <w:spacing w:before="0" w:after="0" w:line="276" w:lineRule="auto"/>
              <w:jc w:val="left"/>
            </w:pPr>
            <w:r/>
            <w:r>
              <w:rPr>
                <w:rFonts w:ascii="Times New Roman" w:hAnsi="Times New Roman"/>
                <w:b w:val="0"/>
                <w:color w:val="000000"/>
                <w:sz w:val="17"/>
              </w:rPr>
              <w:t>Proposal defense</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60"/>
            <w:vAlign w:val="center"/>
          </w:tcPr>
          <w:p>
            <w:pPr>
              <w:keepNext w:val="0"/>
              <w:spacing w:before="0" w:after="0" w:line="276" w:lineRule="auto"/>
              <w:jc w:val="center"/>
            </w:pPr>
            <w:r/>
            <w:r>
              <w:rPr>
                <w:rFonts w:ascii="Times New Roman" w:hAnsi="Times New Roman"/>
                <w:b w:val="0"/>
                <w:color w:val="000000"/>
                <w:sz w:val="17"/>
              </w:rPr>
            </w:r>
          </w:p>
        </w:tc>
      </w:tr>
      <w:tr>
        <w:tc>
          <w:tcPr>
            <w:tcW w:type="dxa" w:w="650"/>
            <w:vAlign w:val="center"/>
          </w:tcPr>
          <w:p>
            <w:pPr>
              <w:keepNext w:val="0"/>
              <w:spacing w:before="0" w:after="0" w:line="276" w:lineRule="auto"/>
              <w:jc w:val="center"/>
            </w:pPr>
            <w:r/>
            <w:r>
              <w:rPr>
                <w:rFonts w:ascii="Times New Roman" w:hAnsi="Times New Roman"/>
                <w:b w:val="0"/>
                <w:color w:val="000000"/>
                <w:sz w:val="17"/>
              </w:rPr>
              <w:t>4</w:t>
            </w:r>
          </w:p>
        </w:tc>
        <w:tc>
          <w:tcPr>
            <w:tcW w:type="dxa" w:w="3650"/>
            <w:vAlign w:val="center"/>
          </w:tcPr>
          <w:p>
            <w:pPr>
              <w:keepNext w:val="0"/>
              <w:spacing w:before="0" w:after="0" w:line="276" w:lineRule="auto"/>
              <w:jc w:val="left"/>
            </w:pPr>
            <w:r/>
            <w:r>
              <w:rPr>
                <w:rFonts w:ascii="Times New Roman" w:hAnsi="Times New Roman"/>
                <w:b w:val="0"/>
                <w:color w:val="000000"/>
                <w:sz w:val="17"/>
              </w:rPr>
              <w:t>Data acquisition and field planning</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60"/>
            <w:vAlign w:val="center"/>
          </w:tcPr>
          <w:p>
            <w:pPr>
              <w:keepNext w:val="0"/>
              <w:spacing w:before="0" w:after="0" w:line="276" w:lineRule="auto"/>
              <w:jc w:val="center"/>
            </w:pPr>
            <w:r/>
            <w:r>
              <w:rPr>
                <w:rFonts w:ascii="Times New Roman" w:hAnsi="Times New Roman"/>
                <w:b w:val="0"/>
                <w:color w:val="000000"/>
                <w:sz w:val="17"/>
              </w:rPr>
            </w:r>
          </w:p>
        </w:tc>
      </w:tr>
      <w:tr>
        <w:tc>
          <w:tcPr>
            <w:tcW w:type="dxa" w:w="650"/>
            <w:vAlign w:val="center"/>
          </w:tcPr>
          <w:p>
            <w:pPr>
              <w:keepNext w:val="0"/>
              <w:spacing w:before="0" w:after="0" w:line="276" w:lineRule="auto"/>
              <w:jc w:val="center"/>
            </w:pPr>
            <w:r/>
            <w:r>
              <w:rPr>
                <w:rFonts w:ascii="Times New Roman" w:hAnsi="Times New Roman"/>
                <w:b w:val="0"/>
                <w:color w:val="000000"/>
                <w:sz w:val="17"/>
              </w:rPr>
              <w:t>5</w:t>
            </w:r>
          </w:p>
        </w:tc>
        <w:tc>
          <w:tcPr>
            <w:tcW w:type="dxa" w:w="3650"/>
            <w:vAlign w:val="center"/>
          </w:tcPr>
          <w:p>
            <w:pPr>
              <w:keepNext w:val="0"/>
              <w:spacing w:before="0" w:after="0" w:line="276" w:lineRule="auto"/>
              <w:jc w:val="left"/>
            </w:pPr>
            <w:r/>
            <w:r>
              <w:rPr>
                <w:rFonts w:ascii="Times New Roman" w:hAnsi="Times New Roman"/>
                <w:b w:val="0"/>
                <w:color w:val="000000"/>
                <w:sz w:val="17"/>
              </w:rPr>
              <w:t>Field/lab data collection</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60"/>
            <w:vAlign w:val="center"/>
          </w:tcPr>
          <w:p>
            <w:pPr>
              <w:keepNext w:val="0"/>
              <w:spacing w:before="0" w:after="0" w:line="276" w:lineRule="auto"/>
              <w:jc w:val="center"/>
            </w:pPr>
            <w:r/>
            <w:r>
              <w:rPr>
                <w:rFonts w:ascii="Times New Roman" w:hAnsi="Times New Roman"/>
                <w:b w:val="0"/>
                <w:color w:val="000000"/>
                <w:sz w:val="17"/>
              </w:rPr>
            </w:r>
          </w:p>
        </w:tc>
      </w:tr>
      <w:tr>
        <w:tc>
          <w:tcPr>
            <w:tcW w:type="dxa" w:w="650"/>
            <w:vAlign w:val="center"/>
          </w:tcPr>
          <w:p>
            <w:pPr>
              <w:keepNext w:val="0"/>
              <w:spacing w:before="0" w:after="0" w:line="276" w:lineRule="auto"/>
              <w:jc w:val="center"/>
            </w:pPr>
            <w:r/>
            <w:r>
              <w:rPr>
                <w:rFonts w:ascii="Times New Roman" w:hAnsi="Times New Roman"/>
                <w:b w:val="0"/>
                <w:color w:val="000000"/>
                <w:sz w:val="17"/>
              </w:rPr>
              <w:t>6</w:t>
            </w:r>
          </w:p>
        </w:tc>
        <w:tc>
          <w:tcPr>
            <w:tcW w:type="dxa" w:w="3650"/>
            <w:vAlign w:val="center"/>
          </w:tcPr>
          <w:p>
            <w:pPr>
              <w:keepNext w:val="0"/>
              <w:spacing w:before="0" w:after="0" w:line="276" w:lineRule="auto"/>
              <w:jc w:val="left"/>
            </w:pPr>
            <w:r/>
            <w:r>
              <w:rPr>
                <w:rFonts w:ascii="Times New Roman" w:hAnsi="Times New Roman"/>
                <w:b w:val="0"/>
                <w:color w:val="000000"/>
                <w:sz w:val="17"/>
              </w:rPr>
              <w:t>Data cleaning and exploratory analysis</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60"/>
            <w:vAlign w:val="center"/>
          </w:tcPr>
          <w:p>
            <w:pPr>
              <w:keepNext w:val="0"/>
              <w:spacing w:before="0" w:after="0" w:line="276" w:lineRule="auto"/>
              <w:jc w:val="center"/>
            </w:pPr>
            <w:r/>
            <w:r>
              <w:rPr>
                <w:rFonts w:ascii="Times New Roman" w:hAnsi="Times New Roman"/>
                <w:b w:val="0"/>
                <w:color w:val="000000"/>
                <w:sz w:val="17"/>
              </w:rPr>
            </w:r>
          </w:p>
        </w:tc>
      </w:tr>
      <w:tr>
        <w:tc>
          <w:tcPr>
            <w:tcW w:type="dxa" w:w="650"/>
            <w:vAlign w:val="center"/>
          </w:tcPr>
          <w:p>
            <w:pPr>
              <w:keepNext w:val="0"/>
              <w:spacing w:before="0" w:after="0" w:line="276" w:lineRule="auto"/>
              <w:jc w:val="center"/>
            </w:pPr>
            <w:r/>
            <w:r>
              <w:rPr>
                <w:rFonts w:ascii="Times New Roman" w:hAnsi="Times New Roman"/>
                <w:b w:val="0"/>
                <w:color w:val="000000"/>
                <w:sz w:val="17"/>
              </w:rPr>
              <w:t>7</w:t>
            </w:r>
          </w:p>
        </w:tc>
        <w:tc>
          <w:tcPr>
            <w:tcW w:type="dxa" w:w="3650"/>
            <w:vAlign w:val="center"/>
          </w:tcPr>
          <w:p>
            <w:pPr>
              <w:keepNext w:val="0"/>
              <w:spacing w:before="0" w:after="0" w:line="276" w:lineRule="auto"/>
              <w:jc w:val="left"/>
            </w:pPr>
            <w:r/>
            <w:r>
              <w:rPr>
                <w:rFonts w:ascii="Times New Roman" w:hAnsi="Times New Roman"/>
                <w:b w:val="0"/>
                <w:color w:val="000000"/>
                <w:sz w:val="17"/>
              </w:rPr>
              <w:t>Model training and geostatistical comparison</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60"/>
            <w:vAlign w:val="center"/>
          </w:tcPr>
          <w:p>
            <w:pPr>
              <w:keepNext w:val="0"/>
              <w:spacing w:before="0" w:after="0" w:line="276" w:lineRule="auto"/>
              <w:jc w:val="center"/>
            </w:pPr>
            <w:r/>
            <w:r>
              <w:rPr>
                <w:rFonts w:ascii="Times New Roman" w:hAnsi="Times New Roman"/>
                <w:b w:val="0"/>
                <w:color w:val="000000"/>
                <w:sz w:val="17"/>
              </w:rPr>
            </w:r>
          </w:p>
        </w:tc>
      </w:tr>
      <w:tr>
        <w:tc>
          <w:tcPr>
            <w:tcW w:type="dxa" w:w="650"/>
            <w:vAlign w:val="center"/>
          </w:tcPr>
          <w:p>
            <w:pPr>
              <w:keepNext w:val="0"/>
              <w:spacing w:before="0" w:after="0" w:line="276" w:lineRule="auto"/>
              <w:jc w:val="center"/>
            </w:pPr>
            <w:r/>
            <w:r>
              <w:rPr>
                <w:rFonts w:ascii="Times New Roman" w:hAnsi="Times New Roman"/>
                <w:b w:val="0"/>
                <w:color w:val="000000"/>
                <w:sz w:val="17"/>
              </w:rPr>
              <w:t>8</w:t>
            </w:r>
          </w:p>
        </w:tc>
        <w:tc>
          <w:tcPr>
            <w:tcW w:type="dxa" w:w="3650"/>
            <w:vAlign w:val="center"/>
          </w:tcPr>
          <w:p>
            <w:pPr>
              <w:keepNext w:val="0"/>
              <w:spacing w:before="0" w:after="0" w:line="276" w:lineRule="auto"/>
              <w:jc w:val="left"/>
            </w:pPr>
            <w:r/>
            <w:r>
              <w:rPr>
                <w:rFonts w:ascii="Times New Roman" w:hAnsi="Times New Roman"/>
                <w:b w:val="0"/>
                <w:color w:val="000000"/>
                <w:sz w:val="17"/>
              </w:rPr>
              <w:t>Dashboard implementation and map production</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60"/>
            <w:vAlign w:val="center"/>
          </w:tcPr>
          <w:p>
            <w:pPr>
              <w:keepNext w:val="0"/>
              <w:spacing w:before="0" w:after="0" w:line="276" w:lineRule="auto"/>
              <w:jc w:val="center"/>
            </w:pPr>
            <w:r/>
            <w:r>
              <w:rPr>
                <w:rFonts w:ascii="Times New Roman" w:hAnsi="Times New Roman"/>
                <w:b w:val="0"/>
                <w:color w:val="000000"/>
                <w:sz w:val="17"/>
              </w:rPr>
            </w:r>
          </w:p>
        </w:tc>
      </w:tr>
      <w:tr>
        <w:tc>
          <w:tcPr>
            <w:tcW w:type="dxa" w:w="650"/>
            <w:vAlign w:val="center"/>
          </w:tcPr>
          <w:p>
            <w:pPr>
              <w:keepNext w:val="0"/>
              <w:spacing w:before="0" w:after="0" w:line="276" w:lineRule="auto"/>
              <w:jc w:val="center"/>
            </w:pPr>
            <w:r/>
            <w:r>
              <w:rPr>
                <w:rFonts w:ascii="Times New Roman" w:hAnsi="Times New Roman"/>
                <w:b w:val="0"/>
                <w:color w:val="000000"/>
                <w:sz w:val="17"/>
              </w:rPr>
              <w:t>9</w:t>
            </w:r>
          </w:p>
        </w:tc>
        <w:tc>
          <w:tcPr>
            <w:tcW w:type="dxa" w:w="3650"/>
            <w:vAlign w:val="center"/>
          </w:tcPr>
          <w:p>
            <w:pPr>
              <w:keepNext w:val="0"/>
              <w:spacing w:before="0" w:after="0" w:line="276" w:lineRule="auto"/>
              <w:jc w:val="left"/>
            </w:pPr>
            <w:r/>
            <w:r>
              <w:rPr>
                <w:rFonts w:ascii="Times New Roman" w:hAnsi="Times New Roman"/>
                <w:b w:val="0"/>
                <w:color w:val="000000"/>
                <w:sz w:val="17"/>
              </w:rPr>
              <w:t>Validation, interpretation and recommendations</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60"/>
            <w:vAlign w:val="center"/>
          </w:tcPr>
          <w:p>
            <w:pPr>
              <w:keepNext w:val="0"/>
              <w:spacing w:before="0" w:after="0" w:line="276" w:lineRule="auto"/>
              <w:jc w:val="center"/>
            </w:pPr>
            <w:r/>
            <w:r>
              <w:rPr>
                <w:rFonts w:ascii="Times New Roman" w:hAnsi="Times New Roman"/>
                <w:b w:val="0"/>
                <w:color w:val="000000"/>
                <w:sz w:val="17"/>
              </w:rPr>
            </w:r>
          </w:p>
        </w:tc>
      </w:tr>
      <w:tr>
        <w:tc>
          <w:tcPr>
            <w:tcW w:type="dxa" w:w="650"/>
            <w:vAlign w:val="center"/>
          </w:tcPr>
          <w:p>
            <w:pPr>
              <w:keepNext w:val="0"/>
              <w:spacing w:before="0" w:after="0" w:line="276" w:lineRule="auto"/>
              <w:jc w:val="center"/>
            </w:pPr>
            <w:r/>
            <w:r>
              <w:rPr>
                <w:rFonts w:ascii="Times New Roman" w:hAnsi="Times New Roman"/>
                <w:b w:val="0"/>
                <w:color w:val="000000"/>
                <w:sz w:val="17"/>
              </w:rPr>
              <w:t>10</w:t>
            </w:r>
          </w:p>
        </w:tc>
        <w:tc>
          <w:tcPr>
            <w:tcW w:type="dxa" w:w="3650"/>
            <w:vAlign w:val="center"/>
          </w:tcPr>
          <w:p>
            <w:pPr>
              <w:keepNext w:val="0"/>
              <w:spacing w:before="0" w:after="0" w:line="276" w:lineRule="auto"/>
              <w:jc w:val="left"/>
            </w:pPr>
            <w:r/>
            <w:r>
              <w:rPr>
                <w:rFonts w:ascii="Times New Roman" w:hAnsi="Times New Roman"/>
                <w:b w:val="0"/>
                <w:color w:val="000000"/>
                <w:sz w:val="17"/>
              </w:rPr>
              <w:t>Report writing, review and correction</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t>X</w:t>
            </w:r>
          </w:p>
        </w:tc>
        <w:tc>
          <w:tcPr>
            <w:tcW w:type="dxa" w:w="860"/>
            <w:vAlign w:val="center"/>
          </w:tcPr>
          <w:p>
            <w:pPr>
              <w:keepNext w:val="0"/>
              <w:spacing w:before="0" w:after="0" w:line="276" w:lineRule="auto"/>
              <w:jc w:val="center"/>
            </w:pPr>
            <w:r/>
            <w:r>
              <w:rPr>
                <w:rFonts w:ascii="Times New Roman" w:hAnsi="Times New Roman"/>
                <w:b w:val="0"/>
                <w:color w:val="000000"/>
                <w:sz w:val="17"/>
              </w:rPr>
              <w:t>X</w:t>
            </w:r>
          </w:p>
        </w:tc>
      </w:tr>
      <w:tr>
        <w:tc>
          <w:tcPr>
            <w:tcW w:type="dxa" w:w="650"/>
            <w:vAlign w:val="center"/>
          </w:tcPr>
          <w:p>
            <w:pPr>
              <w:keepNext w:val="0"/>
              <w:spacing w:before="0" w:after="0" w:line="276" w:lineRule="auto"/>
              <w:jc w:val="center"/>
            </w:pPr>
            <w:r/>
            <w:r>
              <w:rPr>
                <w:rFonts w:ascii="Times New Roman" w:hAnsi="Times New Roman"/>
                <w:b w:val="0"/>
                <w:color w:val="000000"/>
                <w:sz w:val="17"/>
              </w:rPr>
              <w:t>11</w:t>
            </w:r>
          </w:p>
        </w:tc>
        <w:tc>
          <w:tcPr>
            <w:tcW w:type="dxa" w:w="3650"/>
            <w:vAlign w:val="center"/>
          </w:tcPr>
          <w:p>
            <w:pPr>
              <w:keepNext w:val="0"/>
              <w:spacing w:before="0" w:after="0" w:line="276" w:lineRule="auto"/>
              <w:jc w:val="left"/>
            </w:pPr>
            <w:r/>
            <w:r>
              <w:rPr>
                <w:rFonts w:ascii="Times New Roman" w:hAnsi="Times New Roman"/>
                <w:b w:val="0"/>
                <w:color w:val="000000"/>
                <w:sz w:val="17"/>
              </w:rPr>
              <w:t>Final submission and oral presentation</w:t>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40"/>
            <w:vAlign w:val="center"/>
          </w:tcPr>
          <w:p>
            <w:pPr>
              <w:keepNext w:val="0"/>
              <w:spacing w:before="0" w:after="0" w:line="276" w:lineRule="auto"/>
              <w:jc w:val="center"/>
            </w:pPr>
            <w:r/>
            <w:r>
              <w:rPr>
                <w:rFonts w:ascii="Times New Roman" w:hAnsi="Times New Roman"/>
                <w:b w:val="0"/>
                <w:color w:val="000000"/>
                <w:sz w:val="17"/>
              </w:rPr>
            </w:r>
          </w:p>
        </w:tc>
        <w:tc>
          <w:tcPr>
            <w:tcW w:type="dxa" w:w="860"/>
            <w:vAlign w:val="center"/>
          </w:tcPr>
          <w:p>
            <w:pPr>
              <w:keepNext w:val="0"/>
              <w:spacing w:before="0" w:after="0" w:line="276" w:lineRule="auto"/>
              <w:jc w:val="center"/>
            </w:pPr>
            <w:r/>
            <w:r>
              <w:rPr>
                <w:rFonts w:ascii="Times New Roman" w:hAnsi="Times New Roman"/>
                <w:b w:val="0"/>
                <w:color w:val="000000"/>
                <w:sz w:val="17"/>
              </w:rPr>
              <w:t>X</w:t>
            </w:r>
          </w:p>
        </w:tc>
      </w:tr>
    </w:tbl>
    <w:p>
      <w:pPr>
        <w:keepNext w:val="0"/>
        <w:spacing w:before="0" w:after="80" w:line="240" w:lineRule="auto"/>
      </w:pPr>
    </w:p>
    <w:p>
      <w:pPr>
        <w:keepNext w:val="0"/>
        <w:spacing w:before="0" w:after="160" w:line="288" w:lineRule="auto"/>
      </w:pPr>
      <w:r>
        <w:rPr>
          <w:rFonts w:ascii="Times New Roman" w:hAnsi="Times New Roman"/>
          <w:b w:val="0"/>
          <w:i/>
          <w:color w:val="5A5A5A"/>
          <w:sz w:val="21"/>
        </w:rPr>
        <w:t>The schedule may be adjusted depending on access to field locations, laboratory turnaround time, supervisor feedback and departmental defense dates.</w:t>
      </w:r>
    </w:p>
    <w:p>
      <w:pPr>
        <w:pStyle w:val="Heading1"/>
      </w:pPr>
      <w:r>
        <w:t>6.0 References</w:t>
      </w:r>
    </w:p>
    <w:p>
      <w:pPr>
        <w:keepNext w:val="0"/>
        <w:spacing w:before="0" w:after="120" w:line="288" w:lineRule="auto"/>
      </w:pPr>
      <w:r>
        <w:rPr>
          <w:rFonts w:ascii="Times New Roman" w:hAnsi="Times New Roman"/>
          <w:b w:val="0"/>
          <w:i/>
          <w:color w:val="5A5A5A"/>
          <w:sz w:val="21"/>
        </w:rPr>
        <w:t>The following references are arranged broadly in APA 7th edition style and should be updated with final page numbers, DOI links and department-specific formatting after supervisor review.</w:t>
      </w:r>
    </w:p>
    <w:p>
      <w:pPr>
        <w:keepNext w:val="0"/>
        <w:spacing w:before="0" w:after="80" w:line="300" w:lineRule="auto"/>
        <w:ind w:hanging="432" w:left="432"/>
      </w:pPr>
      <w:r>
        <w:rPr>
          <w:rFonts w:ascii="Times New Roman" w:hAnsi="Times New Roman"/>
          <w:b w:val="0"/>
          <w:i w:val="0"/>
          <w:color w:val="000000"/>
          <w:sz w:val="22"/>
        </w:rPr>
        <w:t>Bonham-Carter, G. F. (1994). Geographic information systems for geoscientists: Modelling with GIS. Pergamon.</w:t>
      </w:r>
    </w:p>
    <w:p>
      <w:pPr>
        <w:keepNext w:val="0"/>
        <w:spacing w:before="0" w:after="80" w:line="300" w:lineRule="auto"/>
        <w:ind w:hanging="432" w:left="432"/>
      </w:pPr>
      <w:r>
        <w:rPr>
          <w:rFonts w:ascii="Times New Roman" w:hAnsi="Times New Roman"/>
          <w:b w:val="0"/>
          <w:i w:val="0"/>
          <w:color w:val="000000"/>
          <w:sz w:val="22"/>
        </w:rPr>
        <w:t>Breiman, L. (2001). Random forests. Machine Learning, 45(1), 5-32. https://doi.org/10.1023/A:1010933404324</w:t>
      </w:r>
    </w:p>
    <w:p>
      <w:pPr>
        <w:keepNext w:val="0"/>
        <w:spacing w:before="0" w:after="80" w:line="300" w:lineRule="auto"/>
        <w:ind w:hanging="432" w:left="432"/>
      </w:pPr>
      <w:r>
        <w:rPr>
          <w:rFonts w:ascii="Times New Roman" w:hAnsi="Times New Roman"/>
          <w:b w:val="0"/>
          <w:i w:val="0"/>
          <w:color w:val="000000"/>
          <w:sz w:val="22"/>
        </w:rPr>
        <w:t>Carranza, E. J. M. (2008). Geochemical anomaly and mineral prospectivity mapping in GIS. Elsevier.</w:t>
      </w:r>
    </w:p>
    <w:p>
      <w:pPr>
        <w:keepNext w:val="0"/>
        <w:spacing w:before="0" w:after="80" w:line="300" w:lineRule="auto"/>
        <w:ind w:hanging="432" w:left="432"/>
      </w:pPr>
      <w:r>
        <w:rPr>
          <w:rFonts w:ascii="Times New Roman" w:hAnsi="Times New Roman"/>
          <w:b w:val="0"/>
          <w:i w:val="0"/>
          <w:color w:val="000000"/>
          <w:sz w:val="22"/>
        </w:rPr>
        <w:t>Chen, T., &amp; Guestrin, C. (2016). XGBoost: A scalable tree boosting system. Proceedings of the 22nd ACM SIGKDD International Conference on Knowledge Discovery and Data Mining, 785-794. https://doi.org/10.1145/2939672.2939785</w:t>
      </w:r>
    </w:p>
    <w:p>
      <w:pPr>
        <w:keepNext w:val="0"/>
        <w:spacing w:before="0" w:after="80" w:line="300" w:lineRule="auto"/>
        <w:ind w:hanging="432" w:left="432"/>
      </w:pPr>
      <w:r>
        <w:rPr>
          <w:rFonts w:ascii="Times New Roman" w:hAnsi="Times New Roman"/>
          <w:b w:val="0"/>
          <w:i w:val="0"/>
          <w:color w:val="000000"/>
          <w:sz w:val="22"/>
        </w:rPr>
        <w:t>Cracknell, M. J., &amp; Reading, A. M. (2014). Geological mapping using remote sensing data: A comparison of five machine learning algorithms, their response to variations in the spatial distribution of training data and the use of explicit spatial information. Computers &amp; Geosciences, 63, 22-33.</w:t>
      </w:r>
    </w:p>
    <w:p>
      <w:pPr>
        <w:keepNext w:val="0"/>
        <w:spacing w:before="0" w:after="80" w:line="300" w:lineRule="auto"/>
        <w:ind w:hanging="432" w:left="432"/>
      </w:pPr>
      <w:r>
        <w:rPr>
          <w:rFonts w:ascii="Times New Roman" w:hAnsi="Times New Roman"/>
          <w:b w:val="0"/>
          <w:i w:val="0"/>
          <w:color w:val="000000"/>
          <w:sz w:val="22"/>
        </w:rPr>
        <w:t>Durrance, E. M. (1986). Radioactivity in geology: Principles and applications. Ellis Horwood.</w:t>
      </w:r>
    </w:p>
    <w:p>
      <w:pPr>
        <w:keepNext w:val="0"/>
        <w:spacing w:before="0" w:after="80" w:line="300" w:lineRule="auto"/>
        <w:ind w:hanging="432" w:left="432"/>
      </w:pPr>
      <w:r>
        <w:rPr>
          <w:rFonts w:ascii="Times New Roman" w:hAnsi="Times New Roman"/>
          <w:b w:val="0"/>
          <w:i w:val="0"/>
          <w:color w:val="000000"/>
          <w:sz w:val="22"/>
        </w:rPr>
        <w:t>Goovaerts, P. (1997). Geostatistics for natural resources evaluation. Oxford University Press.</w:t>
      </w:r>
    </w:p>
    <w:p>
      <w:pPr>
        <w:keepNext w:val="0"/>
        <w:spacing w:before="0" w:after="80" w:line="300" w:lineRule="auto"/>
        <w:ind w:hanging="432" w:left="432"/>
      </w:pPr>
      <w:r>
        <w:rPr>
          <w:rFonts w:ascii="Times New Roman" w:hAnsi="Times New Roman"/>
          <w:b w:val="0"/>
          <w:i w:val="0"/>
          <w:color w:val="000000"/>
          <w:sz w:val="22"/>
        </w:rPr>
        <w:t>International Atomic Energy Agency. (2003). Guidelines for radioelement mapping using gamma ray spectrometry data. IAEA-TECDOC-1363.</w:t>
      </w:r>
    </w:p>
    <w:p>
      <w:pPr>
        <w:keepNext w:val="0"/>
        <w:spacing w:before="0" w:after="80" w:line="300" w:lineRule="auto"/>
        <w:ind w:hanging="432" w:left="432"/>
      </w:pPr>
      <w:r>
        <w:rPr>
          <w:rFonts w:ascii="Times New Roman" w:hAnsi="Times New Roman"/>
          <w:b w:val="0"/>
          <w:i w:val="0"/>
          <w:color w:val="000000"/>
          <w:sz w:val="22"/>
        </w:rPr>
        <w:t>Isaaks, E. H., &amp; Srivastava, R. M. (1989). An introduction to applied geostatistics. Oxford University Press.</w:t>
      </w:r>
    </w:p>
    <w:p>
      <w:pPr>
        <w:keepNext w:val="0"/>
        <w:spacing w:before="0" w:after="80" w:line="300" w:lineRule="auto"/>
        <w:ind w:hanging="432" w:left="432"/>
      </w:pPr>
      <w:r>
        <w:rPr>
          <w:rFonts w:ascii="Times New Roman" w:hAnsi="Times New Roman"/>
          <w:b w:val="0"/>
          <w:i w:val="0"/>
          <w:color w:val="000000"/>
          <w:sz w:val="22"/>
        </w:rPr>
        <w:t>Journel, A. G., &amp; Huijbregts, C. J. (1978). Mining geostatistics. Academic Press.</w:t>
      </w:r>
    </w:p>
    <w:p>
      <w:pPr>
        <w:keepNext w:val="0"/>
        <w:spacing w:before="0" w:after="80" w:line="300" w:lineRule="auto"/>
        <w:ind w:hanging="432" w:left="432"/>
      </w:pPr>
      <w:r>
        <w:rPr>
          <w:rFonts w:ascii="Times New Roman" w:hAnsi="Times New Roman"/>
          <w:b w:val="0"/>
          <w:i w:val="0"/>
          <w:color w:val="000000"/>
          <w:sz w:val="22"/>
        </w:rPr>
        <w:t>Kinnaird, J. A. (1985). Hydrothermal alteration and mineralization of the Nigerian anorogenic ring complexes. Journal of African Earth Sciences, 3(1-2), 229-251.</w:t>
      </w:r>
    </w:p>
    <w:p>
      <w:pPr>
        <w:keepNext w:val="0"/>
        <w:spacing w:before="0" w:after="80" w:line="300" w:lineRule="auto"/>
        <w:ind w:hanging="432" w:left="432"/>
      </w:pPr>
      <w:r>
        <w:rPr>
          <w:rFonts w:ascii="Times New Roman" w:hAnsi="Times New Roman"/>
          <w:b w:val="0"/>
          <w:i w:val="0"/>
          <w:color w:val="000000"/>
          <w:sz w:val="22"/>
        </w:rPr>
        <w:t>McCuaig, T. C., &amp; Hronsky, J. M. A. (2014). The mineral systems concept: The key to exploration targeting. Society of Economic Geologists Special Publication, 18, 153-175.</w:t>
      </w:r>
    </w:p>
    <w:p>
      <w:pPr>
        <w:keepNext w:val="0"/>
        <w:spacing w:before="0" w:after="80" w:line="300" w:lineRule="auto"/>
        <w:ind w:hanging="432" w:left="432"/>
      </w:pPr>
      <w:r>
        <w:rPr>
          <w:rFonts w:ascii="Times New Roman" w:hAnsi="Times New Roman"/>
          <w:b w:val="0"/>
          <w:i w:val="0"/>
          <w:color w:val="000000"/>
          <w:sz w:val="22"/>
        </w:rPr>
        <w:t>Minty, B. R. S. (1997). Fundamentals of airborne gamma-ray spectrometry. AGSO Journal of Australian Geology and Geophysics, 17(2), 39-50.</w:t>
      </w:r>
    </w:p>
    <w:p>
      <w:pPr>
        <w:keepNext w:val="0"/>
        <w:spacing w:before="0" w:after="80" w:line="300" w:lineRule="auto"/>
        <w:ind w:hanging="432" w:left="432"/>
      </w:pPr>
      <w:r>
        <w:rPr>
          <w:rFonts w:ascii="Times New Roman" w:hAnsi="Times New Roman"/>
          <w:b w:val="0"/>
          <w:i w:val="0"/>
          <w:color w:val="000000"/>
          <w:sz w:val="22"/>
        </w:rPr>
        <w:t>Obaje, N. G. (2009). Geology and mineral resources of Nigeria. Springer.</w:t>
      </w:r>
    </w:p>
    <w:p>
      <w:pPr>
        <w:keepNext w:val="0"/>
        <w:spacing w:before="0" w:after="80" w:line="300" w:lineRule="auto"/>
        <w:ind w:hanging="432" w:left="432"/>
      </w:pPr>
      <w:r>
        <w:rPr>
          <w:rFonts w:ascii="Times New Roman" w:hAnsi="Times New Roman"/>
          <w:b w:val="0"/>
          <w:i w:val="0"/>
          <w:color w:val="000000"/>
          <w:sz w:val="22"/>
        </w:rPr>
        <w:t>Rodriguez-Galiano, V. F., Sanchez-Castillo, M., Chica-Olmo, M., &amp; Chica-Rivas, M. (2015). Machine learning predictive models for mineral prospectivity: An evaluation of neural networks, random forest, regression trees and support vector machines. Ore Geology Reviews, 71, 804-818.</w:t>
      </w:r>
    </w:p>
    <w:p>
      <w:pPr>
        <w:keepNext w:val="0"/>
        <w:spacing w:before="0" w:after="80" w:line="300" w:lineRule="auto"/>
        <w:ind w:hanging="432" w:left="432"/>
      </w:pPr>
      <w:r>
        <w:rPr>
          <w:rFonts w:ascii="Times New Roman" w:hAnsi="Times New Roman"/>
          <w:b w:val="0"/>
          <w:i w:val="0"/>
          <w:color w:val="000000"/>
          <w:sz w:val="22"/>
        </w:rPr>
        <w:t>Sheet168_Naraguta_Potassium.grd.xml. (2021). Geosoft grid metadata for potassium radiometric data, Sheet 168 Naraguta.</w:t>
      </w:r>
    </w:p>
    <w:p>
      <w:pPr>
        <w:keepNext w:val="0"/>
        <w:spacing w:before="0" w:after="80" w:line="300" w:lineRule="auto"/>
        <w:ind w:hanging="432" w:left="432"/>
      </w:pPr>
      <w:r>
        <w:rPr>
          <w:rFonts w:ascii="Times New Roman" w:hAnsi="Times New Roman"/>
          <w:b w:val="0"/>
          <w:i w:val="0"/>
          <w:color w:val="000000"/>
          <w:sz w:val="22"/>
        </w:rPr>
        <w:t>Sheet168_Naraguta_Th.grd.xml. (2021). Geosoft grid metadata for thorium radiometric data, Sheet 168 Naraguta.</w:t>
      </w:r>
    </w:p>
    <w:p>
      <w:pPr>
        <w:keepNext w:val="0"/>
        <w:spacing w:before="0" w:after="80" w:line="300" w:lineRule="auto"/>
        <w:ind w:hanging="432" w:left="432"/>
      </w:pPr>
      <w:r>
        <w:rPr>
          <w:rFonts w:ascii="Times New Roman" w:hAnsi="Times New Roman"/>
          <w:b w:val="0"/>
          <w:i w:val="0"/>
          <w:color w:val="000000"/>
          <w:sz w:val="22"/>
        </w:rPr>
        <w:t>Sheet168_Naraguta_U.grd.xml. (2021). Geosoft grid metadata for uranium radiometric data, Sheet 168 Naraguta.</w:t>
      </w:r>
    </w:p>
    <w:p>
      <w:pPr>
        <w:keepNext w:val="0"/>
        <w:spacing w:before="0" w:after="80" w:line="300" w:lineRule="auto"/>
        <w:ind w:hanging="432" w:left="432"/>
      </w:pPr>
      <w:r>
        <w:rPr>
          <w:rFonts w:ascii="Times New Roman" w:hAnsi="Times New Roman"/>
          <w:b w:val="0"/>
          <w:i w:val="0"/>
          <w:color w:val="000000"/>
          <w:sz w:val="22"/>
        </w:rPr>
        <w:t>Shirmard, H., Farahbakhsh, E., Muller, R. D., &amp; Chandra, R. (2021). A review of machine learning in processing remote sensing data for mineral exploration. Remote Sensing, 14(10), 2321.</w:t>
      </w:r>
    </w:p>
    <w:p>
      <w:pPr>
        <w:keepNext w:val="0"/>
        <w:spacing w:before="0" w:after="80" w:line="300" w:lineRule="auto"/>
        <w:ind w:hanging="432" w:left="432"/>
      </w:pPr>
      <w:r>
        <w:rPr>
          <w:rFonts w:ascii="Times New Roman" w:hAnsi="Times New Roman"/>
          <w:b w:val="0"/>
          <w:i w:val="0"/>
          <w:color w:val="000000"/>
          <w:sz w:val="22"/>
        </w:rPr>
        <w:t>Singer, D. A., &amp; Menzie, W. D. (2010). Quantitative mineral resource assessments: An integrated approach. Oxford University Press.</w:t>
      </w:r>
    </w:p>
    <w:p>
      <w:pPr>
        <w:keepNext w:val="0"/>
        <w:spacing w:before="0" w:after="80" w:line="300" w:lineRule="auto"/>
        <w:ind w:hanging="432" w:left="432"/>
      </w:pPr>
      <w:r>
        <w:rPr>
          <w:rFonts w:ascii="Times New Roman" w:hAnsi="Times New Roman"/>
          <w:b w:val="0"/>
          <w:i w:val="0"/>
          <w:color w:val="000000"/>
          <w:sz w:val="22"/>
        </w:rPr>
        <w:t>Zuo, R., &amp; Carranza, E. J. M. (2011). Support vector machine: A tool for mapping mineral prospectivity. Computers &amp; Geosciences, 37(12), 1967-1975.</w:t>
      </w:r>
    </w:p>
    <w:p>
      <w:pPr>
        <w:pStyle w:val="Heading1"/>
      </w:pPr>
      <w:r>
        <w:t>7.0 Preliminary Budget</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650"/>
        <w:gridCol w:w="3250"/>
        <w:gridCol w:w="1600"/>
        <w:gridCol w:w="3860"/>
      </w:tblGrid>
      <w:tr>
        <w:trPr>
          <w:tblHeader w:val="true"/>
        </w:trPr>
        <w:tc>
          <w:tcPr>
            <w:tcW w:type="dxa" w:w="650"/>
            <w:shd w:fill="E8EEF5"/>
            <w:vAlign w:val="center"/>
          </w:tcPr>
          <w:p>
            <w:pPr>
              <w:keepNext w:val="0"/>
              <w:spacing w:before="0" w:after="0" w:line="264" w:lineRule="auto"/>
              <w:jc w:val="center"/>
            </w:pPr>
            <w:r/>
            <w:r>
              <w:rPr>
                <w:rFonts w:ascii="Times New Roman" w:hAnsi="Times New Roman"/>
                <w:b/>
                <w:color w:val="000000"/>
                <w:sz w:val="17"/>
              </w:rPr>
              <w:t>S/N</w:t>
            </w:r>
          </w:p>
        </w:tc>
        <w:tc>
          <w:tcPr>
            <w:tcW w:type="dxa" w:w="3250"/>
            <w:shd w:fill="E8EEF5"/>
            <w:vAlign w:val="center"/>
          </w:tcPr>
          <w:p>
            <w:pPr>
              <w:keepNext w:val="0"/>
              <w:spacing w:before="0" w:after="0" w:line="264" w:lineRule="auto"/>
              <w:jc w:val="center"/>
            </w:pPr>
            <w:r/>
            <w:r>
              <w:rPr>
                <w:rFonts w:ascii="Times New Roman" w:hAnsi="Times New Roman"/>
                <w:b/>
                <w:color w:val="000000"/>
                <w:sz w:val="17"/>
              </w:rPr>
              <w:t>Item</w:t>
            </w:r>
          </w:p>
        </w:tc>
        <w:tc>
          <w:tcPr>
            <w:tcW w:type="dxa" w:w="1600"/>
            <w:shd w:fill="E8EEF5"/>
            <w:vAlign w:val="center"/>
          </w:tcPr>
          <w:p>
            <w:pPr>
              <w:keepNext w:val="0"/>
              <w:spacing w:before="0" w:after="0" w:line="264" w:lineRule="auto"/>
              <w:jc w:val="center"/>
            </w:pPr>
            <w:r/>
            <w:r>
              <w:rPr>
                <w:rFonts w:ascii="Times New Roman" w:hAnsi="Times New Roman"/>
                <w:b/>
                <w:color w:val="000000"/>
                <w:sz w:val="17"/>
              </w:rPr>
              <w:t>Cost (NGN)</w:t>
            </w:r>
          </w:p>
        </w:tc>
        <w:tc>
          <w:tcPr>
            <w:tcW w:type="dxa" w:w="3860"/>
            <w:shd w:fill="E8EEF5"/>
            <w:vAlign w:val="center"/>
          </w:tcPr>
          <w:p>
            <w:pPr>
              <w:keepNext w:val="0"/>
              <w:spacing w:before="0" w:after="0" w:line="264" w:lineRule="auto"/>
              <w:jc w:val="center"/>
            </w:pPr>
            <w:r/>
            <w:r>
              <w:rPr>
                <w:rFonts w:ascii="Times New Roman" w:hAnsi="Times New Roman"/>
                <w:b/>
                <w:color w:val="000000"/>
                <w:sz w:val="17"/>
              </w:rPr>
              <w:t>Notes</w:t>
            </w:r>
          </w:p>
        </w:tc>
      </w:tr>
      <w:tr>
        <w:tc>
          <w:tcPr>
            <w:tcW w:type="dxa" w:w="650"/>
            <w:vAlign w:val="center"/>
          </w:tcPr>
          <w:p>
            <w:pPr>
              <w:keepNext w:val="0"/>
              <w:spacing w:before="0" w:after="0" w:line="276" w:lineRule="auto"/>
              <w:jc w:val="center"/>
            </w:pPr>
            <w:r/>
            <w:r>
              <w:rPr>
                <w:rFonts w:ascii="Times New Roman" w:hAnsi="Times New Roman"/>
                <w:b w:val="0"/>
                <w:color w:val="000000"/>
                <w:sz w:val="17"/>
              </w:rPr>
              <w:t>1</w:t>
            </w:r>
          </w:p>
        </w:tc>
        <w:tc>
          <w:tcPr>
            <w:tcW w:type="dxa" w:w="3250"/>
            <w:vAlign w:val="center"/>
          </w:tcPr>
          <w:p>
            <w:pPr>
              <w:keepNext w:val="0"/>
              <w:spacing w:before="0" w:after="0" w:line="276" w:lineRule="auto"/>
              <w:jc w:val="left"/>
            </w:pPr>
            <w:r/>
            <w:r>
              <w:rPr>
                <w:rFonts w:ascii="Times New Roman" w:hAnsi="Times New Roman"/>
                <w:b w:val="0"/>
                <w:color w:val="000000"/>
                <w:sz w:val="17"/>
              </w:rPr>
              <w:t>Transportation to Bukuru/Du/Naraguta field locations</w:t>
            </w:r>
          </w:p>
        </w:tc>
        <w:tc>
          <w:tcPr>
            <w:tcW w:type="dxa" w:w="1600"/>
            <w:vAlign w:val="center"/>
          </w:tcPr>
          <w:p>
            <w:pPr>
              <w:keepNext w:val="0"/>
              <w:spacing w:before="0" w:after="0" w:line="276" w:lineRule="auto"/>
              <w:jc w:val="center"/>
            </w:pPr>
            <w:r/>
            <w:r>
              <w:rPr>
                <w:rFonts w:ascii="Times New Roman" w:hAnsi="Times New Roman"/>
                <w:b w:val="0"/>
                <w:color w:val="000000"/>
                <w:sz w:val="17"/>
              </w:rPr>
              <w:t>60,000</w:t>
            </w:r>
          </w:p>
        </w:tc>
        <w:tc>
          <w:tcPr>
            <w:tcW w:type="dxa" w:w="3860"/>
            <w:vAlign w:val="center"/>
          </w:tcPr>
          <w:p>
            <w:pPr>
              <w:keepNext w:val="0"/>
              <w:spacing w:before="0" w:after="0" w:line="276" w:lineRule="auto"/>
              <w:jc w:val="left"/>
            </w:pPr>
            <w:r/>
            <w:r>
              <w:rPr>
                <w:rFonts w:ascii="Times New Roman" w:hAnsi="Times New Roman"/>
                <w:b w:val="0"/>
                <w:color w:val="000000"/>
                <w:sz w:val="17"/>
              </w:rPr>
              <w:t>Site visits, GPS control and sample movement</w:t>
            </w:r>
          </w:p>
        </w:tc>
      </w:tr>
      <w:tr>
        <w:tc>
          <w:tcPr>
            <w:tcW w:type="dxa" w:w="650"/>
            <w:vAlign w:val="center"/>
          </w:tcPr>
          <w:p>
            <w:pPr>
              <w:keepNext w:val="0"/>
              <w:spacing w:before="0" w:after="0" w:line="276" w:lineRule="auto"/>
              <w:jc w:val="center"/>
            </w:pPr>
            <w:r/>
            <w:r>
              <w:rPr>
                <w:rFonts w:ascii="Times New Roman" w:hAnsi="Times New Roman"/>
                <w:b w:val="0"/>
                <w:color w:val="000000"/>
                <w:sz w:val="17"/>
              </w:rPr>
              <w:t>2</w:t>
            </w:r>
          </w:p>
        </w:tc>
        <w:tc>
          <w:tcPr>
            <w:tcW w:type="dxa" w:w="3250"/>
            <w:vAlign w:val="center"/>
          </w:tcPr>
          <w:p>
            <w:pPr>
              <w:keepNext w:val="0"/>
              <w:spacing w:before="0" w:after="0" w:line="276" w:lineRule="auto"/>
              <w:jc w:val="left"/>
            </w:pPr>
            <w:r/>
            <w:r>
              <w:rPr>
                <w:rFonts w:ascii="Times New Roman" w:hAnsi="Times New Roman"/>
                <w:b w:val="0"/>
                <w:color w:val="000000"/>
                <w:sz w:val="17"/>
              </w:rPr>
              <w:t>Laboratory analysis and sample preparation</w:t>
            </w:r>
          </w:p>
        </w:tc>
        <w:tc>
          <w:tcPr>
            <w:tcW w:type="dxa" w:w="1600"/>
            <w:vAlign w:val="center"/>
          </w:tcPr>
          <w:p>
            <w:pPr>
              <w:keepNext w:val="0"/>
              <w:spacing w:before="0" w:after="0" w:line="276" w:lineRule="auto"/>
              <w:jc w:val="center"/>
            </w:pPr>
            <w:r/>
            <w:r>
              <w:rPr>
                <w:rFonts w:ascii="Times New Roman" w:hAnsi="Times New Roman"/>
                <w:b w:val="0"/>
                <w:color w:val="000000"/>
                <w:sz w:val="17"/>
              </w:rPr>
              <w:t>120,000</w:t>
            </w:r>
          </w:p>
        </w:tc>
        <w:tc>
          <w:tcPr>
            <w:tcW w:type="dxa" w:w="3860"/>
            <w:vAlign w:val="center"/>
          </w:tcPr>
          <w:p>
            <w:pPr>
              <w:keepNext w:val="0"/>
              <w:spacing w:before="0" w:after="0" w:line="276" w:lineRule="auto"/>
              <w:jc w:val="left"/>
            </w:pPr>
            <w:r/>
            <w:r>
              <w:rPr>
                <w:rFonts w:ascii="Times New Roman" w:hAnsi="Times New Roman"/>
                <w:b w:val="0"/>
                <w:color w:val="000000"/>
                <w:sz w:val="17"/>
              </w:rPr>
              <w:t>Tin/pathfinder assays, sample bags and labels</w:t>
            </w:r>
          </w:p>
        </w:tc>
      </w:tr>
      <w:tr>
        <w:tc>
          <w:tcPr>
            <w:tcW w:type="dxa" w:w="650"/>
            <w:vAlign w:val="center"/>
          </w:tcPr>
          <w:p>
            <w:pPr>
              <w:keepNext w:val="0"/>
              <w:spacing w:before="0" w:after="0" w:line="276" w:lineRule="auto"/>
              <w:jc w:val="center"/>
            </w:pPr>
            <w:r/>
            <w:r>
              <w:rPr>
                <w:rFonts w:ascii="Times New Roman" w:hAnsi="Times New Roman"/>
                <w:b w:val="0"/>
                <w:color w:val="000000"/>
                <w:sz w:val="17"/>
              </w:rPr>
              <w:t>3</w:t>
            </w:r>
          </w:p>
        </w:tc>
        <w:tc>
          <w:tcPr>
            <w:tcW w:type="dxa" w:w="3250"/>
            <w:vAlign w:val="center"/>
          </w:tcPr>
          <w:p>
            <w:pPr>
              <w:keepNext w:val="0"/>
              <w:spacing w:before="0" w:after="0" w:line="276" w:lineRule="auto"/>
              <w:jc w:val="left"/>
            </w:pPr>
            <w:r/>
            <w:r>
              <w:rPr>
                <w:rFonts w:ascii="Times New Roman" w:hAnsi="Times New Roman"/>
                <w:b w:val="0"/>
                <w:color w:val="000000"/>
                <w:sz w:val="17"/>
              </w:rPr>
              <w:t>Software, internet and data processing support</w:t>
            </w:r>
          </w:p>
        </w:tc>
        <w:tc>
          <w:tcPr>
            <w:tcW w:type="dxa" w:w="1600"/>
            <w:vAlign w:val="center"/>
          </w:tcPr>
          <w:p>
            <w:pPr>
              <w:keepNext w:val="0"/>
              <w:spacing w:before="0" w:after="0" w:line="276" w:lineRule="auto"/>
              <w:jc w:val="center"/>
            </w:pPr>
            <w:r/>
            <w:r>
              <w:rPr>
                <w:rFonts w:ascii="Times New Roman" w:hAnsi="Times New Roman"/>
                <w:b w:val="0"/>
                <w:color w:val="000000"/>
                <w:sz w:val="17"/>
              </w:rPr>
              <w:t>70,000</w:t>
            </w:r>
          </w:p>
        </w:tc>
        <w:tc>
          <w:tcPr>
            <w:tcW w:type="dxa" w:w="3860"/>
            <w:vAlign w:val="center"/>
          </w:tcPr>
          <w:p>
            <w:pPr>
              <w:keepNext w:val="0"/>
              <w:spacing w:before="0" w:after="0" w:line="276" w:lineRule="auto"/>
              <w:jc w:val="left"/>
            </w:pPr>
            <w:r/>
            <w:r>
              <w:rPr>
                <w:rFonts w:ascii="Times New Roman" w:hAnsi="Times New Roman"/>
                <w:b w:val="0"/>
                <w:color w:val="000000"/>
                <w:sz w:val="17"/>
              </w:rPr>
              <w:t>GIS/data handling, dashboard testing and cloud/API support</w:t>
            </w:r>
          </w:p>
        </w:tc>
      </w:tr>
      <w:tr>
        <w:tc>
          <w:tcPr>
            <w:tcW w:type="dxa" w:w="650"/>
            <w:vAlign w:val="center"/>
          </w:tcPr>
          <w:p>
            <w:pPr>
              <w:keepNext w:val="0"/>
              <w:spacing w:before="0" w:after="0" w:line="276" w:lineRule="auto"/>
              <w:jc w:val="center"/>
            </w:pPr>
            <w:r/>
            <w:r>
              <w:rPr>
                <w:rFonts w:ascii="Times New Roman" w:hAnsi="Times New Roman"/>
                <w:b w:val="0"/>
                <w:color w:val="000000"/>
                <w:sz w:val="17"/>
              </w:rPr>
              <w:t>4</w:t>
            </w:r>
          </w:p>
        </w:tc>
        <w:tc>
          <w:tcPr>
            <w:tcW w:type="dxa" w:w="3250"/>
            <w:vAlign w:val="center"/>
          </w:tcPr>
          <w:p>
            <w:pPr>
              <w:keepNext w:val="0"/>
              <w:spacing w:before="0" w:after="0" w:line="276" w:lineRule="auto"/>
              <w:jc w:val="left"/>
            </w:pPr>
            <w:r/>
            <w:r>
              <w:rPr>
                <w:rFonts w:ascii="Times New Roman" w:hAnsi="Times New Roman"/>
                <w:b w:val="0"/>
                <w:color w:val="000000"/>
                <w:sz w:val="17"/>
              </w:rPr>
              <w:t>Printing, photocopying and binding</w:t>
            </w:r>
          </w:p>
        </w:tc>
        <w:tc>
          <w:tcPr>
            <w:tcW w:type="dxa" w:w="1600"/>
            <w:vAlign w:val="center"/>
          </w:tcPr>
          <w:p>
            <w:pPr>
              <w:keepNext w:val="0"/>
              <w:spacing w:before="0" w:after="0" w:line="276" w:lineRule="auto"/>
              <w:jc w:val="center"/>
            </w:pPr>
            <w:r/>
            <w:r>
              <w:rPr>
                <w:rFonts w:ascii="Times New Roman" w:hAnsi="Times New Roman"/>
                <w:b w:val="0"/>
                <w:color w:val="000000"/>
                <w:sz w:val="17"/>
              </w:rPr>
              <w:t>45,000</w:t>
            </w:r>
          </w:p>
        </w:tc>
        <w:tc>
          <w:tcPr>
            <w:tcW w:type="dxa" w:w="3860"/>
            <w:vAlign w:val="center"/>
          </w:tcPr>
          <w:p>
            <w:pPr>
              <w:keepNext w:val="0"/>
              <w:spacing w:before="0" w:after="0" w:line="276" w:lineRule="auto"/>
              <w:jc w:val="left"/>
            </w:pPr>
            <w:r/>
            <w:r>
              <w:rPr>
                <w:rFonts w:ascii="Times New Roman" w:hAnsi="Times New Roman"/>
                <w:b w:val="0"/>
                <w:color w:val="000000"/>
                <w:sz w:val="17"/>
              </w:rPr>
              <w:t>Proposal, draft report, final report and defense copies</w:t>
            </w:r>
          </w:p>
        </w:tc>
      </w:tr>
      <w:tr>
        <w:tc>
          <w:tcPr>
            <w:tcW w:type="dxa" w:w="650"/>
            <w:vAlign w:val="center"/>
          </w:tcPr>
          <w:p>
            <w:pPr>
              <w:keepNext w:val="0"/>
              <w:spacing w:before="0" w:after="0" w:line="276" w:lineRule="auto"/>
              <w:jc w:val="center"/>
            </w:pPr>
            <w:r/>
            <w:r>
              <w:rPr>
                <w:rFonts w:ascii="Times New Roman" w:hAnsi="Times New Roman"/>
                <w:b w:val="0"/>
                <w:color w:val="000000"/>
                <w:sz w:val="17"/>
              </w:rPr>
              <w:t>5</w:t>
            </w:r>
          </w:p>
        </w:tc>
        <w:tc>
          <w:tcPr>
            <w:tcW w:type="dxa" w:w="3250"/>
            <w:vAlign w:val="center"/>
          </w:tcPr>
          <w:p>
            <w:pPr>
              <w:keepNext w:val="0"/>
              <w:spacing w:before="0" w:after="0" w:line="276" w:lineRule="auto"/>
              <w:jc w:val="left"/>
            </w:pPr>
            <w:r/>
            <w:r>
              <w:rPr>
                <w:rFonts w:ascii="Times New Roman" w:hAnsi="Times New Roman"/>
                <w:b w:val="0"/>
                <w:color w:val="000000"/>
                <w:sz w:val="17"/>
              </w:rPr>
              <w:t>Research assistance and field logistics</w:t>
            </w:r>
          </w:p>
        </w:tc>
        <w:tc>
          <w:tcPr>
            <w:tcW w:type="dxa" w:w="1600"/>
            <w:vAlign w:val="center"/>
          </w:tcPr>
          <w:p>
            <w:pPr>
              <w:keepNext w:val="0"/>
              <w:spacing w:before="0" w:after="0" w:line="276" w:lineRule="auto"/>
              <w:jc w:val="center"/>
            </w:pPr>
            <w:r/>
            <w:r>
              <w:rPr>
                <w:rFonts w:ascii="Times New Roman" w:hAnsi="Times New Roman"/>
                <w:b w:val="0"/>
                <w:color w:val="000000"/>
                <w:sz w:val="17"/>
              </w:rPr>
              <w:t>65,000</w:t>
            </w:r>
          </w:p>
        </w:tc>
        <w:tc>
          <w:tcPr>
            <w:tcW w:type="dxa" w:w="3860"/>
            <w:vAlign w:val="center"/>
          </w:tcPr>
          <w:p>
            <w:pPr>
              <w:keepNext w:val="0"/>
              <w:spacing w:before="0" w:after="0" w:line="276" w:lineRule="auto"/>
              <w:jc w:val="left"/>
            </w:pPr>
            <w:r/>
            <w:r>
              <w:rPr>
                <w:rFonts w:ascii="Times New Roman" w:hAnsi="Times New Roman"/>
                <w:b w:val="0"/>
                <w:color w:val="000000"/>
                <w:sz w:val="17"/>
              </w:rPr>
              <w:t>Local guide, field support and contingency movements</w:t>
            </w:r>
          </w:p>
        </w:tc>
      </w:tr>
      <w:tr>
        <w:tc>
          <w:tcPr>
            <w:tcW w:type="dxa" w:w="650"/>
            <w:vAlign w:val="center"/>
          </w:tcPr>
          <w:p>
            <w:pPr>
              <w:keepNext w:val="0"/>
              <w:spacing w:before="0" w:after="0" w:line="276" w:lineRule="auto"/>
              <w:jc w:val="center"/>
            </w:pPr>
            <w:r/>
            <w:r>
              <w:rPr>
                <w:rFonts w:ascii="Times New Roman" w:hAnsi="Times New Roman"/>
                <w:b w:val="0"/>
                <w:color w:val="000000"/>
                <w:sz w:val="17"/>
              </w:rPr>
              <w:t>6</w:t>
            </w:r>
          </w:p>
        </w:tc>
        <w:tc>
          <w:tcPr>
            <w:tcW w:type="dxa" w:w="3250"/>
            <w:vAlign w:val="center"/>
          </w:tcPr>
          <w:p>
            <w:pPr>
              <w:keepNext w:val="0"/>
              <w:spacing w:before="0" w:after="0" w:line="276" w:lineRule="auto"/>
              <w:jc w:val="left"/>
            </w:pPr>
            <w:r/>
            <w:r>
              <w:rPr>
                <w:rFonts w:ascii="Times New Roman" w:hAnsi="Times New Roman"/>
                <w:b w:val="0"/>
                <w:color w:val="000000"/>
                <w:sz w:val="17"/>
              </w:rPr>
              <w:t>Miscellaneous/contingency</w:t>
            </w:r>
          </w:p>
        </w:tc>
        <w:tc>
          <w:tcPr>
            <w:tcW w:type="dxa" w:w="1600"/>
            <w:vAlign w:val="center"/>
          </w:tcPr>
          <w:p>
            <w:pPr>
              <w:keepNext w:val="0"/>
              <w:spacing w:before="0" w:after="0" w:line="276" w:lineRule="auto"/>
              <w:jc w:val="center"/>
            </w:pPr>
            <w:r/>
            <w:r>
              <w:rPr>
                <w:rFonts w:ascii="Times New Roman" w:hAnsi="Times New Roman"/>
                <w:b w:val="0"/>
                <w:color w:val="000000"/>
                <w:sz w:val="17"/>
              </w:rPr>
              <w:t>40,000</w:t>
            </w:r>
          </w:p>
        </w:tc>
        <w:tc>
          <w:tcPr>
            <w:tcW w:type="dxa" w:w="3860"/>
            <w:vAlign w:val="center"/>
          </w:tcPr>
          <w:p>
            <w:pPr>
              <w:keepNext w:val="0"/>
              <w:spacing w:before="0" w:after="0" w:line="276" w:lineRule="auto"/>
              <w:jc w:val="left"/>
            </w:pPr>
            <w:r/>
            <w:r>
              <w:rPr>
                <w:rFonts w:ascii="Times New Roman" w:hAnsi="Times New Roman"/>
                <w:b w:val="0"/>
                <w:color w:val="000000"/>
                <w:sz w:val="17"/>
              </w:rPr>
              <w:t>Unexpected field, communication or data costs</w:t>
            </w:r>
          </w:p>
        </w:tc>
      </w:tr>
      <w:tr>
        <w:tc>
          <w:tcPr>
            <w:tcW w:type="dxa" w:w="650"/>
            <w:vAlign w:val="center"/>
          </w:tcPr>
          <w:p>
            <w:pPr>
              <w:keepNext w:val="0"/>
              <w:spacing w:before="0" w:after="0" w:line="276" w:lineRule="auto"/>
              <w:jc w:val="center"/>
            </w:pPr>
            <w:r/>
            <w:r>
              <w:rPr>
                <w:rFonts w:ascii="Times New Roman" w:hAnsi="Times New Roman"/>
                <w:b w:val="0"/>
                <w:color w:val="000000"/>
                <w:sz w:val="17"/>
              </w:rPr>
            </w:r>
          </w:p>
        </w:tc>
        <w:tc>
          <w:tcPr>
            <w:tcW w:type="dxa" w:w="3250"/>
            <w:vAlign w:val="center"/>
          </w:tcPr>
          <w:p>
            <w:pPr>
              <w:keepNext w:val="0"/>
              <w:spacing w:before="0" w:after="0" w:line="276" w:lineRule="auto"/>
              <w:jc w:val="left"/>
            </w:pPr>
            <w:r/>
            <w:r>
              <w:rPr>
                <w:rFonts w:ascii="Times New Roman" w:hAnsi="Times New Roman"/>
                <w:b w:val="0"/>
                <w:color w:val="000000"/>
                <w:sz w:val="17"/>
              </w:rPr>
              <w:t>Total Estimated Budget</w:t>
            </w:r>
          </w:p>
        </w:tc>
        <w:tc>
          <w:tcPr>
            <w:tcW w:type="dxa" w:w="1600"/>
            <w:vAlign w:val="center"/>
          </w:tcPr>
          <w:p>
            <w:pPr>
              <w:keepNext w:val="0"/>
              <w:spacing w:before="0" w:after="0" w:line="276" w:lineRule="auto"/>
              <w:jc w:val="center"/>
            </w:pPr>
            <w:r/>
            <w:r>
              <w:rPr>
                <w:rFonts w:ascii="Times New Roman" w:hAnsi="Times New Roman"/>
                <w:b w:val="0"/>
                <w:color w:val="000000"/>
                <w:sz w:val="17"/>
              </w:rPr>
              <w:t>400,000</w:t>
            </w:r>
          </w:p>
        </w:tc>
        <w:tc>
          <w:tcPr>
            <w:tcW w:type="dxa" w:w="3860"/>
            <w:vAlign w:val="center"/>
          </w:tcPr>
          <w:p>
            <w:pPr>
              <w:keepNext w:val="0"/>
              <w:spacing w:before="0" w:after="0" w:line="276" w:lineRule="auto"/>
              <w:jc w:val="left"/>
            </w:pPr>
            <w:r/>
            <w:r>
              <w:rPr>
                <w:rFonts w:ascii="Times New Roman" w:hAnsi="Times New Roman"/>
                <w:b w:val="0"/>
                <w:color w:val="000000"/>
                <w:sz w:val="17"/>
              </w:rPr>
              <w:t>Potential sources: personal funding, department support and industry sponsor</w:t>
            </w:r>
          </w:p>
        </w:tc>
      </w:tr>
    </w:tbl>
    <w:p>
      <w:pPr>
        <w:keepNext w:val="0"/>
        <w:spacing w:before="0" w:after="80" w:line="240" w:lineRule="auto"/>
      </w:pPr>
    </w:p>
    <w:p>
      <w:pPr>
        <w:pStyle w:val="Heading1"/>
      </w:pPr>
      <w:r>
        <w:t>8.0 Appendices</w:t>
      </w:r>
    </w:p>
    <w:p>
      <w:pPr>
        <w:pStyle w:val="Heading2"/>
      </w:pPr>
      <w:r>
        <w:t>Appendix A: Preliminary Data Checklist</w:t>
      </w:r>
    </w:p>
    <w:tbl>
      <w:tblPr>
        <w:tblW w:type="dxa" w:w="9360"/>
        <w:jc w:val="left"/>
        <w:tblLayout w:type="fixed"/>
        <w:tblLook w:firstColumn="1" w:firstRow="1" w:lastColumn="0" w:lastRow="0" w:noHBand="0" w:noVBand="1" w:val="04A0"/>
        <w:tblInd w:type="dxa" w:w="120"/>
        <w:tblBorders>
          <w:top w:val="single" w:sz="4" w:space="0" w:color="9AA7B4"/>
          <w:left w:val="single" w:sz="4" w:space="0" w:color="9AA7B4"/>
          <w:bottom w:val="single" w:sz="4" w:space="0" w:color="9AA7B4"/>
          <w:right w:val="single" w:sz="4" w:space="0" w:color="9AA7B4"/>
          <w:insideH w:val="single" w:sz="4" w:space="0" w:color="9AA7B4"/>
          <w:insideV w:val="single" w:sz="4" w:space="0" w:color="9AA7B4"/>
        </w:tblBorders>
        <w:tblCellMar>
          <w:top w:w="100" w:type="dxa"/>
          <w:bottom w:w="100" w:type="dxa"/>
          <w:start w:w="120" w:type="dxa"/>
          <w:end w:w="120" w:type="dxa"/>
        </w:tblCellMar>
      </w:tblPr>
      <w:tblGrid>
        <w:gridCol w:w="2200"/>
        <w:gridCol w:w="4300"/>
        <w:gridCol w:w="2860"/>
      </w:tblGrid>
      <w:tr>
        <w:trPr>
          <w:tblHeader w:val="true"/>
        </w:trPr>
        <w:tc>
          <w:tcPr>
            <w:tcW w:type="dxa" w:w="2200"/>
            <w:shd w:fill="E8EEF5"/>
            <w:vAlign w:val="center"/>
          </w:tcPr>
          <w:p>
            <w:pPr>
              <w:keepNext w:val="0"/>
              <w:spacing w:before="0" w:after="0" w:line="264" w:lineRule="auto"/>
              <w:jc w:val="center"/>
            </w:pPr>
            <w:r/>
            <w:r>
              <w:rPr>
                <w:rFonts w:ascii="Times New Roman" w:hAnsi="Times New Roman"/>
                <w:b/>
                <w:color w:val="000000"/>
                <w:sz w:val="18"/>
              </w:rPr>
              <w:t>Data Item</w:t>
            </w:r>
          </w:p>
        </w:tc>
        <w:tc>
          <w:tcPr>
            <w:tcW w:type="dxa" w:w="4300"/>
            <w:shd w:fill="E8EEF5"/>
            <w:vAlign w:val="center"/>
          </w:tcPr>
          <w:p>
            <w:pPr>
              <w:keepNext w:val="0"/>
              <w:spacing w:before="0" w:after="0" w:line="264" w:lineRule="auto"/>
              <w:jc w:val="center"/>
            </w:pPr>
            <w:r/>
            <w:r>
              <w:rPr>
                <w:rFonts w:ascii="Times New Roman" w:hAnsi="Times New Roman"/>
                <w:b/>
                <w:color w:val="000000"/>
                <w:sz w:val="18"/>
              </w:rPr>
              <w:t>Description</w:t>
            </w:r>
          </w:p>
        </w:tc>
        <w:tc>
          <w:tcPr>
            <w:tcW w:type="dxa" w:w="2860"/>
            <w:shd w:fill="E8EEF5"/>
            <w:vAlign w:val="center"/>
          </w:tcPr>
          <w:p>
            <w:pPr>
              <w:keepNext w:val="0"/>
              <w:spacing w:before="0" w:after="0" w:line="264" w:lineRule="auto"/>
              <w:jc w:val="center"/>
            </w:pPr>
            <w:r/>
            <w:r>
              <w:rPr>
                <w:rFonts w:ascii="Times New Roman" w:hAnsi="Times New Roman"/>
                <w:b/>
                <w:color w:val="000000"/>
                <w:sz w:val="18"/>
              </w:rPr>
              <w:t>Status</w:t>
            </w:r>
          </w:p>
        </w:tc>
      </w:tr>
      <w:tr>
        <w:tc>
          <w:tcPr>
            <w:tcW w:type="dxa" w:w="2200"/>
            <w:vAlign w:val="center"/>
          </w:tcPr>
          <w:p>
            <w:pPr>
              <w:keepNext w:val="0"/>
              <w:spacing w:before="0" w:after="0" w:line="276" w:lineRule="auto"/>
              <w:jc w:val="left"/>
            </w:pPr>
            <w:r/>
            <w:r>
              <w:rPr>
                <w:rFonts w:ascii="Times New Roman" w:hAnsi="Times New Roman"/>
                <w:b w:val="0"/>
                <w:color w:val="000000"/>
                <w:sz w:val="18"/>
              </w:rPr>
              <w:t>Radiometric grids</w:t>
            </w:r>
          </w:p>
        </w:tc>
        <w:tc>
          <w:tcPr>
            <w:tcW w:type="dxa" w:w="4300"/>
            <w:vAlign w:val="center"/>
          </w:tcPr>
          <w:p>
            <w:pPr>
              <w:keepNext w:val="0"/>
              <w:spacing w:before="0" w:after="0" w:line="276" w:lineRule="auto"/>
              <w:jc w:val="left"/>
            </w:pPr>
            <w:r/>
            <w:r>
              <w:rPr>
                <w:rFonts w:ascii="Times New Roman" w:hAnsi="Times New Roman"/>
                <w:b w:val="0"/>
                <w:color w:val="000000"/>
                <w:sz w:val="18"/>
              </w:rPr>
              <w:t>K, Th and U files plus XML metadata</w:t>
            </w:r>
          </w:p>
        </w:tc>
        <w:tc>
          <w:tcPr>
            <w:tcW w:type="dxa" w:w="2860"/>
            <w:vAlign w:val="center"/>
          </w:tcPr>
          <w:p>
            <w:pPr>
              <w:keepNext w:val="0"/>
              <w:spacing w:before="0" w:after="0" w:line="276" w:lineRule="auto"/>
              <w:jc w:val="left"/>
            </w:pPr>
            <w:r/>
            <w:r>
              <w:rPr>
                <w:rFonts w:ascii="Times New Roman" w:hAnsi="Times New Roman"/>
                <w:b w:val="0"/>
                <w:color w:val="000000"/>
                <w:sz w:val="18"/>
              </w:rPr>
              <w:t>Available in repository</w:t>
            </w:r>
          </w:p>
        </w:tc>
      </w:tr>
      <w:tr>
        <w:tc>
          <w:tcPr>
            <w:tcW w:type="dxa" w:w="2200"/>
            <w:vAlign w:val="center"/>
          </w:tcPr>
          <w:p>
            <w:pPr>
              <w:keepNext w:val="0"/>
              <w:spacing w:before="0" w:after="0" w:line="276" w:lineRule="auto"/>
              <w:jc w:val="left"/>
            </w:pPr>
            <w:r/>
            <w:r>
              <w:rPr>
                <w:rFonts w:ascii="Times New Roman" w:hAnsi="Times New Roman"/>
                <w:b w:val="0"/>
                <w:color w:val="000000"/>
                <w:sz w:val="18"/>
              </w:rPr>
              <w:t>Geological map</w:t>
            </w:r>
          </w:p>
        </w:tc>
        <w:tc>
          <w:tcPr>
            <w:tcW w:type="dxa" w:w="4300"/>
            <w:vAlign w:val="center"/>
          </w:tcPr>
          <w:p>
            <w:pPr>
              <w:keepNext w:val="0"/>
              <w:spacing w:before="0" w:after="0" w:line="276" w:lineRule="auto"/>
              <w:jc w:val="left"/>
            </w:pPr>
            <w:r/>
            <w:r>
              <w:rPr>
                <w:rFonts w:ascii="Times New Roman" w:hAnsi="Times New Roman"/>
                <w:b w:val="0"/>
                <w:color w:val="000000"/>
                <w:sz w:val="18"/>
              </w:rPr>
              <w:t>Lithology and structural features</w:t>
            </w:r>
          </w:p>
        </w:tc>
        <w:tc>
          <w:tcPr>
            <w:tcW w:type="dxa" w:w="2860"/>
            <w:vAlign w:val="center"/>
          </w:tcPr>
          <w:p>
            <w:pPr>
              <w:keepNext w:val="0"/>
              <w:spacing w:before="0" w:after="0" w:line="276" w:lineRule="auto"/>
              <w:jc w:val="left"/>
            </w:pPr>
            <w:r/>
            <w:r>
              <w:rPr>
                <w:rFonts w:ascii="Times New Roman" w:hAnsi="Times New Roman"/>
                <w:b w:val="0"/>
                <w:color w:val="000000"/>
                <w:sz w:val="18"/>
              </w:rPr>
              <w:t>To be obtained/confirmed</w:t>
            </w:r>
          </w:p>
        </w:tc>
      </w:tr>
      <w:tr>
        <w:tc>
          <w:tcPr>
            <w:tcW w:type="dxa" w:w="2200"/>
            <w:vAlign w:val="center"/>
          </w:tcPr>
          <w:p>
            <w:pPr>
              <w:keepNext w:val="0"/>
              <w:spacing w:before="0" w:after="0" w:line="276" w:lineRule="auto"/>
              <w:jc w:val="center"/>
            </w:pPr>
            <w:r/>
            <w:r>
              <w:rPr>
                <w:rFonts w:ascii="Times New Roman" w:hAnsi="Times New Roman"/>
                <w:b w:val="0"/>
                <w:color w:val="000000"/>
                <w:sz w:val="18"/>
              </w:rPr>
              <w:t>DEM layer</w:t>
            </w:r>
          </w:p>
        </w:tc>
        <w:tc>
          <w:tcPr>
            <w:tcW w:type="dxa" w:w="4300"/>
            <w:vAlign w:val="center"/>
          </w:tcPr>
          <w:p>
            <w:pPr>
              <w:keepNext w:val="0"/>
              <w:spacing w:before="0" w:after="0" w:line="276" w:lineRule="auto"/>
              <w:jc w:val="left"/>
            </w:pPr>
            <w:r/>
            <w:r>
              <w:rPr>
                <w:rFonts w:ascii="Times New Roman" w:hAnsi="Times New Roman"/>
                <w:b w:val="0"/>
                <w:color w:val="000000"/>
                <w:sz w:val="18"/>
              </w:rPr>
              <w:t>Elevation, slope and aspect</w:t>
            </w:r>
          </w:p>
        </w:tc>
        <w:tc>
          <w:tcPr>
            <w:tcW w:type="dxa" w:w="2860"/>
            <w:vAlign w:val="center"/>
          </w:tcPr>
          <w:p>
            <w:pPr>
              <w:keepNext w:val="0"/>
              <w:spacing w:before="0" w:after="0" w:line="276" w:lineRule="auto"/>
              <w:jc w:val="left"/>
            </w:pPr>
            <w:r/>
            <w:r>
              <w:rPr>
                <w:rFonts w:ascii="Times New Roman" w:hAnsi="Times New Roman"/>
                <w:b w:val="0"/>
                <w:color w:val="000000"/>
                <w:sz w:val="18"/>
              </w:rPr>
              <w:t>To be downloaded from open geospatial source</w:t>
            </w:r>
          </w:p>
        </w:tc>
      </w:tr>
      <w:tr>
        <w:tc>
          <w:tcPr>
            <w:tcW w:type="dxa" w:w="2200"/>
            <w:vAlign w:val="center"/>
          </w:tcPr>
          <w:p>
            <w:pPr>
              <w:keepNext w:val="0"/>
              <w:spacing w:before="0" w:after="0" w:line="276" w:lineRule="auto"/>
              <w:jc w:val="left"/>
            </w:pPr>
            <w:r/>
            <w:r>
              <w:rPr>
                <w:rFonts w:ascii="Times New Roman" w:hAnsi="Times New Roman"/>
                <w:b w:val="0"/>
                <w:color w:val="000000"/>
                <w:sz w:val="18"/>
              </w:rPr>
              <w:t>Field samples</w:t>
            </w:r>
          </w:p>
        </w:tc>
        <w:tc>
          <w:tcPr>
            <w:tcW w:type="dxa" w:w="4300"/>
            <w:vAlign w:val="center"/>
          </w:tcPr>
          <w:p>
            <w:pPr>
              <w:keepNext w:val="0"/>
              <w:spacing w:before="0" w:after="0" w:line="276" w:lineRule="auto"/>
              <w:jc w:val="left"/>
            </w:pPr>
            <w:r/>
            <w:r>
              <w:rPr>
                <w:rFonts w:ascii="Times New Roman" w:hAnsi="Times New Roman"/>
                <w:b w:val="0"/>
                <w:color w:val="000000"/>
                <w:sz w:val="18"/>
              </w:rPr>
              <w:t>Rock/soil/tailings samples with GPS coordinates</w:t>
            </w:r>
          </w:p>
        </w:tc>
        <w:tc>
          <w:tcPr>
            <w:tcW w:type="dxa" w:w="2860"/>
            <w:vAlign w:val="center"/>
          </w:tcPr>
          <w:p>
            <w:pPr>
              <w:keepNext w:val="0"/>
              <w:spacing w:before="0" w:after="0" w:line="276" w:lineRule="auto"/>
              <w:jc w:val="left"/>
            </w:pPr>
            <w:r/>
            <w:r>
              <w:rPr>
                <w:rFonts w:ascii="Times New Roman" w:hAnsi="Times New Roman"/>
                <w:b w:val="0"/>
                <w:color w:val="000000"/>
                <w:sz w:val="18"/>
              </w:rPr>
              <w:t>To be collected after approval</w:t>
            </w:r>
          </w:p>
        </w:tc>
      </w:tr>
      <w:tr>
        <w:tc>
          <w:tcPr>
            <w:tcW w:type="dxa" w:w="2200"/>
            <w:vAlign w:val="center"/>
          </w:tcPr>
          <w:p>
            <w:pPr>
              <w:keepNext w:val="0"/>
              <w:spacing w:before="0" w:after="0" w:line="276" w:lineRule="auto"/>
              <w:jc w:val="left"/>
            </w:pPr>
            <w:r/>
            <w:r>
              <w:rPr>
                <w:rFonts w:ascii="Times New Roman" w:hAnsi="Times New Roman"/>
                <w:b w:val="0"/>
                <w:color w:val="000000"/>
                <w:sz w:val="18"/>
              </w:rPr>
              <w:t>Laboratory assays</w:t>
            </w:r>
          </w:p>
        </w:tc>
        <w:tc>
          <w:tcPr>
            <w:tcW w:type="dxa" w:w="4300"/>
            <w:vAlign w:val="center"/>
          </w:tcPr>
          <w:p>
            <w:pPr>
              <w:keepNext w:val="0"/>
              <w:spacing w:before="0" w:after="0" w:line="276" w:lineRule="auto"/>
              <w:jc w:val="left"/>
            </w:pPr>
            <w:r/>
            <w:r>
              <w:rPr>
                <w:rFonts w:ascii="Times New Roman" w:hAnsi="Times New Roman"/>
                <w:b w:val="0"/>
                <w:color w:val="000000"/>
                <w:sz w:val="18"/>
              </w:rPr>
              <w:t>Tin and selected pathfinder elements</w:t>
            </w:r>
          </w:p>
        </w:tc>
        <w:tc>
          <w:tcPr>
            <w:tcW w:type="dxa" w:w="2860"/>
            <w:vAlign w:val="center"/>
          </w:tcPr>
          <w:p>
            <w:pPr>
              <w:keepNext w:val="0"/>
              <w:spacing w:before="0" w:after="0" w:line="276" w:lineRule="auto"/>
              <w:jc w:val="left"/>
            </w:pPr>
            <w:r/>
            <w:r>
              <w:rPr>
                <w:rFonts w:ascii="Times New Roman" w:hAnsi="Times New Roman"/>
                <w:b w:val="0"/>
                <w:color w:val="000000"/>
                <w:sz w:val="18"/>
              </w:rPr>
              <w:t>Subject to laboratory access and budget</w:t>
            </w:r>
          </w:p>
        </w:tc>
      </w:tr>
      <w:tr>
        <w:tc>
          <w:tcPr>
            <w:tcW w:type="dxa" w:w="2200"/>
            <w:vAlign w:val="center"/>
          </w:tcPr>
          <w:p>
            <w:pPr>
              <w:keepNext w:val="0"/>
              <w:spacing w:before="0" w:after="0" w:line="276" w:lineRule="auto"/>
              <w:jc w:val="left"/>
            </w:pPr>
            <w:r/>
            <w:r>
              <w:rPr>
                <w:rFonts w:ascii="Times New Roman" w:hAnsi="Times New Roman"/>
                <w:b w:val="0"/>
                <w:color w:val="000000"/>
                <w:sz w:val="18"/>
              </w:rPr>
              <w:t>Dashboard source code</w:t>
            </w:r>
          </w:p>
        </w:tc>
        <w:tc>
          <w:tcPr>
            <w:tcW w:type="dxa" w:w="4300"/>
            <w:vAlign w:val="center"/>
          </w:tcPr>
          <w:p>
            <w:pPr>
              <w:keepNext w:val="0"/>
              <w:spacing w:before="0" w:after="0" w:line="276" w:lineRule="auto"/>
              <w:jc w:val="left"/>
            </w:pPr>
            <w:r/>
            <w:r>
              <w:rPr>
                <w:rFonts w:ascii="Times New Roman" w:hAnsi="Times New Roman"/>
                <w:b w:val="0"/>
                <w:color w:val="000000"/>
                <w:sz w:val="18"/>
              </w:rPr>
              <w:t>Next.js/React application for visualization</w:t>
            </w:r>
          </w:p>
        </w:tc>
        <w:tc>
          <w:tcPr>
            <w:tcW w:type="dxa" w:w="2860"/>
            <w:vAlign w:val="center"/>
          </w:tcPr>
          <w:p>
            <w:pPr>
              <w:keepNext w:val="0"/>
              <w:spacing w:before="0" w:after="0" w:line="276" w:lineRule="auto"/>
              <w:jc w:val="left"/>
            </w:pPr>
            <w:r/>
            <w:r>
              <w:rPr>
                <w:rFonts w:ascii="Times New Roman" w:hAnsi="Times New Roman"/>
                <w:b w:val="0"/>
                <w:color w:val="000000"/>
                <w:sz w:val="18"/>
              </w:rPr>
              <w:t>Available in repository</w:t>
            </w:r>
          </w:p>
        </w:tc>
      </w:tr>
    </w:tbl>
    <w:p>
      <w:pPr>
        <w:keepNext w:val="0"/>
        <w:spacing w:before="0" w:after="80" w:line="240" w:lineRule="auto"/>
      </w:pPr>
    </w:p>
    <w:p>
      <w:pPr>
        <w:pStyle w:val="Heading2"/>
      </w:pPr>
      <w:r>
        <w:t>Appendix B: Preliminary Field Safety Checklist</w:t>
      </w:r>
    </w:p>
    <w:p>
      <w:pPr>
        <w:pStyle w:val="ListBullet"/>
        <w:jc w:val="both"/>
      </w:pPr>
      <w:r>
        <w:t>Supervisor approval and field itinerary confirmed before departure.</w:t>
      </w:r>
    </w:p>
    <w:p>
      <w:pPr>
        <w:pStyle w:val="ListBullet"/>
        <w:jc w:val="both"/>
      </w:pPr>
      <w:r>
        <w:t>Community/site permission obtained before entering any mining or private area.</w:t>
      </w:r>
    </w:p>
    <w:p>
      <w:pPr>
        <w:pStyle w:val="ListBullet"/>
        <w:jc w:val="both"/>
      </w:pPr>
      <w:r>
        <w:t>PPE available: helmet, boots, gloves, reflective vest and first-aid kit.</w:t>
      </w:r>
    </w:p>
    <w:p>
      <w:pPr>
        <w:pStyle w:val="ListBullet"/>
        <w:jc w:val="both"/>
      </w:pPr>
      <w:r>
        <w:t>No entry into unstable pits, flooded excavations or unsupported mine faces.</w:t>
      </w:r>
    </w:p>
    <w:p>
      <w:pPr>
        <w:pStyle w:val="ListBullet"/>
        <w:jc w:val="both"/>
      </w:pPr>
      <w:r>
        <w:t>GPS, phone, power bank, sample bags, labels and field notebook checked.</w:t>
      </w:r>
    </w:p>
    <w:p>
      <w:pPr>
        <w:pStyle w:val="ListBullet"/>
        <w:jc w:val="both"/>
      </w:pPr>
      <w:r>
        <w:t>Weather, transport and security conditions reviewed before each visit.</w:t>
      </w:r>
    </w:p>
    <w:p>
      <w:r>
        <w:br w:type="page"/>
      </w:r>
    </w:p>
    <w:p>
      <w:pPr>
        <w:pStyle w:val="Heading1"/>
      </w:pPr>
      <w:r>
        <w:t>Approval (For Department Use Only)</w:t>
      </w:r>
    </w:p>
    <w:p>
      <w:pPr>
        <w:keepNext w:val="0"/>
        <w:spacing w:before="0" w:after="320" w:line="288" w:lineRule="auto"/>
      </w:pPr>
      <w:r>
        <w:rPr>
          <w:rFonts w:ascii="Times New Roman" w:hAnsi="Times New Roman"/>
          <w:b/>
          <w:i w:val="0"/>
          <w:color w:val="000000"/>
          <w:sz w:val="24"/>
        </w:rPr>
        <w:t>Recommendation by Supervisor:</w:t>
      </w:r>
    </w:p>
    <w:p>
      <w:pPr>
        <w:keepNext w:val="0"/>
        <w:spacing w:before="0" w:after="160" w:line="240" w:lineRule="auto"/>
      </w:pPr>
      <w:r>
        <w:rPr>
          <w:rFonts w:ascii="Times New Roman" w:hAnsi="Times New Roman"/>
          <w:b w:val="0"/>
          <w:i w:val="0"/>
          <w:color w:val="000000"/>
          <w:sz w:val="24"/>
        </w:rPr>
        <w:t>______________________________________________________________________________</w:t>
      </w:r>
    </w:p>
    <w:p>
      <w:pPr>
        <w:keepNext w:val="0"/>
        <w:spacing w:before="0" w:after="160" w:line="240" w:lineRule="auto"/>
      </w:pPr>
      <w:r>
        <w:rPr>
          <w:rFonts w:ascii="Times New Roman" w:hAnsi="Times New Roman"/>
          <w:b w:val="0"/>
          <w:i w:val="0"/>
          <w:color w:val="000000"/>
          <w:sz w:val="24"/>
        </w:rPr>
        <w:t>______________________________________________________________________________</w:t>
      </w:r>
    </w:p>
    <w:p>
      <w:pPr>
        <w:keepNext w:val="0"/>
        <w:spacing w:before="0" w:after="160" w:line="240" w:lineRule="auto"/>
      </w:pPr>
      <w:r>
        <w:rPr>
          <w:rFonts w:ascii="Times New Roman" w:hAnsi="Times New Roman"/>
          <w:b w:val="0"/>
          <w:i w:val="0"/>
          <w:color w:val="000000"/>
          <w:sz w:val="24"/>
        </w:rPr>
        <w:t>______________________________________________________________________________</w:t>
      </w:r>
    </w:p>
    <w:p>
      <w:pPr>
        <w:keepNext w:val="0"/>
        <w:spacing w:before="0" w:after="160" w:line="240" w:lineRule="auto"/>
      </w:pPr>
      <w:r>
        <w:rPr>
          <w:rFonts w:ascii="Times New Roman" w:hAnsi="Times New Roman"/>
          <w:b w:val="0"/>
          <w:i w:val="0"/>
          <w:color w:val="000000"/>
          <w:sz w:val="24"/>
        </w:rPr>
        <w:t>______________________________________________________________________________</w:t>
      </w:r>
    </w:p>
    <w:p>
      <w:pPr>
        <w:keepNext w:val="0"/>
        <w:spacing w:before="0" w:after="200" w:line="288" w:lineRule="auto"/>
      </w:pPr>
      <w:r>
        <w:rPr>
          <w:rFonts w:ascii="Times New Roman" w:hAnsi="Times New Roman"/>
          <w:b w:val="0"/>
          <w:i w:val="0"/>
          <w:color w:val="000000"/>
          <w:sz w:val="24"/>
        </w:rPr>
        <w:t>Name: ____________________________________________</w:t>
      </w:r>
    </w:p>
    <w:p>
      <w:pPr>
        <w:keepNext w:val="0"/>
        <w:spacing w:before="0" w:after="360" w:line="288" w:lineRule="auto"/>
      </w:pPr>
      <w:r>
        <w:rPr>
          <w:rFonts w:ascii="Times New Roman" w:hAnsi="Times New Roman"/>
          <w:b w:val="0"/>
          <w:i w:val="0"/>
          <w:color w:val="000000"/>
          <w:sz w:val="24"/>
        </w:rPr>
        <w:t>Signature &amp; Date: _________________________________</w:t>
      </w:r>
    </w:p>
    <w:p>
      <w:pPr>
        <w:keepNext w:val="0"/>
        <w:spacing w:before="0" w:after="0" w:line="300" w:lineRule="auto"/>
      </w:pPr>
      <w:r>
        <w:rPr>
          <w:rFonts w:ascii="Times New Roman" w:hAnsi="Times New Roman"/>
          <w:b/>
          <w:i w:val="0"/>
          <w:color w:val="1F4D78"/>
          <w:sz w:val="22"/>
        </w:rPr>
        <w:t>NB: Kindly note that any report not signed and recommended by the project supervisor will not be accepted for presentation.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
      <w:rPr>
        <w:rFonts w:ascii="Times New Roman" w:hAnsi="Times New Roman"/>
        <w:color w:val="5A5A5A"/>
        <w:sz w:val="18"/>
      </w:rPr>
      <w:t>ARUM ALPHA AJIJI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40" w:line="240" w:lineRule="auto"/>
      <w:pBdr>
        <w:bottom w:val="single" w:sz="4" w:space="4" w:color="D7DBE2"/>
      </w:pBdr>
    </w:pPr>
    <w:r/>
    <w:r>
      <w:rPr>
        <w:rFonts w:ascii="Times New Roman" w:hAnsi="Times New Roman"/>
        <w:b/>
        <w:color w:val="5A5A5A"/>
        <w:sz w:val="18"/>
      </w:rPr>
      <w:t>Project Proposal | Department of Mining Engineering, University of Jos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Times New Roman" w:hAnsi="Times New Roman"/>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Times New Roman" w:hAnsi="Times New Roman"/>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24" w:lineRule="auto"/>
      <w:ind w:left="540" w:hanging="279"/>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24" w:lineRule="auto"/>
      <w:ind w:left="540" w:hanging="279"/>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Ore Grade Prediction for Tin Mineralization in Bukuru, Plateau State</dc:title>
  <dc:subject>Final year project proposal in Mining Engineering</dc:subject>
  <dc:creator>ARUM ALPHA AJIJI</dc:creator>
  <cp:keywords/>
  <dc:description>Generated from local project materials and the departmental proposal format.</dc:description>
  <cp:lastModifiedBy/>
  <cp:revision>1</cp:revision>
  <dcterms:created xsi:type="dcterms:W3CDTF">2013-12-23T23:15:00Z</dcterms:created>
  <dcterms:modified xsi:type="dcterms:W3CDTF">2013-12-23T23:15:00Z</dcterms:modified>
  <cp:category/>
</cp:coreProperties>
</file>