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HaqBot</w:t>
      </w:r>
    </w:p>
    <w:p>
      <w:pPr>
        <w:spacing w:after="60"/>
        <w:jc w:val="center"/>
      </w:pPr>
      <w:r>
        <w:rPr>
          <w:i/>
          <w:iCs/>
          <w:color w:val="595959"/>
          <w:sz w:val="22"/>
          <w:szCs w:val="22"/>
        </w:rPr>
        <w:t xml:space="preserve">Your rights, in your language — offline.</w:t>
      </w:r>
    </w:p>
    <w:p>
      <w:pPr>
        <w:spacing w:after="300"/>
        <w:jc w:val="center"/>
      </w:pPr>
      <w:r>
        <w:rPr>
          <w:b/>
          <w:bCs/>
          <w:sz w:val="26"/>
          <w:szCs w:val="26"/>
        </w:rPr>
        <w:t xml:space="preserve">Responsible AI, Ethics &amp; Privacy Statement</w:t>
      </w:r>
    </w:p>
    <w:p>
      <w:pPr>
        <w:spacing w:after="60"/>
        <w:jc w:val="center"/>
      </w:pPr>
      <w:r>
        <w:rPr>
          <w:color w:val="595959"/>
          <w:sz w:val="20"/>
          <w:szCs w:val="20"/>
        </w:rPr>
        <w:t xml:space="preserve">Intel® AI Global Impact Festival 2026 — AI Changemakers (18+)</w:t>
      </w:r>
    </w:p>
    <w:p>
      <w:pPr>
        <w:spacing w:after="400"/>
        <w:jc w:val="center"/>
      </w:pPr>
      <w:r>
        <w:rPr>
          <w:color w:val="595959"/>
          <w:sz w:val="20"/>
          <w:szCs w:val="20"/>
        </w:rPr>
        <w:t xml:space="preserve">University of Wollongong in Dubai (UOWD) — Big Data &amp; Artificial Intelligence</w:t>
      </w:r>
    </w:p>
    <w:p>
      <w:pPr>
        <w:pBdr>
          <w:bottom w:val="single" w:color="AAAAAA" w:sz="6" w:space="1"/>
        </w:pBdr>
        <w:spacing w:after="200" w:before="100"/>
      </w:pPr>
      <w:r>
        <w:t xml:space="preserve"/>
      </w:r>
    </w:p>
    <w:p>
      <w:pPr>
        <w:pStyle w:val="Heading1"/>
        <w:spacing w:after="160" w:before="320"/>
      </w:pPr>
      <w:r>
        <w:rPr>
          <w:b/>
          <w:bCs/>
          <w:color w:val="1F4E79"/>
          <w:sz w:val="28"/>
          <w:szCs w:val="28"/>
        </w:rPr>
        <w:t xml:space="preserve">Purpose of This Statement</w:t>
      </w:r>
    </w:p>
    <w:p>
      <w:pPr>
        <w:spacing w:after="160" w:line="276"/>
      </w:pPr>
      <w:r>
        <w:rPr>
          <w:sz w:val="22"/>
          <w:szCs w:val="22"/>
        </w:rPr>
        <w:t xml:space="preserve">This document sets out the ethical, privacy, and responsible-AI measures planned for HaqBot at each stage of its lifecycle — planning, development, and deployment. As the project is currently in the planning and pre-development stage, the measures below are presented as committed design decisions and controls that will govern the build, evaluated against recognised industry and regulatory frameworks rather than an after-the-fact audit of a finished system.</w:t>
      </w:r>
    </w:p>
    <w:p>
      <w:pPr>
        <w:pStyle w:val="Heading1"/>
        <w:spacing w:after="160" w:before="320"/>
      </w:pPr>
      <w:r>
        <w:rPr>
          <w:b/>
          <w:bCs/>
          <w:color w:val="1F4E79"/>
          <w:sz w:val="28"/>
          <w:szCs w:val="28"/>
        </w:rPr>
        <w:t xml:space="preserve">1. Planning Stage</w:t>
      </w:r>
    </w:p>
    <w:p>
      <w:pPr>
        <w:pStyle w:val="Heading2"/>
        <w:spacing w:after="120" w:before="240"/>
      </w:pPr>
      <w:r>
        <w:rPr>
          <w:b/>
          <w:bCs/>
          <w:color w:val="1F4E79"/>
          <w:sz w:val="24"/>
          <w:szCs w:val="24"/>
        </w:rPr>
        <w:t xml:space="preserve">1.1 Ethical Framework</w:t>
      </w:r>
    </w:p>
    <w:p>
      <w:pPr>
        <w:spacing w:after="160" w:line="276"/>
      </w:pPr>
      <w:r>
        <w:rPr>
          <w:sz w:val="22"/>
          <w:szCs w:val="22"/>
        </w:rPr>
        <w:t xml:space="preserve">HaqBot's design is grounded in Intel's Responsible AI (RAI) principles, given the project builds on Intel® OpenVINO™ tooling. Intel structures its RAI review around seven pillars: respecting human rights, enabling human oversight, transparency and explainability, security/safety/reliability, privacy by design, equity and inclusion, and environmental responsibility (Intel Corporation, n.d.-a, n.d.-b). Each of these is mapped directly onto a HaqBot design decision:</w:t>
      </w:r>
    </w:p>
    <w:p>
      <w:pPr>
        <w:pStyle w:val="ListParagraph"/>
        <w:numPr>
          <w:ilvl w:val="0"/>
          <w:numId w:val="2"/>
        </w:numPr>
        <w:spacing w:after="100" w:line="276"/>
      </w:pPr>
      <w:r>
        <w:rPr>
          <w:b/>
          <w:bCs/>
          <w:sz w:val="22"/>
          <w:szCs w:val="22"/>
        </w:rPr>
        <w:t xml:space="preserve">Privacy by design → </w:t>
      </w:r>
      <w:r>
        <w:rPr>
          <w:sz w:val="22"/>
          <w:szCs w:val="22"/>
        </w:rPr>
        <w:t xml:space="preserve">fully on-device, offline inference; no query or personal data ever leaves the user's device.</w:t>
      </w:r>
    </w:p>
    <w:p>
      <w:pPr>
        <w:pStyle w:val="ListParagraph"/>
        <w:numPr>
          <w:ilvl w:val="0"/>
          <w:numId w:val="2"/>
        </w:numPr>
        <w:spacing w:after="100" w:line="276"/>
      </w:pPr>
      <w:r>
        <w:rPr>
          <w:b/>
          <w:bCs/>
          <w:sz w:val="22"/>
          <w:szCs w:val="22"/>
        </w:rPr>
        <w:t xml:space="preserve">Human oversight → </w:t>
      </w:r>
      <w:r>
        <w:rPr>
          <w:sz w:val="22"/>
          <w:szCs w:val="22"/>
        </w:rPr>
        <w:t xml:space="preserve">HaqBot provides guidance only and explicitly directs users to MOHRE or their embassy for formal or enforcement action.</w:t>
      </w:r>
    </w:p>
    <w:p>
      <w:pPr>
        <w:pStyle w:val="ListParagraph"/>
        <w:numPr>
          <w:ilvl w:val="0"/>
          <w:numId w:val="2"/>
        </w:numPr>
        <w:spacing w:after="100" w:line="276"/>
      </w:pPr>
      <w:r>
        <w:rPr>
          <w:b/>
          <w:bCs/>
          <w:sz w:val="22"/>
          <w:szCs w:val="22"/>
        </w:rPr>
        <w:t xml:space="preserve">Transparency &amp; explainability → </w:t>
      </w:r>
      <w:r>
        <w:rPr>
          <w:sz w:val="22"/>
          <w:szCs w:val="22"/>
        </w:rPr>
        <w:t xml:space="preserve">every answer cites the specific legal provision it is based on, rather than presenting an unsupported conclusion.</w:t>
      </w:r>
    </w:p>
    <w:p>
      <w:pPr>
        <w:pStyle w:val="ListParagraph"/>
        <w:numPr>
          <w:ilvl w:val="0"/>
          <w:numId w:val="2"/>
        </w:numPr>
        <w:spacing w:after="100" w:line="276"/>
      </w:pPr>
      <w:r>
        <w:rPr>
          <w:b/>
          <w:bCs/>
          <w:sz w:val="22"/>
          <w:szCs w:val="22"/>
        </w:rPr>
        <w:t xml:space="preserve">Equity &amp; inclusion → </w:t>
      </w:r>
      <w:r>
        <w:rPr>
          <w:sz w:val="22"/>
          <w:szCs w:val="22"/>
        </w:rPr>
        <w:t xml:space="preserve">multilingual support (Hindi, Urdu, Malayalam, Arabic) directly targets the language-access gap that leaves migrant workers most exposed to exploitation.</w:t>
      </w:r>
    </w:p>
    <w:p>
      <w:pPr>
        <w:pStyle w:val="Heading2"/>
        <w:spacing w:after="120" w:before="240"/>
      </w:pPr>
      <w:r>
        <w:rPr>
          <w:b/>
          <w:bCs/>
          <w:color w:val="1F4E79"/>
          <w:sz w:val="24"/>
          <w:szCs w:val="24"/>
        </w:rPr>
        <w:t xml:space="preserve">1.2 Risk Management Framework</w:t>
      </w:r>
    </w:p>
    <w:p>
      <w:pPr>
        <w:spacing w:after="160" w:line="276"/>
      </w:pPr>
      <w:r>
        <w:rPr>
          <w:sz w:val="22"/>
          <w:szCs w:val="22"/>
        </w:rPr>
        <w:t xml:space="preserve">The NIST AI Risk Management Framework (AI RMF 1.0) was used as a planning checklist, structured around seven characteristics of trustworthy AI: valid and reliable, safe, secure and resilient, accountable and transparent, explainable and interpretable, privacy-enhanced, and fair with harmful bias managed (National Institute of Standards and Technology, 2023). This framework directly informed scope decisions — for example, HaqBot was deliberately scoped to exclude issuing definitive legal verdicts or predictions of case outcomes, since doing so would fail the “valid and reliable” and “accountable” characteristics for a system without a licensed legal practitioner in the loop.</w:t>
      </w:r>
    </w:p>
    <w:p>
      <w:pPr>
        <w:pStyle w:val="Heading2"/>
        <w:spacing w:after="120" w:before="240"/>
      </w:pPr>
      <w:r>
        <w:rPr>
          <w:b/>
          <w:bCs/>
          <w:color w:val="1F4E79"/>
          <w:sz w:val="24"/>
          <w:szCs w:val="24"/>
        </w:rPr>
        <w:t xml:space="preserve">1.3 Source Legitimacy</w:t>
      </w:r>
    </w:p>
    <w:p>
      <w:pPr>
        <w:spacing w:after="160" w:line="276"/>
      </w:pPr>
      <w:r>
        <w:rPr>
          <w:sz w:val="22"/>
          <w:szCs w:val="22"/>
        </w:rPr>
        <w:t xml:space="preserve">Only official, verifiable legal sources are used to build the knowledge base: UAE Federal Decree-Law No. 33 of 2021 on the Regulation of Labour Relations, the Wage Protection System (WPS) regulations, the standard employment contract, and published guidance from the Ministry of Human Resources and Emiratisation (MOHRE) (Ministry of Human Resources and Emiratisation, n.d.). Restricting the corpus to primary, official sources is itself a risk-mitigation control aligned with the “valid and reliable” and “accountable and transparent” characteristics above.</w:t>
      </w:r>
    </w:p>
    <w:p>
      <w:pPr>
        <w:pStyle w:val="Heading1"/>
        <w:spacing w:after="160" w:before="320"/>
      </w:pPr>
      <w:r>
        <w:rPr>
          <w:b/>
          <w:bCs/>
          <w:color w:val="1F4E79"/>
          <w:sz w:val="28"/>
          <w:szCs w:val="28"/>
        </w:rPr>
        <w:t xml:space="preserve">2. Development Stage</w:t>
      </w:r>
    </w:p>
    <w:p>
      <w:pPr>
        <w:pStyle w:val="Heading2"/>
        <w:spacing w:after="120" w:before="240"/>
      </w:pPr>
      <w:r>
        <w:rPr>
          <w:b/>
          <w:bCs/>
          <w:color w:val="1F4E79"/>
          <w:sz w:val="24"/>
          <w:szCs w:val="24"/>
        </w:rPr>
        <w:t xml:space="preserve">2.1 Privacy-by-Design Architecture</w:t>
      </w:r>
    </w:p>
    <w:p>
      <w:pPr>
        <w:spacing w:after="160" w:line="276"/>
      </w:pPr>
      <w:r>
        <w:rPr>
          <w:sz w:val="22"/>
          <w:szCs w:val="22"/>
        </w:rPr>
        <w:t xml:space="preserve">The UAE Personal Data Protection Law (PDPL), Federal Decree-Law No. 45 of 2021, establishes principles of lawfulness, purpose limitation, and data minimisation for anyone processing UAE residents' personal data (UAE Federal Decree-Law No. 45 of 2021). HaqBot's architecture is designed to avoid most PDPL obligations at the source rather than merely comply with them after the fact: because both the embedding model and the language model are INT8-quantised and run entirely on-device via Intel® OpenVINO™, no personal data or query content is transmitted to, stored by, or processed by any external server or third party. There is no account system, no cloud inference call, and no telemetry pipeline — a worker's question about their own wages or contract never leaves their laptop or phone.</w:t>
      </w:r>
    </w:p>
    <w:p>
      <w:pPr>
        <w:pStyle w:val="Heading2"/>
        <w:spacing w:after="120" w:before="240"/>
      </w:pPr>
      <w:r>
        <w:rPr>
          <w:b/>
          <w:bCs/>
          <w:color w:val="1F4E79"/>
          <w:sz w:val="24"/>
          <w:szCs w:val="24"/>
        </w:rPr>
        <w:t xml:space="preserve">2.2 Grounding Controls to Prevent Hallucination</w:t>
      </w:r>
    </w:p>
    <w:p>
      <w:pPr>
        <w:spacing w:after="160" w:line="276"/>
      </w:pPr>
      <w:r>
        <w:rPr>
          <w:sz w:val="22"/>
          <w:szCs w:val="22"/>
        </w:rPr>
        <w:t xml:space="preserve">Retrieval-Augmented Generation (RAG) was selected specifically to reduce the risk of the model fabricating legal claims. Lewis et al. (2020) introduced RAG as a method of grounding language-model outputs in retrieved source text rather than relying solely on the model's internal parametric knowledge, and Shuster et al. (2021) demonstrated that retrieval augmentation measurably reduces hallucination rates in knowledge-grounded dialogue systems. HaqBot's implementation applies this in three concrete ways:</w:t>
      </w:r>
    </w:p>
    <w:p>
      <w:pPr>
        <w:pStyle w:val="ListParagraph"/>
        <w:numPr>
          <w:ilvl w:val="0"/>
          <w:numId w:val="2"/>
        </w:numPr>
        <w:spacing w:after="100" w:line="276"/>
      </w:pPr>
      <w:r>
        <w:rPr>
          <w:sz w:val="22"/>
          <w:szCs w:val="22"/>
        </w:rPr>
        <w:t xml:space="preserve">Answers are generated only from retrieved legal clauses, not from the model's unconstrained internal knowledge.</w:t>
      </w:r>
    </w:p>
    <w:p>
      <w:pPr>
        <w:pStyle w:val="ListParagraph"/>
        <w:numPr>
          <w:ilvl w:val="0"/>
          <w:numId w:val="2"/>
        </w:numPr>
        <w:spacing w:after="100" w:line="276"/>
      </w:pPr>
      <w:r>
        <w:rPr>
          <w:sz w:val="22"/>
          <w:szCs w:val="22"/>
        </w:rPr>
        <w:t xml:space="preserve">Every answer must cite the specific provision it draws from, making claims auditable against the source text.</w:t>
      </w:r>
    </w:p>
    <w:p>
      <w:pPr>
        <w:pStyle w:val="ListParagraph"/>
        <w:numPr>
          <w:ilvl w:val="0"/>
          <w:numId w:val="2"/>
        </w:numPr>
        <w:spacing w:after="100" w:line="276"/>
      </w:pPr>
      <w:r>
        <w:rPr>
          <w:sz w:val="22"/>
          <w:szCs w:val="22"/>
        </w:rPr>
        <w:t xml:space="preserve">The system is designed to refuse to answer when retrieval confidence is low or the question falls outside the verified labour-law corpus, rather than guessing.</w:t>
      </w:r>
    </w:p>
    <w:p>
      <w:pPr>
        <w:pStyle w:val="Heading2"/>
        <w:spacing w:after="120" w:before="240"/>
      </w:pPr>
      <w:r>
        <w:rPr>
          <w:b/>
          <w:bCs/>
          <w:color w:val="1F4E79"/>
          <w:sz w:val="24"/>
          <w:szCs w:val="24"/>
        </w:rPr>
        <w:t xml:space="preserve">2.3 Bias and Language Equity</w:t>
      </w:r>
    </w:p>
    <w:p>
      <w:pPr>
        <w:spacing w:after="160" w:line="276"/>
      </w:pPr>
      <w:r>
        <w:rPr>
          <w:sz w:val="22"/>
          <w:szCs w:val="22"/>
        </w:rPr>
        <w:t xml:space="preserve">Multilingual coverage (Hindi, Urdu, Malayalam, Arabic) addresses the “fair with harmful bias managed” characteristic identified by NIST and the “equity and inclusion” pillar identified by Intel. Because the project exists specifically to close an information gap that disproportionately affects non-Arabic/English speakers, language coverage functions as a fairness intervention embedded in the core design, not an add-on feature.</w:t>
      </w:r>
    </w:p>
    <w:p>
      <w:pPr>
        <w:pStyle w:val="Heading1"/>
        <w:spacing w:after="160" w:before="320"/>
      </w:pPr>
      <w:r>
        <w:rPr>
          <w:b/>
          <w:bCs/>
          <w:color w:val="1F4E79"/>
          <w:sz w:val="28"/>
          <w:szCs w:val="28"/>
        </w:rPr>
        <w:t xml:space="preserve">3. Deployment Stage</w:t>
      </w:r>
    </w:p>
    <w:p>
      <w:pPr>
        <w:pStyle w:val="Heading2"/>
        <w:spacing w:after="120" w:before="240"/>
      </w:pPr>
      <w:r>
        <w:rPr>
          <w:b/>
          <w:bCs/>
          <w:color w:val="1F4E79"/>
          <w:sz w:val="24"/>
          <w:szCs w:val="24"/>
        </w:rPr>
        <w:t xml:space="preserve">3.1 Human Oversight and Non-Substitution for Legal Advice</w:t>
      </w:r>
    </w:p>
    <w:p>
      <w:pPr>
        <w:spacing w:after="160" w:line="276"/>
      </w:pPr>
      <w:r>
        <w:rPr>
          <w:sz w:val="22"/>
          <w:szCs w:val="22"/>
        </w:rPr>
        <w:t xml:space="preserve">HaqBot is explicitly designed to augment, not replace, formal legal and institutional channels. Every response directs users toward MOHRE or their embassy for enforcement action or formal proceedings, ensuring a human decision-maker or accountable institution remains in the loop for any consequential outcome — directly satisfying the “human oversight” and “accountable and transparent” principles referenced above.</w:t>
      </w:r>
    </w:p>
    <w:p>
      <w:pPr>
        <w:pStyle w:val="Heading2"/>
        <w:spacing w:after="120" w:before="240"/>
      </w:pPr>
      <w:r>
        <w:rPr>
          <w:b/>
          <w:bCs/>
          <w:color w:val="1F4E79"/>
          <w:sz w:val="24"/>
          <w:szCs w:val="24"/>
        </w:rPr>
        <w:t xml:space="preserve">3.2 No Data Retention</w:t>
      </w:r>
    </w:p>
    <w:p>
      <w:pPr>
        <w:spacing w:after="160" w:line="276"/>
      </w:pPr>
      <w:r>
        <w:rPr>
          <w:sz w:val="22"/>
          <w:szCs w:val="22"/>
        </w:rPr>
        <w:t xml:space="preserve">Because HaqBot runs fully offline with no server-side component, there is no logging, no analytics collection, and no persistent record of what any individual has asked. This is a deployment-stage guarantee, not merely an architectural side-effect: even if the device were later inspected, no server anywhere holds a record of the interaction.</w:t>
      </w:r>
    </w:p>
    <w:p>
      <w:pPr>
        <w:pStyle w:val="Heading2"/>
        <w:spacing w:after="120" w:before="240"/>
      </w:pPr>
      <w:r>
        <w:rPr>
          <w:b/>
          <w:bCs/>
          <w:color w:val="1F4E79"/>
          <w:sz w:val="24"/>
          <w:szCs w:val="24"/>
        </w:rPr>
        <w:t xml:space="preserve">3.3 Ongoing Accuracy Maintenance</w:t>
      </w:r>
    </w:p>
    <w:p>
      <w:pPr>
        <w:spacing w:after="160" w:line="276"/>
      </w:pPr>
      <w:r>
        <w:rPr>
          <w:sz w:val="22"/>
          <w:szCs w:val="22"/>
        </w:rPr>
        <w:t xml:space="preserve">Labour law and WPS regulations are subject to change, which is a genuine limitation of any static, offline knowledge base. HaqBot's deployment plan includes periodic manual review of the knowledge base against MOHRE's published updates, with version-stamped corpus releases so that any deployed instance can be identified against a known-accurate snapshot of the law.</w:t>
      </w:r>
    </w:p>
    <w:p>
      <w:pPr>
        <w:pBdr>
          <w:bottom w:val="single" w:color="AAAAAA" w:sz="6" w:space="1"/>
        </w:pBdr>
        <w:spacing w:after="200" w:before="100"/>
      </w:pPr>
      <w:r>
        <w:t xml:space="preserve"/>
      </w:r>
    </w:p>
    <w:p>
      <w:pPr>
        <w:pStyle w:val="Heading1"/>
        <w:spacing w:after="160" w:before="320"/>
      </w:pPr>
      <w:r>
        <w:rPr>
          <w:b/>
          <w:bCs/>
          <w:color w:val="1F4E79"/>
          <w:sz w:val="28"/>
          <w:szCs w:val="28"/>
        </w:rPr>
        <w:t xml:space="preserve">References</w:t>
      </w:r>
    </w:p>
    <w:p>
      <w:pPr>
        <w:spacing w:after="140" w:line="276"/>
        <w:ind w:left="431" w:hanging="431"/>
      </w:pPr>
      <w:r>
        <w:rPr>
          <w:sz w:val="21"/>
          <w:szCs w:val="21"/>
        </w:rPr>
        <w:t xml:space="preserve">Intel Corporation. (n.d.-a). Responsible AI principles. https://www.intel.com/content/www/us/en/artificial-intelligence/responsible-ai-principles.html</w:t>
      </w:r>
    </w:p>
    <w:p>
      <w:pPr>
        <w:spacing w:after="140" w:line="276"/>
        <w:ind w:left="431" w:hanging="431"/>
      </w:pPr>
      <w:r>
        <w:rPr>
          <w:sz w:val="21"/>
          <w:szCs w:val="21"/>
        </w:rPr>
        <w:t xml:space="preserve">Intel Corporation. (n.d.-b). Responsible AI. https://www.intel.com/content/www/us/en/artificial-intelligence/responsible-ai.html</w:t>
      </w:r>
    </w:p>
    <w:p>
      <w:pPr>
        <w:spacing w:after="140" w:line="276"/>
        <w:ind w:left="431" w:hanging="431"/>
      </w:pPr>
      <w:r>
        <w:rPr>
          <w:sz w:val="21"/>
          <w:szCs w:val="21"/>
        </w:rPr>
        <w:t xml:space="preserve">Lewis, P., Perez, E., Piktus, A., Petroni, F., Karpukhin, V., Goyal, N., Küttler, H., Lewis, M., Yih, W., Rocktäschel, T., Riedel, S., &amp; Kiela, D. (2020). Retrieval-augmented generation for knowledge-intensive NLP tasks. Advances in Neural Information Processing Systems, 33, 9459–9474. https://arxiv.org/abs/2005.11401</w:t>
      </w:r>
    </w:p>
    <w:p>
      <w:pPr>
        <w:spacing w:after="140" w:line="276"/>
        <w:ind w:left="431" w:hanging="431"/>
      </w:pPr>
      <w:r>
        <w:rPr>
          <w:sz w:val="21"/>
          <w:szCs w:val="21"/>
        </w:rPr>
        <w:t xml:space="preserve">Ministry of Human Resources and Emiratisation (MOHRE), United Arab Emirates. https://www.mohre.gov.ae</w:t>
      </w:r>
    </w:p>
    <w:p>
      <w:pPr>
        <w:spacing w:after="140" w:line="276"/>
        <w:ind w:left="431" w:hanging="431"/>
      </w:pPr>
      <w:r>
        <w:rPr>
          <w:sz w:val="21"/>
          <w:szCs w:val="21"/>
        </w:rPr>
        <w:t xml:space="preserve">National Institute of Standards and Technology. (2023). AI Risk Management Framework (AI RMF 1.0). https://www.nist.gov/itl/ai-risk-management-framework</w:t>
      </w:r>
    </w:p>
    <w:p>
      <w:pPr>
        <w:spacing w:after="140" w:line="276"/>
        <w:ind w:left="431" w:hanging="431"/>
      </w:pPr>
      <w:r>
        <w:rPr>
          <w:sz w:val="21"/>
          <w:szCs w:val="21"/>
        </w:rPr>
        <w:t xml:space="preserve">Shuster, K., Poff, S., Chen, M., Kiela, D., &amp; Weston, J. (2021). Retrieval augmentation reduces hallucination in conversation. arXiv preprint. https://arxiv.org/abs/2104.07567</w:t>
      </w:r>
    </w:p>
    <w:p>
      <w:pPr>
        <w:spacing w:after="140" w:line="276"/>
        <w:ind w:left="431" w:hanging="431"/>
      </w:pPr>
      <w:r>
        <w:rPr>
          <w:sz w:val="21"/>
          <w:szCs w:val="21"/>
        </w:rPr>
        <w:t xml:space="preserve">UAE Federal Decree-Law No. 33 of 2021 on the Regulation of Labour Relations.</w:t>
      </w:r>
    </w:p>
    <w:p>
      <w:pPr>
        <w:spacing w:after="140" w:line="276"/>
        <w:ind w:left="431" w:hanging="431"/>
      </w:pPr>
      <w:r>
        <w:rPr>
          <w:sz w:val="21"/>
          <w:szCs w:val="21"/>
        </w:rPr>
        <w:t xml:space="preserve">UAE Federal Decree-Law No. 45 of 2021 on the Protection of Personal Data (PDPL). https://uaelegislation.gov.ae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HaqBot — Responsible AI &amp; Ethics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2026-08-12T14:20:19.710Z</dcterms:created>
  <dcterms:modified xsi:type="dcterms:W3CDTF">2026-08-12T14:20:19.721Z</dcterms:modified>
</cp:coreProperties>
</file>

<file path=docProps/custom.xml><?xml version="1.0" encoding="utf-8"?>
<Properties xmlns="http://schemas.openxmlformats.org/officeDocument/2006/custom-properties" xmlns:vt="http://schemas.openxmlformats.org/officeDocument/2006/docPropsVTypes"/>
</file>