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Platform audit — reporting, planning, navigation, journeys, content clarity, hierarchy and dates</w:t>
      </w:r>
    </w:p>
    <w:p>
      <w:r>
        <w:t xml:space="preserve">Contents: Part A §1–9 (journeys, findings F-01…F-31, consistency, corrected journeys, remediation, questions Q1–Q10, limits) · </w:t>
      </w:r>
      <w:r>
        <w:rPr>
          <w:b/>
        </w:rPr>
        <w:t>Part B §10–16</w:t>
      </w:r>
      <w:r>
        <w:t xml:space="preserve"> (content and wording C-01…C-10, hierarchy, dates D-01…D-15, UX references, updated plan, questions Q11–Q18) · </w:t>
      </w:r>
      <w:r>
        <w:rPr>
          <w:b/>
        </w:rPr>
        <w:t>Part C §17–23</w:t>
      </w:r>
      <w:r>
        <w:t xml:space="preserve"> (MOMAH/NHCI + DGA reference extracted, platform-wide visual and UX consistency, gap table G-01…G-26, proposed shared design system, consolidated remediation plan, questions Q19–Q27) · </w:t>
      </w:r>
      <w:r>
        <w:rPr>
          <w:b/>
        </w:rPr>
        <w:t>Part D §26–32</w:t>
      </w:r>
      <w:r>
        <w:t xml:space="preserve"> (evidence update, plan-record status, consolidated backlog by root cause, work split A/B/C, ten essential questions, acceptance criteria, phased plan).</w:t>
      </w:r>
    </w:p>
    <w:p>
      <w:r>
        <w:rPr>
          <w:b/>
        </w:rPr>
        <w:t>Document status:</w:t>
      </w:r>
      <w:r>
        <w:t xml:space="preserve"> analysis only — no code, configuration or business data was changed on purpose (one unintended test side-effect is disclosed in §9). Version 3 — updated 2026-10-09 with the decisions on the Part C questions (§24–25), the direct review of the screenshots and monthly reports, the consolidated backlog, the essential questions, acceptance criteria and the implementation plan (Part D, §26–32).</w:t>
      </w:r>
    </w:p>
    <w:p>
      <w:pPr>
        <w:pStyle w:val="Heading2"/>
      </w:pPr>
      <w:r>
        <w:t>Executive summary</w:t>
      </w:r>
    </w:p>
    <w:p>
      <w:r>
        <w:rPr>
          <w:b/>
        </w:rPr>
        <w:t>What was reviewed.</w:t>
      </w:r>
      <w:r>
        <w:t xml:space="preserve"> The running application (compact demo, ≈ 895 synthetic invoices) and its code, across four briefs: (1) functional journeys, reports and planning; (2) content clarity, information hierarchy and date handling; (3) conformance with the MOMAH/NHCI UX reference (workshop deck + the DGA design system it adopts); (4) a consolidated remediation plan.</w:t>
      </w:r>
    </w:p>
    <w:p>
      <w:r>
        <w:rPr>
          <w:b/>
        </w:rPr>
        <w:t>Overall assessment.</w:t>
      </w:r>
      <w:r>
        <w:t xml:space="preserve"> The structure — two management areas plus operational modules — is sound and the build works end to end. The risks are not missing screens but (a) the same measure computed on different bases in different places, (b) silent failures that look like success, (c) governance gaps in plans and actions, (d) text that is too long, technical or contradictory, (e) unreliable date controls, and (f) a visual layer that follows a different source than the DGA foundation the reference makes mandatory.</w:t>
      </w:r>
    </w:p>
    <w:p>
      <w:r>
        <w:rPr>
          <w:b/>
        </w:rPr>
        <w:t>The ten findings to fix first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65"/>
        <w:gridCol w:w="12291"/>
        <w:gridCol w:w="1467"/>
      </w:tblGrid>
      <w:tr>
        <w:trPr>
          <w:tblHeader w:val="true"/>
          <w:cantSplit/>
        </w:trPr>
        <w:tc>
          <w:tcPr>
            <w:tcW w:type="dxa" w:w="1265"/>
            <w:shd w:val="clear" w:color="auto" w:fill="1B8354"/>
          </w:tcPr>
          <w:p>
            <w:pPr>
              <w:spacing w:after="0" w:line="252" w:lineRule="auto"/>
            </w:pPr>
            <w:r>
              <w:rPr>
                <w:b/>
                <w:color w:val="FFFFFF"/>
                <w:sz w:val="17"/>
              </w:rPr>
              <w:t>#</w:t>
            </w:r>
          </w:p>
        </w:tc>
        <w:tc>
          <w:tcPr>
            <w:tcW w:type="dxa" w:w="12291"/>
            <w:shd w:val="clear" w:color="auto" w:fill="1B8354"/>
          </w:tcPr>
          <w:p>
            <w:pPr>
              <w:spacing w:after="0" w:line="252" w:lineRule="auto"/>
            </w:pPr>
            <w:r>
              <w:rPr>
                <w:b/>
                <w:color w:val="FFFFFF"/>
                <w:sz w:val="17"/>
              </w:rPr>
              <w:t>Finding</w:t>
            </w:r>
          </w:p>
        </w:tc>
        <w:tc>
          <w:tcPr>
            <w:tcW w:type="dxa" w:w="1467"/>
            <w:shd w:val="clear" w:color="auto" w:fill="1B8354"/>
          </w:tcPr>
          <w:p>
            <w:pPr>
              <w:spacing w:after="0" w:line="252" w:lineRule="auto"/>
            </w:pPr>
            <w:r>
              <w:rPr>
                <w:b/>
                <w:color w:val="FFFFFF"/>
                <w:sz w:val="17"/>
              </w:rPr>
              <w:t>Id</w:t>
            </w:r>
          </w:p>
        </w:tc>
      </w:tr>
      <w:tr>
        <w:trPr>
          <w:cantSplit/>
        </w:trPr>
        <w:tc>
          <w:tcPr>
            <w:tcW w:type="dxa" w:w="1265"/>
          </w:tcPr>
          <w:p>
            <w:pPr>
              <w:spacing w:after="0" w:line="252" w:lineRule="auto"/>
            </w:pPr>
            <w:r>
              <w:rPr>
                <w:sz w:val="17"/>
              </w:rPr>
              <w:t>1</w:t>
            </w:r>
          </w:p>
        </w:tc>
        <w:tc>
          <w:tcPr>
            <w:tcW w:type="dxa" w:w="12291"/>
          </w:tcPr>
          <w:p>
            <w:pPr>
              <w:spacing w:after="0" w:line="252" w:lineRule="auto"/>
            </w:pPr>
            <w:r>
              <w:rPr>
                <w:sz w:val="17"/>
              </w:rPr>
              <w:t>The same closed period gives opposite comparison answers in the Dashboard, the fixed reports and the Smart reports (e.g. ▼ −3.0 pp vs ▲ +3.2 pp)</w:t>
            </w:r>
          </w:p>
        </w:tc>
        <w:tc>
          <w:tcPr>
            <w:tcW w:type="dxa" w:w="1467"/>
          </w:tcPr>
          <w:p>
            <w:pPr>
              <w:spacing w:after="0" w:line="252" w:lineRule="auto"/>
            </w:pPr>
            <w:r>
              <w:rPr>
                <w:sz w:val="17"/>
              </w:rPr>
              <w:t>F-01</w:t>
            </w:r>
          </w:p>
        </w:tc>
      </w:tr>
      <w:tr>
        <w:trPr>
          <w:cantSplit/>
        </w:trPr>
        <w:tc>
          <w:tcPr>
            <w:tcW w:type="dxa" w:w="1265"/>
            <w:shd w:val="clear" w:color="auto" w:fill="F9FAFB"/>
          </w:tcPr>
          <w:p>
            <w:pPr>
              <w:spacing w:after="0" w:line="252" w:lineRule="auto"/>
            </w:pPr>
            <w:r>
              <w:rPr>
                <w:sz w:val="17"/>
              </w:rPr>
              <w:t>2</w:t>
            </w:r>
          </w:p>
        </w:tc>
        <w:tc>
          <w:tcPr>
            <w:tcW w:type="dxa" w:w="12291"/>
            <w:shd w:val="clear" w:color="auto" w:fill="F9FAFB"/>
          </w:tcPr>
          <w:p>
            <w:pPr>
              <w:spacing w:after="0" w:line="252" w:lineRule="auto"/>
            </w:pPr>
            <w:r>
              <w:rPr>
                <w:sz w:val="17"/>
              </w:rPr>
              <w:t>Reports show available rates as "unavailable" and the exclusion bar is broken</w:t>
            </w:r>
          </w:p>
        </w:tc>
        <w:tc>
          <w:tcPr>
            <w:tcW w:type="dxa" w:w="1467"/>
            <w:shd w:val="clear" w:color="auto" w:fill="F9FAFB"/>
          </w:tcPr>
          <w:p>
            <w:pPr>
              <w:spacing w:after="0" w:line="252" w:lineRule="auto"/>
            </w:pPr>
            <w:r>
              <w:rPr>
                <w:sz w:val="17"/>
              </w:rPr>
              <w:t>F-02</w:t>
            </w:r>
          </w:p>
        </w:tc>
      </w:tr>
      <w:tr>
        <w:trPr>
          <w:cantSplit/>
        </w:trPr>
        <w:tc>
          <w:tcPr>
            <w:tcW w:type="dxa" w:w="1265"/>
          </w:tcPr>
          <w:p>
            <w:pPr>
              <w:spacing w:after="0" w:line="252" w:lineRule="auto"/>
            </w:pPr>
            <w:r>
              <w:rPr>
                <w:sz w:val="17"/>
              </w:rPr>
              <w:t>3</w:t>
            </w:r>
          </w:p>
        </w:tc>
        <w:tc>
          <w:tcPr>
            <w:tcW w:type="dxa" w:w="12291"/>
          </w:tcPr>
          <w:p>
            <w:pPr>
              <w:spacing w:after="0" w:line="252" w:lineRule="auto"/>
            </w:pPr>
            <w:r>
              <w:rPr>
                <w:sz w:val="17"/>
              </w:rPr>
              <w:t>The monthly report says "no recommended interventions" beside findings that need action</w:t>
            </w:r>
          </w:p>
        </w:tc>
        <w:tc>
          <w:tcPr>
            <w:tcW w:type="dxa" w:w="1467"/>
          </w:tcPr>
          <w:p>
            <w:pPr>
              <w:spacing w:after="0" w:line="252" w:lineRule="auto"/>
            </w:pPr>
            <w:r>
              <w:rPr>
                <w:sz w:val="17"/>
              </w:rPr>
              <w:t>F-03</w:t>
            </w:r>
          </w:p>
        </w:tc>
      </w:tr>
      <w:tr>
        <w:trPr>
          <w:cantSplit/>
        </w:trPr>
        <w:tc>
          <w:tcPr>
            <w:tcW w:type="dxa" w:w="1265"/>
            <w:shd w:val="clear" w:color="auto" w:fill="F9FAFB"/>
          </w:tcPr>
          <w:p>
            <w:pPr>
              <w:spacing w:after="0" w:line="252" w:lineRule="auto"/>
            </w:pPr>
            <w:r>
              <w:rPr>
                <w:sz w:val="17"/>
              </w:rPr>
              <w:t>4</w:t>
            </w:r>
          </w:p>
        </w:tc>
        <w:tc>
          <w:tcPr>
            <w:tcW w:type="dxa" w:w="12291"/>
            <w:shd w:val="clear" w:color="auto" w:fill="F9FAFB"/>
          </w:tcPr>
          <w:p>
            <w:pPr>
              <w:spacing w:after="0" w:line="252" w:lineRule="auto"/>
            </w:pPr>
            <w:r>
              <w:rPr>
                <w:sz w:val="17"/>
              </w:rPr>
              <w:t>Planning results (scenario, funding, objective status) follow the dashboard filter, not the plan</w:t>
            </w:r>
          </w:p>
        </w:tc>
        <w:tc>
          <w:tcPr>
            <w:tcW w:type="dxa" w:w="1467"/>
            <w:shd w:val="clear" w:color="auto" w:fill="F9FAFB"/>
          </w:tcPr>
          <w:p>
            <w:pPr>
              <w:spacing w:after="0" w:line="252" w:lineRule="auto"/>
            </w:pPr>
            <w:r>
              <w:rPr>
                <w:sz w:val="17"/>
              </w:rPr>
              <w:t>F-04</w:t>
            </w:r>
          </w:p>
        </w:tc>
      </w:tr>
      <w:tr>
        <w:trPr>
          <w:cantSplit/>
        </w:trPr>
        <w:tc>
          <w:tcPr>
            <w:tcW w:type="dxa" w:w="1265"/>
          </w:tcPr>
          <w:p>
            <w:pPr>
              <w:spacing w:after="0" w:line="252" w:lineRule="auto"/>
            </w:pPr>
            <w:r>
              <w:rPr>
                <w:sz w:val="17"/>
              </w:rPr>
              <w:t>5</w:t>
            </w:r>
          </w:p>
        </w:tc>
        <w:tc>
          <w:tcPr>
            <w:tcW w:type="dxa" w:w="12291"/>
          </w:tcPr>
          <w:p>
            <w:pPr>
              <w:spacing w:after="0" w:line="252" w:lineRule="auto"/>
            </w:pPr>
            <w:r>
              <w:rPr>
                <w:sz w:val="17"/>
              </w:rPr>
              <w:t>Smart reports silently misread common requests ("last month", "top 5 municipalities", comparisons)</w:t>
            </w:r>
          </w:p>
        </w:tc>
        <w:tc>
          <w:tcPr>
            <w:tcW w:type="dxa" w:w="1467"/>
          </w:tcPr>
          <w:p>
            <w:pPr>
              <w:spacing w:after="0" w:line="252" w:lineRule="auto"/>
            </w:pPr>
            <w:r>
              <w:rPr>
                <w:sz w:val="17"/>
              </w:rPr>
              <w:t>F-05</w:t>
            </w:r>
          </w:p>
        </w:tc>
      </w:tr>
      <w:tr>
        <w:trPr>
          <w:cantSplit/>
        </w:trPr>
        <w:tc>
          <w:tcPr>
            <w:tcW w:type="dxa" w:w="1265"/>
            <w:shd w:val="clear" w:color="auto" w:fill="F9FAFB"/>
          </w:tcPr>
          <w:p>
            <w:pPr>
              <w:spacing w:after="0" w:line="252" w:lineRule="auto"/>
            </w:pPr>
            <w:r>
              <w:rPr>
                <w:sz w:val="17"/>
              </w:rPr>
              <w:t>6</w:t>
            </w:r>
          </w:p>
        </w:tc>
        <w:tc>
          <w:tcPr>
            <w:tcW w:type="dxa" w:w="12291"/>
            <w:shd w:val="clear" w:color="auto" w:fill="F9FAFB"/>
          </w:tcPr>
          <w:p>
            <w:pPr>
              <w:spacing w:after="0" w:line="252" w:lineRule="auto"/>
            </w:pPr>
            <w:r>
              <w:rPr>
                <w:sz w:val="17"/>
              </w:rPr>
              <w:t>A scenario button creates an already-approved action; an approved plan can change without losing approval</w:t>
            </w:r>
          </w:p>
        </w:tc>
        <w:tc>
          <w:tcPr>
            <w:tcW w:type="dxa" w:w="1467"/>
            <w:shd w:val="clear" w:color="auto" w:fill="F9FAFB"/>
          </w:tcPr>
          <w:p>
            <w:pPr>
              <w:spacing w:after="0" w:line="252" w:lineRule="auto"/>
            </w:pPr>
            <w:r>
              <w:rPr>
                <w:sz w:val="17"/>
              </w:rPr>
              <w:t>F-06, F-07</w:t>
            </w:r>
          </w:p>
        </w:tc>
      </w:tr>
      <w:tr>
        <w:trPr>
          <w:cantSplit/>
        </w:trPr>
        <w:tc>
          <w:tcPr>
            <w:tcW w:type="dxa" w:w="1265"/>
          </w:tcPr>
          <w:p>
            <w:pPr>
              <w:spacing w:after="0" w:line="252" w:lineRule="auto"/>
            </w:pPr>
            <w:r>
              <w:rPr>
                <w:sz w:val="17"/>
              </w:rPr>
              <w:t>7</w:t>
            </w:r>
          </w:p>
        </w:tc>
        <w:tc>
          <w:tcPr>
            <w:tcW w:type="dxa" w:w="12291"/>
          </w:tcPr>
          <w:p>
            <w:pPr>
              <w:spacing w:after="0" w:line="252" w:lineRule="auto"/>
            </w:pPr>
            <w:r>
              <w:rPr>
                <w:sz w:val="17"/>
              </w:rPr>
              <w:t xml:space="preserve">An inverted or pre-data date range is accepted and reported as "no invoices"; </w:t>
            </w:r>
            <w:r>
              <w:rPr>
                <w:sz w:val="17"/>
                <w:rtl/>
                <w:rFonts w:cs="Arial"/>
                <w:szCs w:val="17"/>
              </w:rPr>
              <w:t>‫«آخر 3 أشهر»‬</w:t>
            </w:r>
            <w:r>
              <w:rPr>
                <w:sz w:val="17"/>
              </w:rPr>
              <w:t xml:space="preserve"> has no stable meaning</w:t>
            </w:r>
          </w:p>
        </w:tc>
        <w:tc>
          <w:tcPr>
            <w:tcW w:type="dxa" w:w="1467"/>
          </w:tcPr>
          <w:p>
            <w:pPr>
              <w:spacing w:after="0" w:line="252" w:lineRule="auto"/>
            </w:pPr>
            <w:r>
              <w:rPr>
                <w:sz w:val="17"/>
              </w:rPr>
              <w:t>D-01–D-05</w:t>
            </w:r>
          </w:p>
        </w:tc>
      </w:tr>
      <w:tr>
        <w:trPr>
          <w:cantSplit/>
        </w:trPr>
        <w:tc>
          <w:tcPr>
            <w:tcW w:type="dxa" w:w="1265"/>
            <w:shd w:val="clear" w:color="auto" w:fill="F9FAFB"/>
          </w:tcPr>
          <w:p>
            <w:pPr>
              <w:spacing w:after="0" w:line="252" w:lineRule="auto"/>
            </w:pPr>
            <w:r>
              <w:rPr>
                <w:sz w:val="17"/>
              </w:rPr>
              <w:t>8</w:t>
            </w:r>
          </w:p>
        </w:tc>
        <w:tc>
          <w:tcPr>
            <w:tcW w:type="dxa" w:w="12291"/>
            <w:shd w:val="clear" w:color="auto" w:fill="F9FAFB"/>
          </w:tcPr>
          <w:p>
            <w:pPr>
              <w:spacing w:after="0" w:line="252" w:lineRule="auto"/>
            </w:pPr>
            <w:r>
              <w:rPr>
                <w:sz w:val="17"/>
              </w:rPr>
              <w:t xml:space="preserve">The </w:t>
            </w:r>
            <w:r>
              <w:rPr>
                <w:sz w:val="17"/>
                <w:rtl/>
                <w:rFonts w:cs="Arial"/>
                <w:szCs w:val="17"/>
              </w:rPr>
              <w:t>‫«فتح»‬</w:t>
            </w:r>
            <w:r>
              <w:rPr>
                <w:sz w:val="17"/>
              </w:rPr>
              <w:t xml:space="preserve"> buttons on Sanad orders are blue text on green (1.15:1); 30–83 AA contrast failures on five operational pages</w:t>
            </w:r>
          </w:p>
        </w:tc>
        <w:tc>
          <w:tcPr>
            <w:tcW w:type="dxa" w:w="1467"/>
            <w:shd w:val="clear" w:color="auto" w:fill="F9FAFB"/>
          </w:tcPr>
          <w:p>
            <w:pPr>
              <w:spacing w:after="0" w:line="252" w:lineRule="auto"/>
            </w:pPr>
            <w:r>
              <w:rPr>
                <w:sz w:val="17"/>
              </w:rPr>
              <w:t>G-06</w:t>
            </w:r>
          </w:p>
        </w:tc>
      </w:tr>
      <w:tr>
        <w:trPr>
          <w:cantSplit/>
        </w:trPr>
        <w:tc>
          <w:tcPr>
            <w:tcW w:type="dxa" w:w="1265"/>
          </w:tcPr>
          <w:p>
            <w:pPr>
              <w:spacing w:after="0" w:line="252" w:lineRule="auto"/>
            </w:pPr>
            <w:r>
              <w:rPr>
                <w:sz w:val="17"/>
              </w:rPr>
              <w:t>9</w:t>
            </w:r>
          </w:p>
        </w:tc>
        <w:tc>
          <w:tcPr>
            <w:tcW w:type="dxa" w:w="12291"/>
          </w:tcPr>
          <w:p>
            <w:pPr>
              <w:spacing w:after="0" w:line="252" w:lineRule="auto"/>
            </w:pPr>
            <w:r>
              <w:rPr>
                <w:sz w:val="17"/>
              </w:rPr>
              <w:t>Exports differ from the screen (PowerPoint tables cut to 11 rows, no totals; Excel omits caveats)</w:t>
            </w:r>
          </w:p>
        </w:tc>
        <w:tc>
          <w:tcPr>
            <w:tcW w:type="dxa" w:w="1467"/>
          </w:tcPr>
          <w:p>
            <w:pPr>
              <w:spacing w:after="0" w:line="252" w:lineRule="auto"/>
            </w:pPr>
            <w:r>
              <w:rPr>
                <w:sz w:val="17"/>
              </w:rPr>
              <w:t>F-10</w:t>
            </w:r>
          </w:p>
        </w:tc>
      </w:tr>
      <w:tr>
        <w:trPr>
          <w:cantSplit/>
        </w:trPr>
        <w:tc>
          <w:tcPr>
            <w:tcW w:type="dxa" w:w="1265"/>
            <w:shd w:val="clear" w:color="auto" w:fill="F9FAFB"/>
          </w:tcPr>
          <w:p>
            <w:pPr>
              <w:spacing w:after="0" w:line="252" w:lineRule="auto"/>
            </w:pPr>
            <w:r>
              <w:rPr>
                <w:sz w:val="17"/>
              </w:rPr>
              <w:t>10</w:t>
            </w:r>
          </w:p>
        </w:tc>
        <w:tc>
          <w:tcPr>
            <w:tcW w:type="dxa" w:w="12291"/>
            <w:shd w:val="clear" w:color="auto" w:fill="F9FAFB"/>
          </w:tcPr>
          <w:p>
            <w:pPr>
              <w:spacing w:after="0" w:line="252" w:lineRule="auto"/>
            </w:pPr>
            <w:r>
              <w:rPr>
                <w:sz w:val="17"/>
              </w:rPr>
              <w:t>Colours, type scale, spacing, icons, date picker and filters do not follow the DGA foundation; no MOMAH logo</w:t>
            </w:r>
          </w:p>
        </w:tc>
        <w:tc>
          <w:tcPr>
            <w:tcW w:type="dxa" w:w="1467"/>
            <w:shd w:val="clear" w:color="auto" w:fill="F9FAFB"/>
          </w:tcPr>
          <w:p>
            <w:pPr>
              <w:spacing w:after="0" w:line="252" w:lineRule="auto"/>
            </w:pPr>
            <w:r>
              <w:rPr>
                <w:sz w:val="17"/>
              </w:rPr>
              <w:t>G-01–G-17</w:t>
            </w:r>
          </w:p>
        </w:tc>
      </w:tr>
    </w:tbl>
    <w:p>
      <w:pPr>
        <w:spacing w:after="40"/>
      </w:pPr>
    </w:p>
    <w:p>
      <w:r>
        <w:rPr>
          <w:b/>
        </w:rPr>
        <w:t>What already works (keep).</w:t>
      </w:r>
      <w:r>
        <w:t xml:space="preserve"> Financial identities reconcile on every view; missing data is shown as "</w:t>
      </w:r>
      <w:r>
        <w:rPr>
          <w:rtl/>
          <w:rFonts w:cs="Arial"/>
        </w:rPr>
        <w:t>‫غير متاح‬</w:t>
      </w:r>
      <w:r>
        <w:t xml:space="preserve">" on narrowed scopes in Planning; all nine fixed reports open without errors and Excel matches the screen; no horizontal overflow at 1,280/390 px; the brand green </w:t>
      </w:r>
      <w:r>
        <w:rPr>
          <w:rFonts w:ascii="Consolas" w:hAnsi="Consolas" w:cs="Consolas"/>
          <w:color w:val="B42318"/>
          <w:sz w:val="19"/>
        </w:rPr>
        <w:t>#1B8354</w:t>
      </w:r>
      <w:r>
        <w:t xml:space="preserve"> equals DGA SA 600; the font family is IBM Plex Sans Arabic; both assistants state clearly that they are rule-based.</w:t>
      </w:r>
    </w:p>
    <w:p>
      <w:pPr>
        <w:pStyle w:val="Heading3"/>
      </w:pPr>
      <w:r>
        <w:t>Decision log</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28"/>
        <w:gridCol w:w="5692"/>
        <w:gridCol w:w="1228"/>
        <w:gridCol w:w="6876"/>
      </w:tblGrid>
      <w:tr>
        <w:trPr>
          <w:tblHeader w:val="true"/>
          <w:cantSplit/>
        </w:trPr>
        <w:tc>
          <w:tcPr>
            <w:tcW w:type="dxa" w:w="1228"/>
            <w:shd w:val="clear" w:color="auto" w:fill="1B8354"/>
          </w:tcPr>
          <w:p>
            <w:pPr>
              <w:spacing w:after="0" w:line="252" w:lineRule="auto"/>
            </w:pPr>
            <w:r>
              <w:rPr>
                <w:b/>
                <w:color w:val="FFFFFF"/>
                <w:sz w:val="17"/>
              </w:rPr>
              <w:t>#</w:t>
            </w:r>
          </w:p>
        </w:tc>
        <w:tc>
          <w:tcPr>
            <w:tcW w:type="dxa" w:w="5692"/>
            <w:shd w:val="clear" w:color="auto" w:fill="1B8354"/>
          </w:tcPr>
          <w:p>
            <w:pPr>
              <w:spacing w:after="0" w:line="252" w:lineRule="auto"/>
            </w:pPr>
            <w:r>
              <w:rPr>
                <w:b/>
                <w:color w:val="FFFFFF"/>
                <w:sz w:val="17"/>
              </w:rPr>
              <w:t>Decision</w:t>
            </w:r>
          </w:p>
        </w:tc>
        <w:tc>
          <w:tcPr>
            <w:tcW w:type="dxa" w:w="1228"/>
            <w:shd w:val="clear" w:color="auto" w:fill="1B8354"/>
          </w:tcPr>
          <w:p>
            <w:pPr>
              <w:spacing w:after="0" w:line="252" w:lineRule="auto"/>
            </w:pPr>
            <w:r>
              <w:rPr>
                <w:b/>
                <w:color w:val="FFFFFF"/>
                <w:sz w:val="17"/>
              </w:rPr>
              <w:t>Source</w:t>
            </w:r>
          </w:p>
        </w:tc>
        <w:tc>
          <w:tcPr>
            <w:tcW w:type="dxa" w:w="6876"/>
            <w:shd w:val="clear" w:color="auto" w:fill="1B8354"/>
          </w:tcPr>
          <w:p>
            <w:pPr>
              <w:spacing w:after="0" w:line="252" w:lineRule="auto"/>
            </w:pPr>
            <w:r>
              <w:rPr>
                <w:b/>
                <w:color w:val="FFFFFF"/>
                <w:sz w:val="17"/>
              </w:rPr>
              <w:t>Effect</w:t>
            </w:r>
          </w:p>
        </w:tc>
      </w:tr>
      <w:tr>
        <w:trPr>
          <w:cantSplit/>
        </w:trPr>
        <w:tc>
          <w:tcPr>
            <w:tcW w:type="dxa" w:w="1228"/>
          </w:tcPr>
          <w:p>
            <w:pPr>
              <w:spacing w:after="0" w:line="252" w:lineRule="auto"/>
            </w:pPr>
            <w:r>
              <w:rPr>
                <w:sz w:val="17"/>
              </w:rPr>
              <w:t>D1</w:t>
            </w:r>
          </w:p>
        </w:tc>
        <w:tc>
          <w:tcPr>
            <w:tcW w:type="dxa" w:w="5692"/>
          </w:tcPr>
          <w:p>
            <w:pPr>
              <w:spacing w:after="0" w:line="252" w:lineRule="auto"/>
            </w:pPr>
            <w:r>
              <w:rPr>
                <w:sz w:val="17"/>
              </w:rPr>
              <w:t xml:space="preserve">Logo: </w:t>
            </w:r>
            <w:r>
              <w:rPr>
                <w:b/>
                <w:sz w:val="17"/>
              </w:rPr>
              <w:t>MOMAH</w:t>
            </w:r>
            <w:r>
              <w:rPr>
                <w:sz w:val="17"/>
              </w:rPr>
              <w:t xml:space="preserve"> only</w:t>
            </w:r>
          </w:p>
        </w:tc>
        <w:tc>
          <w:tcPr>
            <w:tcW w:type="dxa" w:w="1228"/>
          </w:tcPr>
          <w:p>
            <w:pPr>
              <w:spacing w:after="0" w:line="252" w:lineRule="auto"/>
            </w:pPr>
            <w:r>
              <w:rPr>
                <w:sz w:val="17"/>
              </w:rPr>
              <w:t>you</w:t>
            </w:r>
          </w:p>
        </w:tc>
        <w:tc>
          <w:tcPr>
            <w:tcW w:type="dxa" w:w="6876"/>
          </w:tcPr>
          <w:p>
            <w:pPr>
              <w:spacing w:after="0" w:line="252" w:lineRule="auto"/>
            </w:pPr>
            <w:r>
              <w:rPr>
                <w:sz w:val="17"/>
              </w:rPr>
              <w:t>official files and usage rules still needed (G-01)</w:t>
            </w:r>
          </w:p>
        </w:tc>
      </w:tr>
      <w:tr>
        <w:trPr>
          <w:cantSplit/>
        </w:trPr>
        <w:tc>
          <w:tcPr>
            <w:tcW w:type="dxa" w:w="1228"/>
            <w:shd w:val="clear" w:color="auto" w:fill="F9FAFB"/>
          </w:tcPr>
          <w:p>
            <w:pPr>
              <w:spacing w:after="0" w:line="252" w:lineRule="auto"/>
            </w:pPr>
            <w:r>
              <w:rPr>
                <w:sz w:val="17"/>
              </w:rPr>
              <w:t>D2</w:t>
            </w:r>
          </w:p>
        </w:tc>
        <w:tc>
          <w:tcPr>
            <w:tcW w:type="dxa" w:w="5692"/>
            <w:shd w:val="clear" w:color="auto" w:fill="F9FAFB"/>
          </w:tcPr>
          <w:p>
            <w:pPr>
              <w:spacing w:after="0" w:line="252" w:lineRule="auto"/>
            </w:pPr>
            <w:r>
              <w:rPr>
                <w:sz w:val="17"/>
              </w:rPr>
              <w:t xml:space="preserve">Product name </w:t>
            </w:r>
            <w:r>
              <w:rPr>
                <w:b/>
                <w:sz w:val="17"/>
              </w:rPr>
              <w:t>unchanged</w:t>
            </w:r>
          </w:p>
        </w:tc>
        <w:tc>
          <w:tcPr>
            <w:tcW w:type="dxa" w:w="1228"/>
            <w:shd w:val="clear" w:color="auto" w:fill="F9FAFB"/>
          </w:tcPr>
          <w:p>
            <w:pPr>
              <w:spacing w:after="0" w:line="252" w:lineRule="auto"/>
            </w:pPr>
            <w:r>
              <w:rPr>
                <w:sz w:val="17"/>
              </w:rPr>
              <w:t>you</w:t>
            </w:r>
          </w:p>
        </w:tc>
        <w:tc>
          <w:tcPr>
            <w:tcW w:type="dxa" w:w="6876"/>
            <w:shd w:val="clear" w:color="auto" w:fill="F9FAFB"/>
          </w:tcPr>
          <w:p>
            <w:pPr>
              <w:spacing w:after="0" w:line="252" w:lineRule="auto"/>
            </w:pPr>
            <w:r>
              <w:rPr>
                <w:sz w:val="17"/>
              </w:rPr>
              <w:t>consistency only: same name in header, tab title and exports (G-25)</w:t>
            </w:r>
          </w:p>
        </w:tc>
      </w:tr>
      <w:tr>
        <w:trPr>
          <w:cantSplit/>
        </w:trPr>
        <w:tc>
          <w:tcPr>
            <w:tcW w:type="dxa" w:w="1228"/>
          </w:tcPr>
          <w:p>
            <w:pPr>
              <w:spacing w:after="0" w:line="252" w:lineRule="auto"/>
            </w:pPr>
            <w:r>
              <w:rPr>
                <w:sz w:val="17"/>
              </w:rPr>
              <w:t>D3</w:t>
            </w:r>
          </w:p>
        </w:tc>
        <w:tc>
          <w:tcPr>
            <w:tcW w:type="dxa" w:w="5692"/>
          </w:tcPr>
          <w:p>
            <w:pPr>
              <w:spacing w:after="0" w:line="252" w:lineRule="auto"/>
            </w:pPr>
            <w:r>
              <w:rPr>
                <w:sz w:val="17"/>
              </w:rPr>
              <w:t xml:space="preserve">Icons: </w:t>
            </w:r>
            <w:r>
              <w:rPr>
                <w:b/>
                <w:sz w:val="17"/>
              </w:rPr>
              <w:t>Hugeicons, Stroke Rounded</w:t>
            </w:r>
            <w:r>
              <w:rPr>
                <w:sz w:val="17"/>
              </w:rPr>
              <w:t xml:space="preserve"> (left to me)</w:t>
            </w:r>
          </w:p>
        </w:tc>
        <w:tc>
          <w:tcPr>
            <w:tcW w:type="dxa" w:w="1228"/>
          </w:tcPr>
          <w:p>
            <w:pPr>
              <w:spacing w:after="0" w:line="252" w:lineRule="auto"/>
            </w:pPr>
            <w:r>
              <w:rPr>
                <w:sz w:val="17"/>
              </w:rPr>
              <w:t>recommendation</w:t>
            </w:r>
          </w:p>
        </w:tc>
        <w:tc>
          <w:tcPr>
            <w:tcW w:type="dxa" w:w="6876"/>
          </w:tcPr>
          <w:p>
            <w:pPr>
              <w:spacing w:after="0" w:line="252" w:lineRule="auto"/>
            </w:pPr>
            <w:r>
              <w:rPr>
                <w:sz w:val="17"/>
              </w:rPr>
              <w:t>confirm licence or buy Pro (G-11)</w:t>
            </w:r>
          </w:p>
        </w:tc>
      </w:tr>
      <w:tr>
        <w:trPr>
          <w:cantSplit/>
        </w:trPr>
        <w:tc>
          <w:tcPr>
            <w:tcW w:type="dxa" w:w="1228"/>
            <w:shd w:val="clear" w:color="auto" w:fill="F9FAFB"/>
          </w:tcPr>
          <w:p>
            <w:pPr>
              <w:spacing w:after="0" w:line="252" w:lineRule="auto"/>
            </w:pPr>
            <w:r>
              <w:rPr>
                <w:sz w:val="17"/>
              </w:rPr>
              <w:t>D4</w:t>
            </w:r>
          </w:p>
        </w:tc>
        <w:tc>
          <w:tcPr>
            <w:tcW w:type="dxa" w:w="5692"/>
            <w:shd w:val="clear" w:color="auto" w:fill="F9FAFB"/>
          </w:tcPr>
          <w:p>
            <w:pPr>
              <w:spacing w:after="0" w:line="252" w:lineRule="auto"/>
            </w:pPr>
            <w:r>
              <w:rPr>
                <w:sz w:val="17"/>
              </w:rPr>
              <w:t xml:space="preserve">Dark theme </w:t>
            </w:r>
            <w:r>
              <w:rPr>
                <w:b/>
                <w:sz w:val="17"/>
              </w:rPr>
              <w:t>not needed now</w:t>
            </w:r>
          </w:p>
        </w:tc>
        <w:tc>
          <w:tcPr>
            <w:tcW w:type="dxa" w:w="1228"/>
            <w:shd w:val="clear" w:color="auto" w:fill="F9FAFB"/>
          </w:tcPr>
          <w:p>
            <w:pPr>
              <w:spacing w:after="0" w:line="252" w:lineRule="auto"/>
            </w:pPr>
            <w:r>
              <w:rPr>
                <w:sz w:val="17"/>
              </w:rPr>
              <w:t>you</w:t>
            </w:r>
          </w:p>
        </w:tc>
        <w:tc>
          <w:tcPr>
            <w:tcW w:type="dxa" w:w="6876"/>
            <w:shd w:val="clear" w:color="auto" w:fill="F9FAFB"/>
          </w:tcPr>
          <w:p>
            <w:pPr>
              <w:spacing w:after="0" w:line="252" w:lineRule="auto"/>
            </w:pPr>
            <w:r>
              <w:rPr>
                <w:sz w:val="17"/>
              </w:rPr>
              <w:t>lock to light and hide the toggle until a dark design exists (G-24)</w:t>
            </w:r>
          </w:p>
        </w:tc>
      </w:tr>
      <w:tr>
        <w:trPr>
          <w:cantSplit/>
        </w:trPr>
        <w:tc>
          <w:tcPr>
            <w:tcW w:type="dxa" w:w="1228"/>
          </w:tcPr>
          <w:p>
            <w:pPr>
              <w:spacing w:after="0" w:line="252" w:lineRule="auto"/>
            </w:pPr>
            <w:r>
              <w:rPr>
                <w:sz w:val="17"/>
              </w:rPr>
              <w:t>D5</w:t>
            </w:r>
          </w:p>
        </w:tc>
        <w:tc>
          <w:tcPr>
            <w:tcW w:type="dxa" w:w="5692"/>
          </w:tcPr>
          <w:p>
            <w:pPr>
              <w:spacing w:after="0" w:line="252" w:lineRule="auto"/>
            </w:pPr>
            <w:r>
              <w:rPr>
                <w:b/>
                <w:sz w:val="17"/>
              </w:rPr>
              <w:t>One font family</w:t>
            </w:r>
            <w:r>
              <w:rPr>
                <w:sz w:val="17"/>
              </w:rPr>
              <w:t xml:space="preserve"> (IBM Plex Sans Arabic) for Arabic and Latin</w:t>
            </w:r>
          </w:p>
        </w:tc>
        <w:tc>
          <w:tcPr>
            <w:tcW w:type="dxa" w:w="1228"/>
          </w:tcPr>
          <w:p>
            <w:pPr>
              <w:spacing w:after="0" w:line="252" w:lineRule="auto"/>
            </w:pPr>
            <w:r>
              <w:rPr>
                <w:sz w:val="17"/>
              </w:rPr>
              <w:t>you</w:t>
            </w:r>
          </w:p>
        </w:tc>
        <w:tc>
          <w:tcPr>
            <w:tcW w:type="dxa" w:w="6876"/>
          </w:tcPr>
          <w:p>
            <w:pPr>
              <w:spacing w:after="0" w:line="252" w:lineRule="auto"/>
            </w:pPr>
            <w:r>
              <w:rPr>
                <w:sz w:val="17"/>
              </w:rPr>
              <w:t>documented deviation from slide 8; drop Plex Mono (G-02)</w:t>
            </w:r>
          </w:p>
        </w:tc>
      </w:tr>
      <w:tr>
        <w:trPr>
          <w:cantSplit/>
        </w:trPr>
        <w:tc>
          <w:tcPr>
            <w:tcW w:type="dxa" w:w="1228"/>
            <w:shd w:val="clear" w:color="auto" w:fill="F9FAFB"/>
          </w:tcPr>
          <w:p>
            <w:pPr>
              <w:spacing w:after="0" w:line="252" w:lineRule="auto"/>
            </w:pPr>
            <w:r>
              <w:rPr>
                <w:sz w:val="17"/>
              </w:rPr>
              <w:t>D6</w:t>
            </w:r>
          </w:p>
        </w:tc>
        <w:tc>
          <w:tcPr>
            <w:tcW w:type="dxa" w:w="5692"/>
            <w:shd w:val="clear" w:color="auto" w:fill="F9FAFB"/>
          </w:tcPr>
          <w:p>
            <w:pPr>
              <w:spacing w:after="0" w:line="252" w:lineRule="auto"/>
            </w:pPr>
            <w:r>
              <w:rPr>
                <w:b/>
                <w:sz w:val="17"/>
              </w:rPr>
              <w:t>DGA palettes only</w:t>
            </w:r>
            <w:r>
              <w:rPr>
                <w:sz w:val="17"/>
              </w:rPr>
              <w:t xml:space="preserve"> — no extra accent colours</w:t>
            </w:r>
          </w:p>
        </w:tc>
        <w:tc>
          <w:tcPr>
            <w:tcW w:type="dxa" w:w="1228"/>
            <w:shd w:val="clear" w:color="auto" w:fill="F9FAFB"/>
          </w:tcPr>
          <w:p>
            <w:pPr>
              <w:spacing w:after="0" w:line="252" w:lineRule="auto"/>
            </w:pPr>
            <w:r>
              <w:rPr>
                <w:sz w:val="17"/>
              </w:rPr>
              <w:t>you</w:t>
            </w:r>
          </w:p>
        </w:tc>
        <w:tc>
          <w:tcPr>
            <w:tcW w:type="dxa" w:w="6876"/>
            <w:shd w:val="clear" w:color="auto" w:fill="F9FAFB"/>
          </w:tcPr>
          <w:p>
            <w:pPr>
              <w:spacing w:after="0" w:line="252" w:lineRule="auto"/>
            </w:pPr>
            <w:r>
              <w:rPr>
                <w:sz w:val="17"/>
              </w:rPr>
              <w:t>remove violet/orange/extra blue/gold; AI chip instead of an AI colour (G-04, G-05)</w:t>
            </w:r>
          </w:p>
        </w:tc>
      </w:tr>
      <w:tr>
        <w:trPr>
          <w:cantSplit/>
        </w:trPr>
        <w:tc>
          <w:tcPr>
            <w:tcW w:type="dxa" w:w="1228"/>
          </w:tcPr>
          <w:p>
            <w:pPr>
              <w:spacing w:after="0" w:line="252" w:lineRule="auto"/>
            </w:pPr>
            <w:r>
              <w:rPr>
                <w:sz w:val="17"/>
              </w:rPr>
              <w:t>D7</w:t>
            </w:r>
          </w:p>
        </w:tc>
        <w:tc>
          <w:tcPr>
            <w:tcW w:type="dxa" w:w="5692"/>
          </w:tcPr>
          <w:p>
            <w:pPr>
              <w:spacing w:after="0" w:line="252" w:lineRule="auto"/>
            </w:pPr>
            <w:r>
              <w:rPr>
                <w:sz w:val="17"/>
              </w:rPr>
              <w:t xml:space="preserve">Accessibility: declare </w:t>
            </w:r>
            <w:r>
              <w:rPr>
                <w:b/>
                <w:sz w:val="17"/>
              </w:rPr>
              <w:t>WCAG 2.1 AA</w:t>
            </w:r>
            <w:r>
              <w:rPr>
                <w:sz w:val="17"/>
              </w:rPr>
              <w:t xml:space="preserve">, build to </w:t>
            </w:r>
            <w:r>
              <w:rPr>
                <w:b/>
                <w:sz w:val="17"/>
              </w:rPr>
              <w:t>2.2 AA</w:t>
            </w:r>
          </w:p>
        </w:tc>
        <w:tc>
          <w:tcPr>
            <w:tcW w:type="dxa" w:w="1228"/>
          </w:tcPr>
          <w:p>
            <w:pPr>
              <w:spacing w:after="0" w:line="252" w:lineRule="auto"/>
            </w:pPr>
            <w:r>
              <w:rPr>
                <w:sz w:val="17"/>
              </w:rPr>
              <w:t>recommendation</w:t>
            </w:r>
          </w:p>
        </w:tc>
        <w:tc>
          <w:tcPr>
            <w:tcW w:type="dxa" w:w="6876"/>
          </w:tcPr>
          <w:p>
            <w:pPr>
              <w:spacing w:after="0" w:line="252" w:lineRule="auto"/>
            </w:pPr>
            <w:r>
              <w:rPr>
                <w:sz w:val="17"/>
              </w:rPr>
              <w:t>24 px target floor, focus never hidden (G-07, G-08)</w:t>
            </w:r>
          </w:p>
        </w:tc>
      </w:tr>
      <w:tr>
        <w:trPr>
          <w:cantSplit/>
        </w:trPr>
        <w:tc>
          <w:tcPr>
            <w:tcW w:type="dxa" w:w="1228"/>
            <w:shd w:val="clear" w:color="auto" w:fill="F9FAFB"/>
          </w:tcPr>
          <w:p>
            <w:pPr>
              <w:spacing w:after="0" w:line="252" w:lineRule="auto"/>
            </w:pPr>
            <w:r>
              <w:rPr>
                <w:sz w:val="17"/>
              </w:rPr>
              <w:t>D8</w:t>
            </w:r>
          </w:p>
        </w:tc>
        <w:tc>
          <w:tcPr>
            <w:tcW w:type="dxa" w:w="5692"/>
            <w:shd w:val="clear" w:color="auto" w:fill="F9FAFB"/>
          </w:tcPr>
          <w:p>
            <w:pPr>
              <w:spacing w:after="0" w:line="252" w:lineRule="auto"/>
            </w:pPr>
            <w:r>
              <w:rPr>
                <w:sz w:val="17"/>
              </w:rPr>
              <w:t>Exports carry logo, header/footer, cut-off and "demo data" statement</w:t>
            </w:r>
          </w:p>
        </w:tc>
        <w:tc>
          <w:tcPr>
            <w:tcW w:type="dxa" w:w="1228"/>
            <w:shd w:val="clear" w:color="auto" w:fill="F9FAFB"/>
          </w:tcPr>
          <w:p>
            <w:pPr>
              <w:spacing w:after="0" w:line="252" w:lineRule="auto"/>
            </w:pPr>
            <w:r>
              <w:rPr>
                <w:sz w:val="17"/>
              </w:rPr>
              <w:t>recommendation</w:t>
            </w:r>
          </w:p>
        </w:tc>
        <w:tc>
          <w:tcPr>
            <w:tcW w:type="dxa" w:w="6876"/>
            <w:shd w:val="clear" w:color="auto" w:fill="F9FAFB"/>
          </w:tcPr>
          <w:p>
            <w:pPr>
              <w:spacing w:after="0" w:line="252" w:lineRule="auto"/>
            </w:pPr>
            <w:r>
              <w:rPr>
                <w:sz w:val="17"/>
              </w:rPr>
              <w:t>product team builds from tokens; ministry brand owner approves (G-23)</w:t>
            </w:r>
          </w:p>
        </w:tc>
      </w:tr>
    </w:tbl>
    <w:p>
      <w:pPr>
        <w:spacing w:after="40"/>
      </w:pPr>
    </w:p>
    <w:p>
      <w:pPr>
        <w:pStyle w:val="Heading3"/>
      </w:pPr>
      <w:r>
        <w:t>Question status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7319"/>
        <w:gridCol w:w="7704"/>
      </w:tblGrid>
      <w:tr>
        <w:trPr>
          <w:tblHeader w:val="true"/>
          <w:cantSplit/>
        </w:trPr>
        <w:tc>
          <w:tcPr>
            <w:tcW w:type="dxa" w:w="7319"/>
            <w:shd w:val="clear" w:color="auto" w:fill="1B8354"/>
          </w:tcPr>
          <w:p>
            <w:pPr>
              <w:spacing w:after="0" w:line="252" w:lineRule="auto"/>
            </w:pPr>
            <w:r>
              <w:rPr>
                <w:b/>
                <w:color w:val="FFFFFF"/>
                <w:sz w:val="17"/>
              </w:rPr>
              <w:t>Questions</w:t>
            </w:r>
          </w:p>
        </w:tc>
        <w:tc>
          <w:tcPr>
            <w:tcW w:type="dxa" w:w="7704"/>
            <w:shd w:val="clear" w:color="auto" w:fill="1B8354"/>
          </w:tcPr>
          <w:p>
            <w:pPr>
              <w:spacing w:after="0" w:line="252" w:lineRule="auto"/>
            </w:pPr>
            <w:r>
              <w:rPr>
                <w:b/>
                <w:color w:val="FFFFFF"/>
                <w:sz w:val="17"/>
              </w:rPr>
              <w:t>Status</w:t>
            </w:r>
          </w:p>
        </w:tc>
      </w:tr>
      <w:tr>
        <w:trPr>
          <w:cantSplit/>
        </w:trPr>
        <w:tc>
          <w:tcPr>
            <w:tcW w:type="dxa" w:w="7319"/>
          </w:tcPr>
          <w:p>
            <w:pPr>
              <w:spacing w:after="0" w:line="252" w:lineRule="auto"/>
            </w:pPr>
            <w:r>
              <w:rPr>
                <w:sz w:val="17"/>
              </w:rPr>
              <w:t>Q19 logo · Q20 name · Q21 Figma · Q22 font · Q23 icons · Q24 dark theme · Q25 accents · Q26 WCAG · Q27 exports</w:t>
            </w:r>
          </w:p>
        </w:tc>
        <w:tc>
          <w:tcPr>
            <w:tcW w:type="dxa" w:w="7704"/>
          </w:tcPr>
          <w:p>
            <w:pPr>
              <w:spacing w:after="0" w:line="252" w:lineRule="auto"/>
            </w:pPr>
            <w:r>
              <w:rPr>
                <w:b/>
                <w:sz w:val="17"/>
              </w:rPr>
              <w:t>answered</w:t>
            </w:r>
            <w:r>
              <w:rPr>
                <w:sz w:val="17"/>
              </w:rPr>
              <w:t xml:space="preserve"> (D1–D8); Q19 and Q21 still need files/values</w:t>
            </w:r>
          </w:p>
        </w:tc>
      </w:tr>
      <w:tr>
        <w:trPr>
          <w:cantSplit/>
        </w:trPr>
        <w:tc>
          <w:tcPr>
            <w:tcW w:type="dxa" w:w="7319"/>
            <w:shd w:val="clear" w:color="auto" w:fill="F9FAFB"/>
          </w:tcPr>
          <w:p>
            <w:pPr>
              <w:spacing w:after="0" w:line="252" w:lineRule="auto"/>
            </w:pPr>
            <w:r>
              <w:rPr>
                <w:sz w:val="17"/>
              </w:rPr>
              <w:t>Q1–Q18</w:t>
            </w:r>
          </w:p>
        </w:tc>
        <w:tc>
          <w:tcPr>
            <w:tcW w:type="dxa" w:w="7704"/>
            <w:shd w:val="clear" w:color="auto" w:fill="F9FAFB"/>
          </w:tcPr>
          <w:p>
            <w:pPr>
              <w:spacing w:after="0" w:line="252" w:lineRule="auto"/>
            </w:pPr>
            <w:r>
              <w:rPr>
                <w:b/>
                <w:sz w:val="17"/>
              </w:rPr>
              <w:t>reduced to ten essential questions EQ1–EQ10 (§29)</w:t>
            </w:r>
            <w:r>
              <w:rPr>
                <w:sz w:val="17"/>
              </w:rPr>
              <w:t>; the rest have recommended defaults — none blocks Phase 0</w:t>
            </w:r>
          </w:p>
        </w:tc>
      </w:tr>
    </w:tbl>
    <w:p>
      <w:pPr>
        <w:spacing w:after="40"/>
      </w:pPr>
    </w:p>
    <w:p>
      <w:pPr>
        <w:pStyle w:val="Heading3"/>
      </w:pPr>
      <w:r>
        <w:t>Version 3 additions (Part D)</w:t>
      </w:r>
    </w:p>
    <w:p>
      <w:r>
        <w:t xml:space="preserve">Screenshots and original monthly reports reviewed (§26) — </w:t>
      </w:r>
      <w:r>
        <w:rPr>
          <w:b/>
        </w:rPr>
        <w:t>new findings F-32 grace periods, F-33 coverage definition, F-34 target wording, F-35 report parity</w:t>
      </w:r>
      <w:r>
        <w:t xml:space="preserve">; the unintended plan change is </w:t>
      </w:r>
      <w:r>
        <w:rPr>
          <w:b/>
        </w:rPr>
        <w:t>not yet restored</w:t>
      </w:r>
      <w:r>
        <w:t xml:space="preserve"> (record </w:t>
      </w:r>
      <w:r>
        <w:rPr>
          <w:rFonts w:ascii="Consolas" w:hAnsi="Consolas" w:cs="Consolas"/>
          <w:color w:val="B42318"/>
          <w:sz w:val="19"/>
        </w:rPr>
        <w:t>PLAN-MV0YG5BNEW</w:t>
      </w:r>
      <w:r>
        <w:t xml:space="preserve">, </w:t>
      </w:r>
      <w:r>
        <w:rPr>
          <w:rFonts w:ascii="Consolas" w:hAnsi="Consolas" w:cs="Consolas"/>
          <w:color w:val="B42318"/>
          <w:sz w:val="19"/>
        </w:rPr>
        <w:t>scenario.dRate</w:t>
      </w:r>
      <w:r>
        <w:t xml:space="preserve"> 3 → 8, §26.3); all findings consolidated into </w:t>
      </w:r>
      <w:r>
        <w:rPr>
          <w:b/>
        </w:rPr>
        <w:t>14 epics by root cause</w:t>
      </w:r>
      <w:r>
        <w:t xml:space="preserve"> (§27) and split into </w:t>
      </w:r>
      <w:r>
        <w:rPr>
          <w:i/>
        </w:rPr>
        <w:t>no-decision / decision-needed / asset-dependent</w:t>
      </w:r>
      <w:r>
        <w:t xml:space="preserve"> work (§28); </w:t>
      </w:r>
      <w:r>
        <w:rPr>
          <w:b/>
        </w:rPr>
        <w:t>measurable acceptance criteria</w:t>
      </w:r>
      <w:r>
        <w:t xml:space="preserve"> (§30); phased plan (§31).</w:t>
      </w:r>
    </w:p>
    <w:p>
      <w:pPr>
        <w:pStyle w:val="Heading3"/>
      </w:pPr>
      <w:r>
        <w:t>Inputs still needed</w:t>
      </w:r>
    </w:p>
    <w:p>
      <w:pPr>
        <w:spacing w:after="40"/>
        <w:ind w:left="510" w:hanging="283"/>
      </w:pPr>
      <w:r>
        <w:t xml:space="preserve">1.  </w:t>
      </w:r>
      <w:r>
        <w:t>Official MOMAH logo files and usage rules.</w:t>
      </w:r>
    </w:p>
    <w:p>
      <w:pPr>
        <w:spacing w:after="40"/>
        <w:ind w:left="510" w:hanging="283"/>
      </w:pPr>
      <w:r>
        <w:t xml:space="preserve">2.  </w:t>
      </w:r>
      <w:r>
        <w:t>Figma Components Library / Foundations values (or exports).</w:t>
      </w:r>
    </w:p>
    <w:p>
      <w:pPr>
        <w:spacing w:after="40"/>
        <w:ind w:left="510" w:hanging="283"/>
      </w:pPr>
      <w:r>
        <w:t xml:space="preserve">3.  </w:t>
      </w:r>
      <w:r>
        <w:t>Hugeicons licence confirmation (or Pro).</w:t>
      </w:r>
    </w:p>
    <w:p>
      <w:pPr>
        <w:spacing w:after="40"/>
        <w:ind w:left="510" w:hanging="283"/>
      </w:pPr>
      <w:r>
        <w:t xml:space="preserve">4.  </w:t>
      </w:r>
      <w:r>
        <w:t>Answers to the ten essential questions EQ1–EQ10 (§29).</w:t>
      </w:r>
    </w:p>
    <w:p>
      <w:pPr>
        <w:pStyle w:val="Heading3"/>
      </w:pPr>
      <w:r>
        <w:t>How to read this document</w:t>
      </w:r>
    </w:p>
    <w:p>
      <w:r>
        <w:t xml:space="preserve">Part A (§1–9): journeys, findings F-01…F-31, consistency, corrected journeys, plan, questions Q1–Q10, limits. Part B (§10–16): content C-, hierarchy H-, dates D-, UX references, questions Q11–Q18. Part C (§17–25): the reference extracted, the gap table G-01…G-26, the proposed design system, the </w:t>
      </w:r>
      <w:r>
        <w:rPr>
          <w:b/>
        </w:rPr>
        <w:t>consolidated remediation plan (§21 — supersedes §6 and §14)</w:t>
      </w:r>
      <w:r>
        <w:t>, decisions (§24–25).</w:t>
      </w:r>
    </w:p>
    <w:p>
      <w:r>
        <w:t>Audit date: 2026-10-09 (Asia/Riyadh) · Scope: the running app (</w:t>
      </w:r>
      <w:r>
        <w:rPr>
          <w:rFonts w:ascii="Consolas" w:hAnsi="Consolas" w:cs="Consolas"/>
          <w:color w:val="B42318"/>
          <w:sz w:val="19"/>
        </w:rPr>
        <w:t>http://localhost:3000</w:t>
      </w:r>
      <w:r>
        <w:t>, compact demo ≈ 895 invoices) and the working tree</w:t>
      </w:r>
    </w:p>
    <w:p>
      <w:r>
        <w:t xml:space="preserve">Mode: </w:t>
      </w:r>
      <w:r>
        <w:rPr>
          <w:b/>
        </w:rPr>
        <w:t>read-only</w:t>
      </w:r>
      <w:r>
        <w:t>. No code, configuration or business data was changed on purpose (one unintended test side-effect is disclosed in §9).</w:t>
      </w:r>
    </w:p>
    <w:p>
      <w:r>
        <w:t>How to read the evidence labels: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642"/>
        <w:gridCol w:w="12382"/>
      </w:tblGrid>
      <w:tr>
        <w:trPr>
          <w:tblHeader w:val="true"/>
          <w:cantSplit/>
        </w:trPr>
        <w:tc>
          <w:tcPr>
            <w:tcW w:type="dxa" w:w="2642"/>
            <w:shd w:val="clear" w:color="auto" w:fill="1B8354"/>
          </w:tcPr>
          <w:p>
            <w:pPr>
              <w:spacing w:after="0" w:line="252" w:lineRule="auto"/>
            </w:pPr>
            <w:r>
              <w:rPr>
                <w:b/>
                <w:color w:val="FFFFFF"/>
                <w:sz w:val="17"/>
              </w:rPr>
              <w:t>Label</w:t>
            </w:r>
          </w:p>
        </w:tc>
        <w:tc>
          <w:tcPr>
            <w:tcW w:type="dxa" w:w="12382"/>
            <w:shd w:val="clear" w:color="auto" w:fill="1B8354"/>
          </w:tcPr>
          <w:p>
            <w:pPr>
              <w:spacing w:after="0" w:line="252" w:lineRule="auto"/>
            </w:pPr>
            <w:r>
              <w:rPr>
                <w:b/>
                <w:color w:val="FFFFFF"/>
                <w:sz w:val="17"/>
              </w:rPr>
              <w:t>Meaning</w:t>
            </w:r>
          </w:p>
        </w:tc>
      </w:tr>
      <w:tr>
        <w:trPr>
          <w:cantSplit/>
        </w:trPr>
        <w:tc>
          <w:tcPr>
            <w:tcW w:type="dxa" w:w="2642"/>
          </w:tcPr>
          <w:p>
            <w:pPr>
              <w:spacing w:after="0" w:line="252" w:lineRule="auto"/>
            </w:pPr>
            <w:r>
              <w:rPr>
                <w:b/>
                <w:sz w:val="17"/>
              </w:rPr>
              <w:t>Verified (UI)</w:t>
            </w:r>
          </w:p>
        </w:tc>
        <w:tc>
          <w:tcPr>
            <w:tcW w:type="dxa" w:w="12382"/>
          </w:tcPr>
          <w:p>
            <w:pPr>
              <w:spacing w:after="0" w:line="252" w:lineRule="auto"/>
            </w:pPr>
            <w:r>
              <w:rPr>
                <w:sz w:val="17"/>
              </w:rPr>
              <w:t>reproduced in the running app, observed values quoted</w:t>
            </w:r>
          </w:p>
        </w:tc>
      </w:tr>
      <w:tr>
        <w:trPr>
          <w:cantSplit/>
        </w:trPr>
        <w:tc>
          <w:tcPr>
            <w:tcW w:type="dxa" w:w="2642"/>
            <w:shd w:val="clear" w:color="auto" w:fill="F9FAFB"/>
          </w:tcPr>
          <w:p>
            <w:pPr>
              <w:spacing w:after="0" w:line="252" w:lineRule="auto"/>
            </w:pPr>
            <w:r>
              <w:rPr>
                <w:b/>
                <w:sz w:val="17"/>
              </w:rPr>
              <w:t>Verified (code)</w:t>
            </w:r>
          </w:p>
        </w:tc>
        <w:tc>
          <w:tcPr>
            <w:tcW w:type="dxa" w:w="12382"/>
            <w:shd w:val="clear" w:color="auto" w:fill="F9FAFB"/>
          </w:tcPr>
          <w:p>
            <w:pPr>
              <w:spacing w:after="0" w:line="252" w:lineRule="auto"/>
            </w:pPr>
            <w:r>
              <w:rPr>
                <w:sz w:val="17"/>
              </w:rPr>
              <w:t>confirmed by reading the code at the stated line; behaviour not exercised in the browser</w:t>
            </w:r>
          </w:p>
        </w:tc>
      </w:tr>
      <w:tr>
        <w:trPr>
          <w:cantSplit/>
        </w:trPr>
        <w:tc>
          <w:tcPr>
            <w:tcW w:type="dxa" w:w="2642"/>
          </w:tcPr>
          <w:p>
            <w:pPr>
              <w:spacing w:after="0" w:line="252" w:lineRule="auto"/>
            </w:pPr>
            <w:r>
              <w:rPr>
                <w:b/>
                <w:sz w:val="17"/>
              </w:rPr>
              <w:t>Verified (data)</w:t>
            </w:r>
          </w:p>
        </w:tc>
        <w:tc>
          <w:tcPr>
            <w:tcW w:type="dxa" w:w="12382"/>
          </w:tcPr>
          <w:p>
            <w:pPr>
              <w:spacing w:after="0" w:line="252" w:lineRule="auto"/>
            </w:pPr>
            <w:r>
              <w:rPr>
                <w:sz w:val="17"/>
              </w:rPr>
              <w:t>observed in the stored browser data (localStorage / sessionStorage)</w:t>
            </w:r>
          </w:p>
        </w:tc>
      </w:tr>
      <w:tr>
        <w:trPr>
          <w:cantSplit/>
        </w:trPr>
        <w:tc>
          <w:tcPr>
            <w:tcW w:type="dxa" w:w="2642"/>
            <w:shd w:val="clear" w:color="auto" w:fill="F9FAFB"/>
          </w:tcPr>
          <w:p>
            <w:pPr>
              <w:spacing w:after="0" w:line="252" w:lineRule="auto"/>
            </w:pPr>
            <w:r>
              <w:rPr>
                <w:b/>
                <w:sz w:val="17"/>
              </w:rPr>
              <w:t>Hypothesis</w:t>
            </w:r>
          </w:p>
        </w:tc>
        <w:tc>
          <w:tcPr>
            <w:tcW w:type="dxa" w:w="12382"/>
            <w:shd w:val="clear" w:color="auto" w:fill="F9FAFB"/>
          </w:tcPr>
          <w:p>
            <w:pPr>
              <w:spacing w:after="0" w:line="252" w:lineRule="auto"/>
            </w:pPr>
            <w:r>
              <w:rPr>
                <w:sz w:val="17"/>
              </w:rPr>
              <w:t>plausible from the code, not reproduced</w:t>
            </w:r>
          </w:p>
        </w:tc>
      </w:tr>
      <w:tr>
        <w:trPr>
          <w:cantSplit/>
        </w:trPr>
        <w:tc>
          <w:tcPr>
            <w:tcW w:type="dxa" w:w="2642"/>
          </w:tcPr>
          <w:p>
            <w:pPr>
              <w:spacing w:after="0" w:line="252" w:lineRule="auto"/>
            </w:pPr>
            <w:r>
              <w:rPr>
                <w:b/>
                <w:sz w:val="17"/>
              </w:rPr>
              <w:t>Not tested</w:t>
            </w:r>
          </w:p>
        </w:tc>
        <w:tc>
          <w:tcPr>
            <w:tcW w:type="dxa" w:w="12382"/>
          </w:tcPr>
          <w:p>
            <w:pPr>
              <w:spacing w:after="0" w:line="252" w:lineRule="auto"/>
            </w:pPr>
            <w:r>
              <w:rPr>
                <w:sz w:val="17"/>
              </w:rPr>
              <w:t>could not be exercised (reason given)</w:t>
            </w:r>
          </w:p>
        </w:tc>
      </w:tr>
    </w:tbl>
    <w:p>
      <w:pPr>
        <w:spacing w:after="40"/>
      </w:pPr>
    </w:p>
    <w:p>
      <w:pPr>
        <w:ind w:left="340"/>
        <w:pBdr>
          <w:left w:val="single" w:sz="18" w:space="6" w:color="1B8354"/>
        </w:pBdr>
      </w:pPr>
      <w:r>
        <w:rPr>
          <w:b/>
          <w:color w:val="4D5761"/>
          <w:sz w:val="19"/>
        </w:rPr>
        <w:t>Superseded by §26 (version 3):</w:t>
      </w:r>
      <w:r>
        <w:rPr>
          <w:color w:val="4D5761"/>
          <w:sz w:val="19"/>
        </w:rPr>
        <w:t xml:space="preserve"> the screenshots of 9 Oct and the original monthly reports (July 2026 and January–March 2026) have now been reviewed directly. The mapping document </w:t>
      </w:r>
      <w:r>
        <w:rPr>
          <w:rFonts w:ascii="Consolas" w:hAnsi="Consolas" w:cs="Consolas"/>
          <w:color w:val="B42318"/>
          <w:sz w:val="18"/>
        </w:rPr>
        <w:t>docs/monthly-reports-mapping-ar.md</w:t>
      </w:r>
      <w:r>
        <w:rPr>
          <w:color w:val="4D5761"/>
          <w:sz w:val="19"/>
        </w:rPr>
        <w:t xml:space="preserve"> was updated accordingly.</w:t>
      </w:r>
    </w:p>
    <w:p>
      <w:pPr>
        <w:ind w:left="340"/>
        <w:pBdr>
          <w:left w:val="single" w:sz="18" w:space="6" w:color="1B8354"/>
        </w:pBdr>
      </w:pPr>
      <w:r>
        <w:rPr>
          <w:color w:val="4D5761"/>
          <w:sz w:val="19"/>
        </w:rPr>
        <w:t xml:space="preserve">There is no version history for the latest work: everything since commit </w:t>
      </w:r>
      <w:r>
        <w:rPr>
          <w:rFonts w:ascii="Consolas" w:hAnsi="Consolas" w:cs="Consolas"/>
          <w:color w:val="B42318"/>
          <w:sz w:val="18"/>
        </w:rPr>
        <w:t>d947581</w:t>
      </w:r>
      <w:r>
        <w:rPr>
          <w:color w:val="4D5761"/>
          <w:sz w:val="19"/>
        </w:rPr>
        <w:t xml:space="preserve"> is </w:t>
      </w:r>
      <w:r>
        <w:rPr>
          <w:b/>
          <w:color w:val="4D5761"/>
          <w:sz w:val="19"/>
        </w:rPr>
        <w:t>uncommitted</w:t>
      </w:r>
      <w:r>
        <w:rPr>
          <w:color w:val="4D5761"/>
          <w:sz w:val="19"/>
        </w:rPr>
        <w:t xml:space="preserve"> (122 changed paths; 54 tracked files</w:t>
      </w:r>
    </w:p>
    <w:p>
      <w:pPr>
        <w:ind w:left="340"/>
        <w:pBdr>
          <w:left w:val="single" w:sz="18" w:space="6" w:color="1B8354"/>
        </w:pBdr>
      </w:pPr>
      <w:r>
        <w:rPr>
          <w:color w:val="4D5761"/>
          <w:sz w:val="19"/>
        </w:rPr>
        <w:t>changed, +1,302 / −7,673 lines against HEAD), so regressions cannot be bisected — they were identified by comparing behaviour with the code's own stated contracts.</w:t>
      </w:r>
    </w:p>
    <w:p>
      <w:pPr>
        <w:pStyle w:val="Heading2"/>
      </w:pPr>
      <w:r>
        <w:t>1. Overall assessment</w:t>
      </w:r>
    </w:p>
    <w:p>
      <w:r>
        <w:t>**The structure (two management areas + operational modules) is sound and the build is functional. The problem is not missing screens; it is that</w:t>
      </w:r>
    </w:p>
    <w:p>
      <w:r>
        <w:t>the same measure is computed on different bases in different places, and several "complete-looking" features rest on placeholders or on silent</w:t>
      </w:r>
    </w:p>
    <w:p>
      <w:r>
        <w:t>fallbacks.** Three kinds of defect dominate:</w:t>
      </w:r>
    </w:p>
    <w:p>
      <w:pPr>
        <w:spacing w:after="40"/>
        <w:ind w:left="510" w:hanging="283"/>
      </w:pPr>
      <w:r>
        <w:t xml:space="preserve">1.  </w:t>
      </w:r>
      <w:r>
        <w:rPr>
          <w:b/>
        </w:rPr>
        <w:t>Basis drift</w:t>
      </w:r>
      <w:r>
        <w:t xml:space="preserve"> — the same indicator, same filters, gives different (even opposite) answers in the Dashboard, the Fixed reports and the Smart reports (F-01), and planning results move with the </w:t>
      </w:r>
      <w:r>
        <w:rPr>
          <w:i/>
        </w:rPr>
        <w:t>dashboard</w:t>
      </w:r>
      <w:r>
        <w:t xml:space="preserve"> filter instead of the </w:t>
      </w:r>
      <w:r>
        <w:rPr>
          <w:i/>
        </w:rPr>
        <w:t>plan's</w:t>
      </w:r>
      <w:r>
        <w:t xml:space="preserve"> scope (F-04).</w:t>
      </w:r>
    </w:p>
    <w:p>
      <w:pPr>
        <w:spacing w:after="40"/>
        <w:ind w:left="510" w:hanging="283"/>
      </w:pPr>
      <w:r>
        <w:t xml:space="preserve">2.  </w:t>
      </w:r>
      <w:r>
        <w:rPr>
          <w:b/>
        </w:rPr>
        <w:t>Silent failure</w:t>
      </w:r>
      <w:r>
        <w:t xml:space="preserve"> — wrong interpretation reported as success (Smart reports, F-05), stale figures under new filters (F-12), a hidden filter (F-13), "unavailable" shown for calculable values (F-02), "no recommendations" shown where there are findings (F-03).</w:t>
      </w:r>
    </w:p>
    <w:p>
      <w:pPr>
        <w:spacing w:after="40"/>
        <w:ind w:left="510" w:hanging="283"/>
      </w:pPr>
      <w:r>
        <w:t xml:space="preserve">3.  </w:t>
      </w:r>
      <w:r>
        <w:rPr>
          <w:b/>
        </w:rPr>
        <w:t>Governance gaps</w:t>
      </w:r>
      <w:r>
        <w:t xml:space="preserve"> — a scenario button creates an </w:t>
      </w:r>
      <w:r>
        <w:rPr>
          <w:i/>
        </w:rPr>
        <w:t>approved</w:t>
      </w:r>
      <w:r>
        <w:t xml:space="preserve"> action (F-06); an </w:t>
      </w:r>
      <w:r>
        <w:rPr>
          <w:i/>
        </w:rPr>
        <w:t>approved</w:t>
      </w:r>
      <w:r>
        <w:t xml:space="preserve"> plan can change without losing approval (F-07); "approved" means two different things for exclusions (F-08).</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399"/>
        <w:gridCol w:w="4378"/>
        <w:gridCol w:w="8246"/>
      </w:tblGrid>
      <w:tr>
        <w:trPr>
          <w:tblHeader w:val="true"/>
          <w:cantSplit/>
        </w:trPr>
        <w:tc>
          <w:tcPr>
            <w:tcW w:type="dxa" w:w="2399"/>
            <w:shd w:val="clear" w:color="auto" w:fill="1B8354"/>
          </w:tcPr>
          <w:p>
            <w:pPr>
              <w:spacing w:after="0" w:line="252" w:lineRule="auto"/>
            </w:pPr>
            <w:r>
              <w:rPr>
                <w:b/>
                <w:color w:val="FFFFFF"/>
                <w:sz w:val="17"/>
              </w:rPr>
              <w:t>Area</w:t>
            </w:r>
          </w:p>
        </w:tc>
        <w:tc>
          <w:tcPr>
            <w:tcW w:type="dxa" w:w="4378"/>
            <w:shd w:val="clear" w:color="auto" w:fill="1B8354"/>
          </w:tcPr>
          <w:p>
            <w:pPr>
              <w:spacing w:after="0" w:line="252" w:lineRule="auto"/>
            </w:pPr>
            <w:r>
              <w:rPr>
                <w:b/>
                <w:color w:val="FFFFFF"/>
                <w:sz w:val="17"/>
              </w:rPr>
              <w:t>Verdict</w:t>
            </w:r>
          </w:p>
        </w:tc>
        <w:tc>
          <w:tcPr>
            <w:tcW w:type="dxa" w:w="8246"/>
            <w:shd w:val="clear" w:color="auto" w:fill="1B8354"/>
          </w:tcPr>
          <w:p>
            <w:pPr>
              <w:spacing w:after="0" w:line="252" w:lineRule="auto"/>
            </w:pPr>
            <w:r>
              <w:rPr>
                <w:b/>
                <w:color w:val="FFFFFF"/>
                <w:sz w:val="17"/>
              </w:rPr>
              <w:t>Why</w:t>
            </w:r>
          </w:p>
        </w:tc>
      </w:tr>
      <w:tr>
        <w:trPr>
          <w:cantSplit/>
        </w:trPr>
        <w:tc>
          <w:tcPr>
            <w:tcW w:type="dxa" w:w="2399"/>
          </w:tcPr>
          <w:p>
            <w:pPr>
              <w:spacing w:after="0" w:line="252" w:lineRule="auto"/>
            </w:pPr>
            <w:r>
              <w:rPr>
                <w:sz w:val="17"/>
              </w:rPr>
              <w:t>Dashboard</w:t>
            </w:r>
          </w:p>
        </w:tc>
        <w:tc>
          <w:tcPr>
            <w:tcW w:type="dxa" w:w="4378"/>
          </w:tcPr>
          <w:p>
            <w:pPr>
              <w:spacing w:after="0" w:line="252" w:lineRule="auto"/>
            </w:pPr>
            <w:r>
              <w:rPr>
                <w:b/>
                <w:sz w:val="17"/>
              </w:rPr>
              <w:t>Usable, not yet trustworthy for closed periods</w:t>
            </w:r>
          </w:p>
        </w:tc>
        <w:tc>
          <w:tcPr>
            <w:tcW w:type="dxa" w:w="8246"/>
          </w:tcPr>
          <w:p>
            <w:pPr>
              <w:spacing w:after="0" w:line="252" w:lineRule="auto"/>
            </w:pPr>
            <w:r>
              <w:rPr>
                <w:sz w:val="17"/>
              </w:rPr>
              <w:t>Figures reconcile (gross = exclusions + net; net = collected + uncollected). KPI tile and its delta use different as-of dates (F-01); stale-under-filter (F-12).</w:t>
            </w:r>
          </w:p>
        </w:tc>
      </w:tr>
      <w:tr>
        <w:trPr>
          <w:cantSplit/>
        </w:trPr>
        <w:tc>
          <w:tcPr>
            <w:tcW w:type="dxa" w:w="2399"/>
            <w:shd w:val="clear" w:color="auto" w:fill="F9FAFB"/>
          </w:tcPr>
          <w:p>
            <w:pPr>
              <w:spacing w:after="0" w:line="252" w:lineRule="auto"/>
            </w:pPr>
            <w:r>
              <w:rPr>
                <w:sz w:val="17"/>
              </w:rPr>
              <w:t>Fixed reports</w:t>
            </w:r>
          </w:p>
        </w:tc>
        <w:tc>
          <w:tcPr>
            <w:tcW w:type="dxa" w:w="4378"/>
            <w:shd w:val="clear" w:color="auto" w:fill="F9FAFB"/>
          </w:tcPr>
          <w:p>
            <w:pPr>
              <w:spacing w:after="0" w:line="252" w:lineRule="auto"/>
            </w:pPr>
            <w:r>
              <w:rPr>
                <w:b/>
                <w:sz w:val="17"/>
              </w:rPr>
              <w:t>Good structure; two wrong blocks</w:t>
            </w:r>
          </w:p>
        </w:tc>
        <w:tc>
          <w:tcPr>
            <w:tcW w:type="dxa" w:w="8246"/>
            <w:shd w:val="clear" w:color="auto" w:fill="F9FAFB"/>
          </w:tcPr>
          <w:p>
            <w:pPr>
              <w:spacing w:after="0" w:line="252" w:lineRule="auto"/>
            </w:pPr>
            <w:r>
              <w:rPr>
                <w:sz w:val="17"/>
              </w:rPr>
              <w:t>All 9 open directly, no prompt, no errors, Excel matches the screen. Relations block and "recommendations" are wrong (F-02, F-03); comparison note is false for closed periods (F-01); PowerPoint truncates tables (F-10).</w:t>
            </w:r>
          </w:p>
        </w:tc>
      </w:tr>
      <w:tr>
        <w:trPr>
          <w:cantSplit/>
        </w:trPr>
        <w:tc>
          <w:tcPr>
            <w:tcW w:type="dxa" w:w="2399"/>
          </w:tcPr>
          <w:p>
            <w:pPr>
              <w:spacing w:after="0" w:line="252" w:lineRule="auto"/>
            </w:pPr>
            <w:r>
              <w:rPr>
                <w:sz w:val="17"/>
              </w:rPr>
              <w:t>Smart reports</w:t>
            </w:r>
          </w:p>
        </w:tc>
        <w:tc>
          <w:tcPr>
            <w:tcW w:type="dxa" w:w="4378"/>
          </w:tcPr>
          <w:p>
            <w:pPr>
              <w:spacing w:after="0" w:line="252" w:lineRule="auto"/>
            </w:pPr>
            <w:r>
              <w:rPr>
                <w:b/>
                <w:sz w:val="17"/>
              </w:rPr>
              <w:t>Weakest area</w:t>
            </w:r>
          </w:p>
        </w:tc>
        <w:tc>
          <w:tcPr>
            <w:tcW w:type="dxa" w:w="8246"/>
          </w:tcPr>
          <w:p>
            <w:pPr>
              <w:spacing w:after="0" w:line="252" w:lineRule="auto"/>
            </w:pPr>
            <w:r>
              <w:rPr>
                <w:sz w:val="17"/>
              </w:rPr>
              <w:t>Rule-based interpreter silently misreads common phrasings (F-05); empty selections show zeros (F-11); several UX defects (F-16).</w:t>
            </w:r>
          </w:p>
        </w:tc>
      </w:tr>
      <w:tr>
        <w:trPr>
          <w:cantSplit/>
        </w:trPr>
        <w:tc>
          <w:tcPr>
            <w:tcW w:type="dxa" w:w="2399"/>
            <w:shd w:val="clear" w:color="auto" w:fill="F9FAFB"/>
          </w:tcPr>
          <w:p>
            <w:pPr>
              <w:spacing w:after="0" w:line="252" w:lineRule="auto"/>
            </w:pPr>
            <w:r>
              <w:rPr>
                <w:sz w:val="17"/>
              </w:rPr>
              <w:t>Planning</w:t>
            </w:r>
          </w:p>
        </w:tc>
        <w:tc>
          <w:tcPr>
            <w:tcW w:type="dxa" w:w="4378"/>
            <w:shd w:val="clear" w:color="auto" w:fill="F9FAFB"/>
          </w:tcPr>
          <w:p>
            <w:pPr>
              <w:spacing w:after="0" w:line="252" w:lineRule="auto"/>
            </w:pPr>
            <w:r>
              <w:rPr>
                <w:b/>
                <w:sz w:val="17"/>
              </w:rPr>
              <w:t>Good coverage, wrong anchoring</w:t>
            </w:r>
          </w:p>
        </w:tc>
        <w:tc>
          <w:tcPr>
            <w:tcW w:type="dxa" w:w="8246"/>
            <w:shd w:val="clear" w:color="auto" w:fill="F9FAFB"/>
          </w:tcPr>
          <w:p>
            <w:pPr>
              <w:spacing w:after="0" w:line="252" w:lineRule="auto"/>
            </w:pPr>
            <w:r>
              <w:rPr>
                <w:sz w:val="17"/>
              </w:rPr>
              <w:t>Objectives, plan, variance, forecast, scenarios, register all exist and are labelled actual/target/forecast/scenario. But they are computed from the dashboard filter, not from the plan (F-04); approval/integrity gaps (F-06, F-07).</w:t>
            </w:r>
          </w:p>
        </w:tc>
      </w:tr>
      <w:tr>
        <w:trPr>
          <w:cantSplit/>
        </w:trPr>
        <w:tc>
          <w:tcPr>
            <w:tcW w:type="dxa" w:w="2399"/>
          </w:tcPr>
          <w:p>
            <w:pPr>
              <w:spacing w:after="0" w:line="252" w:lineRule="auto"/>
            </w:pPr>
            <w:r>
              <w:rPr>
                <w:sz w:val="17"/>
              </w:rPr>
              <w:t>Navigation / IA</w:t>
            </w:r>
          </w:p>
        </w:tc>
        <w:tc>
          <w:tcPr>
            <w:tcW w:type="dxa" w:w="4378"/>
          </w:tcPr>
          <w:p>
            <w:pPr>
              <w:spacing w:after="0" w:line="252" w:lineRule="auto"/>
            </w:pPr>
            <w:r>
              <w:rPr>
                <w:b/>
                <w:sz w:val="17"/>
              </w:rPr>
              <w:t>Needs a second pass</w:t>
            </w:r>
          </w:p>
        </w:tc>
        <w:tc>
          <w:tcPr>
            <w:tcW w:type="dxa" w:w="8246"/>
          </w:tcPr>
          <w:p>
            <w:pPr>
              <w:spacing w:after="0" w:line="252" w:lineRule="auto"/>
            </w:pPr>
            <w:r>
              <w:rPr>
                <w:sz w:val="17"/>
              </w:rPr>
              <w:t>9 flat entries (2 off-screen at 1280 px), a misdirected link, hidden operational modules, split persistence (F-17–F-19).</w:t>
            </w:r>
          </w:p>
        </w:tc>
      </w:tr>
      <w:tr>
        <w:trPr>
          <w:cantSplit/>
        </w:trPr>
        <w:tc>
          <w:tcPr>
            <w:tcW w:type="dxa" w:w="2399"/>
            <w:shd w:val="clear" w:color="auto" w:fill="F9FAFB"/>
          </w:tcPr>
          <w:p>
            <w:pPr>
              <w:spacing w:after="0" w:line="252" w:lineRule="auto"/>
            </w:pPr>
            <w:r>
              <w:rPr>
                <w:sz w:val="17"/>
              </w:rPr>
              <w:t>Arabic / RTL / responsive</w:t>
            </w:r>
          </w:p>
        </w:tc>
        <w:tc>
          <w:tcPr>
            <w:tcW w:type="dxa" w:w="4378"/>
            <w:shd w:val="clear" w:color="auto" w:fill="F9FAFB"/>
          </w:tcPr>
          <w:p>
            <w:pPr>
              <w:spacing w:after="0" w:line="252" w:lineRule="auto"/>
            </w:pPr>
            <w:r>
              <w:rPr>
                <w:b/>
                <w:sz w:val="17"/>
              </w:rPr>
              <w:t>Mostly good</w:t>
            </w:r>
          </w:p>
        </w:tc>
        <w:tc>
          <w:tcPr>
            <w:tcW w:type="dxa" w:w="8246"/>
            <w:shd w:val="clear" w:color="auto" w:fill="F9FAFB"/>
          </w:tcPr>
          <w:p>
            <w:pPr>
              <w:spacing w:after="0" w:line="252" w:lineRule="auto"/>
            </w:pPr>
            <w:r>
              <w:rPr>
                <w:sz w:val="17"/>
              </w:rPr>
              <w:t xml:space="preserve">No horizontal overflow at 390 px; Arabic is default. Proposals are in the wrong language (F-09); </w:t>
            </w:r>
            <w:r>
              <w:rPr>
                <w:rFonts w:ascii="Consolas" w:hAnsi="Consolas" w:cs="Consolas"/>
                <w:color w:val="B42318"/>
                <w:sz w:val="16"/>
              </w:rPr>
              <w:t>zh</w:t>
            </w:r>
            <w:r>
              <w:rPr>
                <w:sz w:val="17"/>
              </w:rPr>
              <w:t xml:space="preserve"> falls back to English; phone header uses 39 % of the viewport.</w:t>
            </w:r>
          </w:p>
        </w:tc>
      </w:tr>
    </w:tbl>
    <w:p>
      <w:pPr>
        <w:spacing w:after="40"/>
      </w:pPr>
    </w:p>
    <w:p>
      <w:r>
        <w:t>What works well (verified): identities hold on every checked view; missing data is shown as "</w:t>
      </w:r>
      <w:r>
        <w:rPr>
          <w:rtl/>
          <w:rFonts w:cs="Arial"/>
        </w:rPr>
        <w:t>‫غير متاح‬</w:t>
      </w:r>
      <w:r>
        <w:t>" on narrowed scopes in Planning; all fixed reports render with</w:t>
      </w:r>
    </w:p>
    <w:p>
      <w:r>
        <w:t>no console/alert errors; no NaN/undefined text in any report; the empty selection is handled correctly on Dashboard/Fixed reports/Planning; Excel exports match the</w:t>
      </w:r>
    </w:p>
    <w:p>
      <w:r>
        <w:t>displayed numbers; synthetic data is consistently labelled; legacy URLs redirect.</w:t>
      </w:r>
    </w:p>
    <w:p>
      <w:pPr>
        <w:pStyle w:val="Heading2"/>
      </w:pPr>
      <w:r>
        <w:t>2. Current page and user-journey map</w:t>
      </w:r>
    </w:p>
    <w:p>
      <w:pPr>
        <w:pStyle w:val="Heading3"/>
      </w:pPr>
      <w:r>
        <w:t xml:space="preserve">2.1 Routes and navigation (Verified: UI + </w:t>
      </w:r>
      <w:r>
        <w:rPr>
          <w:rFonts w:ascii="Consolas" w:hAnsi="Consolas" w:cs="Consolas"/>
          <w:color w:val="B42318"/>
          <w:sz w:val="19"/>
        </w:rPr>
        <w:t>src/App.jsx</w:t>
      </w:r>
      <w:r>
        <w:t xml:space="preserve">, </w:t>
      </w:r>
      <w:r>
        <w:rPr>
          <w:rFonts w:ascii="Consolas" w:hAnsi="Consolas" w:cs="Consolas"/>
          <w:color w:val="B42318"/>
          <w:sz w:val="19"/>
        </w:rPr>
        <w:t>src/components/Layout.jsx:118</w:t>
      </w:r>
      <w:r>
        <w: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4857"/>
        <w:gridCol w:w="2024"/>
        <w:gridCol w:w="2659"/>
        <w:gridCol w:w="5484"/>
      </w:tblGrid>
      <w:tr>
        <w:trPr>
          <w:tblHeader w:val="true"/>
          <w:cantSplit/>
        </w:trPr>
        <w:tc>
          <w:tcPr>
            <w:tcW w:type="dxa" w:w="4857"/>
            <w:shd w:val="clear" w:color="auto" w:fill="1B8354"/>
          </w:tcPr>
          <w:p>
            <w:pPr>
              <w:spacing w:after="0" w:line="252" w:lineRule="auto"/>
            </w:pPr>
            <w:r>
              <w:rPr>
                <w:b/>
                <w:color w:val="FFFFFF"/>
                <w:sz w:val="17"/>
              </w:rPr>
              <w:t>Route</w:t>
            </w:r>
          </w:p>
        </w:tc>
        <w:tc>
          <w:tcPr>
            <w:tcW w:type="dxa" w:w="2024"/>
            <w:shd w:val="clear" w:color="auto" w:fill="1B8354"/>
          </w:tcPr>
          <w:p>
            <w:pPr>
              <w:spacing w:after="0" w:line="252" w:lineRule="auto"/>
            </w:pPr>
            <w:r>
              <w:rPr>
                <w:b/>
                <w:color w:val="FFFFFF"/>
                <w:sz w:val="17"/>
              </w:rPr>
              <w:t>In top nav</w:t>
            </w:r>
          </w:p>
        </w:tc>
        <w:tc>
          <w:tcPr>
            <w:tcW w:type="dxa" w:w="2659"/>
            <w:shd w:val="clear" w:color="auto" w:fill="1B8354"/>
          </w:tcPr>
          <w:p>
            <w:pPr>
              <w:spacing w:after="0" w:line="252" w:lineRule="auto"/>
            </w:pPr>
            <w:r>
              <w:rPr>
                <w:b/>
                <w:color w:val="FFFFFF"/>
                <w:sz w:val="17"/>
              </w:rPr>
              <w:t>Purpose</w:t>
            </w:r>
          </w:p>
        </w:tc>
        <w:tc>
          <w:tcPr>
            <w:tcW w:type="dxa" w:w="5484"/>
            <w:shd w:val="clear" w:color="auto" w:fill="1B8354"/>
          </w:tcPr>
          <w:p>
            <w:pPr>
              <w:spacing w:after="0" w:line="252" w:lineRule="auto"/>
            </w:pPr>
            <w:r>
              <w:rPr>
                <w:b/>
                <w:color w:val="FFFFFF"/>
                <w:sz w:val="17"/>
              </w:rPr>
              <w:t>Notes</w:t>
            </w:r>
          </w:p>
        </w:tc>
      </w:tr>
      <w:tr>
        <w:trPr>
          <w:cantSplit/>
        </w:trPr>
        <w:tc>
          <w:tcPr>
            <w:tcW w:type="dxa" w:w="4857"/>
          </w:tcPr>
          <w:p>
            <w:pPr>
              <w:spacing w:after="0" w:line="252" w:lineRule="auto"/>
            </w:pPr>
            <w:r>
              <w:rPr>
                <w:rFonts w:ascii="Consolas" w:hAnsi="Consolas" w:cs="Consolas"/>
                <w:color w:val="B42318"/>
                <w:sz w:val="16"/>
              </w:rPr>
              <w:t>/insights?view=dashboard</w:t>
            </w:r>
          </w:p>
        </w:tc>
        <w:tc>
          <w:tcPr>
            <w:tcW w:type="dxa" w:w="2024"/>
          </w:tcPr>
          <w:p>
            <w:pPr>
              <w:spacing w:after="0" w:line="252" w:lineRule="auto"/>
            </w:pPr>
            <w:r>
              <w:rPr>
                <w:sz w:val="17"/>
              </w:rPr>
              <w:t xml:space="preserve">✔ </w:t>
            </w:r>
            <w:r>
              <w:rPr>
                <w:sz w:val="17"/>
                <w:rtl/>
                <w:rFonts w:cs="Arial"/>
                <w:szCs w:val="17"/>
              </w:rPr>
              <w:t>‫«لوحة المعلومات والتقارير»‬</w:t>
            </w:r>
          </w:p>
        </w:tc>
        <w:tc>
          <w:tcPr>
            <w:tcW w:type="dxa" w:w="2659"/>
          </w:tcPr>
          <w:p>
            <w:pPr>
              <w:spacing w:after="0" w:line="252" w:lineRule="auto"/>
            </w:pPr>
            <w:r>
              <w:rPr>
                <w:sz w:val="17"/>
              </w:rPr>
              <w:t>Monitoring</w:t>
            </w:r>
          </w:p>
        </w:tc>
        <w:tc>
          <w:tcPr>
            <w:tcW w:type="dxa" w:w="5484"/>
          </w:tcPr>
          <w:p>
            <w:pPr>
              <w:spacing w:after="0" w:line="252" w:lineRule="auto"/>
            </w:pPr>
            <w:r>
              <w:rPr>
                <w:sz w:val="17"/>
              </w:rPr>
              <w:t>default home</w:t>
            </w:r>
          </w:p>
        </w:tc>
      </w:tr>
      <w:tr>
        <w:trPr>
          <w:cantSplit/>
        </w:trPr>
        <w:tc>
          <w:tcPr>
            <w:tcW w:type="dxa" w:w="4857"/>
            <w:shd w:val="clear" w:color="auto" w:fill="F9FAFB"/>
          </w:tcPr>
          <w:p>
            <w:pPr>
              <w:spacing w:after="0" w:line="252" w:lineRule="auto"/>
            </w:pPr>
            <w:r>
              <w:rPr>
                <w:rFonts w:ascii="Consolas" w:hAnsi="Consolas" w:cs="Consolas"/>
                <w:color w:val="B42318"/>
                <w:sz w:val="16"/>
              </w:rPr>
              <w:t>/insights?view=reports[&amp;report=key]</w:t>
            </w:r>
          </w:p>
        </w:tc>
        <w:tc>
          <w:tcPr>
            <w:tcW w:type="dxa" w:w="2024"/>
            <w:shd w:val="clear" w:color="auto" w:fill="F9FAFB"/>
          </w:tcPr>
          <w:p>
            <w:pPr>
              <w:spacing w:after="0" w:line="252" w:lineRule="auto"/>
            </w:pPr>
            <w:r>
              <w:rPr>
                <w:sz w:val="17"/>
              </w:rPr>
              <w:t>(tab)</w:t>
            </w:r>
          </w:p>
        </w:tc>
        <w:tc>
          <w:tcPr>
            <w:tcW w:type="dxa" w:w="2659"/>
            <w:shd w:val="clear" w:color="auto" w:fill="F9FAFB"/>
          </w:tcPr>
          <w:p>
            <w:pPr>
              <w:spacing w:after="0" w:line="252" w:lineRule="auto"/>
            </w:pPr>
            <w:r>
              <w:rPr>
                <w:sz w:val="17"/>
              </w:rPr>
              <w:t>9 fixed reports</w:t>
            </w:r>
          </w:p>
        </w:tc>
        <w:tc>
          <w:tcPr>
            <w:tcW w:type="dxa" w:w="5484"/>
            <w:shd w:val="clear" w:color="auto" w:fill="F9FAFB"/>
          </w:tcPr>
          <w:p>
            <w:pPr>
              <w:spacing w:after="0" w:line="252" w:lineRule="auto"/>
            </w:pPr>
            <w:r>
              <w:rPr>
                <w:rFonts w:ascii="Consolas" w:hAnsi="Consolas" w:cs="Consolas"/>
                <w:color w:val="B42318"/>
                <w:sz w:val="16"/>
              </w:rPr>
              <w:t>report</w:t>
            </w:r>
            <w:r>
              <w:rPr>
                <w:sz w:val="17"/>
              </w:rPr>
              <w:t xml:space="preserve"> invalid → silently shows the list</w:t>
            </w:r>
          </w:p>
        </w:tc>
      </w:tr>
      <w:tr>
        <w:trPr>
          <w:cantSplit/>
        </w:trPr>
        <w:tc>
          <w:tcPr>
            <w:tcW w:type="dxa" w:w="4857"/>
          </w:tcPr>
          <w:p>
            <w:pPr>
              <w:spacing w:after="0" w:line="252" w:lineRule="auto"/>
            </w:pPr>
            <w:r>
              <w:rPr>
                <w:rFonts w:ascii="Consolas" w:hAnsi="Consolas" w:cs="Consolas"/>
                <w:color w:val="B42318"/>
                <w:sz w:val="16"/>
              </w:rPr>
              <w:t>/insights?view=smart[&amp;q=]</w:t>
            </w:r>
          </w:p>
        </w:tc>
        <w:tc>
          <w:tcPr>
            <w:tcW w:type="dxa" w:w="2024"/>
          </w:tcPr>
          <w:p>
            <w:pPr>
              <w:spacing w:after="0" w:line="252" w:lineRule="auto"/>
            </w:pPr>
            <w:r>
              <w:rPr>
                <w:sz w:val="17"/>
              </w:rPr>
              <w:t>(tab)</w:t>
            </w:r>
          </w:p>
        </w:tc>
        <w:tc>
          <w:tcPr>
            <w:tcW w:type="dxa" w:w="2659"/>
          </w:tcPr>
          <w:p>
            <w:pPr>
              <w:spacing w:after="0" w:line="252" w:lineRule="auto"/>
            </w:pPr>
            <w:r>
              <w:rPr>
                <w:sz w:val="17"/>
              </w:rPr>
              <w:t>Conversational reports</w:t>
            </w:r>
          </w:p>
        </w:tc>
        <w:tc>
          <w:tcPr>
            <w:tcW w:type="dxa" w:w="5484"/>
          </w:tcPr>
          <w:p>
            <w:pPr>
              <w:spacing w:after="0" w:line="252" w:lineRule="auto"/>
            </w:pPr>
            <w:r>
              <w:rPr>
                <w:rFonts w:ascii="Consolas" w:hAnsi="Consolas" w:cs="Consolas"/>
                <w:color w:val="B42318"/>
                <w:sz w:val="16"/>
              </w:rPr>
              <w:t>q</w:t>
            </w:r>
            <w:r>
              <w:rPr>
                <w:sz w:val="17"/>
              </w:rPr>
              <w:t xml:space="preserve"> is re-sent on every reload (F-16)</w:t>
            </w:r>
          </w:p>
        </w:tc>
      </w:tr>
      <w:tr>
        <w:trPr>
          <w:cantSplit/>
        </w:trPr>
        <w:tc>
          <w:tcPr>
            <w:tcW w:type="dxa" w:w="4857"/>
            <w:shd w:val="clear" w:color="auto" w:fill="F9FAFB"/>
          </w:tcPr>
          <w:p>
            <w:pPr>
              <w:spacing w:after="0" w:line="252" w:lineRule="auto"/>
            </w:pPr>
            <w:r>
              <w:rPr>
                <w:rFonts w:ascii="Consolas" w:hAnsi="Consolas" w:cs="Consolas"/>
                <w:color w:val="B42318"/>
                <w:sz w:val="16"/>
              </w:rPr>
              <w:t>/planning#objectives…#decisions</w:t>
            </w:r>
          </w:p>
        </w:tc>
        <w:tc>
          <w:tcPr>
            <w:tcW w:type="dxa" w:w="2024"/>
            <w:shd w:val="clear" w:color="auto" w:fill="F9FAFB"/>
          </w:tcPr>
          <w:p>
            <w:pPr>
              <w:spacing w:after="0" w:line="252" w:lineRule="auto"/>
            </w:pPr>
            <w:r>
              <w:rPr>
                <w:sz w:val="17"/>
              </w:rPr>
              <w:t xml:space="preserve">✔ </w:t>
            </w:r>
            <w:r>
              <w:rPr>
                <w:sz w:val="17"/>
                <w:rtl/>
                <w:rFonts w:cs="Arial"/>
                <w:szCs w:val="17"/>
              </w:rPr>
              <w:t>‫«التخطيط المالي والاستراتيجي»‬</w:t>
            </w:r>
          </w:p>
        </w:tc>
        <w:tc>
          <w:tcPr>
            <w:tcW w:type="dxa" w:w="2659"/>
            <w:shd w:val="clear" w:color="auto" w:fill="F9FAFB"/>
          </w:tcPr>
          <w:p>
            <w:pPr>
              <w:spacing w:after="0" w:line="252" w:lineRule="auto"/>
            </w:pPr>
            <w:r>
              <w:rPr>
                <w:sz w:val="17"/>
              </w:rPr>
              <w:t>Plan, objectives, scenarios, register</w:t>
            </w:r>
          </w:p>
        </w:tc>
        <w:tc>
          <w:tcPr>
            <w:tcW w:type="dxa" w:w="5484"/>
            <w:shd w:val="clear" w:color="auto" w:fill="F9FAFB"/>
          </w:tcPr>
          <w:p>
            <w:pPr>
              <w:spacing w:after="0" w:line="252" w:lineRule="auto"/>
            </w:pPr>
            <w:r>
              <w:rPr>
                <w:sz w:val="17"/>
              </w:rPr>
              <w:t>anchors land under the sticky header (F-29)</w:t>
            </w:r>
          </w:p>
        </w:tc>
      </w:tr>
      <w:tr>
        <w:trPr>
          <w:cantSplit/>
        </w:trPr>
        <w:tc>
          <w:tcPr>
            <w:tcW w:type="dxa" w:w="4857"/>
          </w:tcPr>
          <w:p>
            <w:pPr>
              <w:spacing w:after="0" w:line="252" w:lineRule="auto"/>
            </w:pPr>
            <w:r>
              <w:rPr>
                <w:rFonts w:ascii="Consolas" w:hAnsi="Consolas" w:cs="Consolas"/>
                <w:color w:val="B42318"/>
                <w:sz w:val="16"/>
              </w:rPr>
              <w:t>/invoices</w:t>
            </w:r>
            <w:r>
              <w:rPr>
                <w:sz w:val="17"/>
              </w:rPr>
              <w:t xml:space="preserve"> (+</w:t>
            </w:r>
            <w:r>
              <w:rPr>
                <w:rFonts w:ascii="Consolas" w:hAnsi="Consolas" w:cs="Consolas"/>
                <w:color w:val="B42318"/>
                <w:sz w:val="16"/>
              </w:rPr>
              <w:t>?id=</w:t>
            </w:r>
            <w:r>
              <w:rPr>
                <w:sz w:val="17"/>
              </w:rPr>
              <w:t xml:space="preserve">, </w:t>
            </w:r>
            <w:r>
              <w:rPr>
                <w:rFonts w:ascii="Consolas" w:hAnsi="Consolas" w:cs="Consolas"/>
                <w:color w:val="B42318"/>
                <w:sz w:val="16"/>
              </w:rPr>
              <w:t>?src=</w:t>
            </w:r>
            <w:r>
              <w:rPr>
                <w:sz w:val="17"/>
              </w:rPr>
              <w:t xml:space="preserve">, </w:t>
            </w:r>
            <w:r>
              <w:rPr>
                <w:rFonts w:ascii="Consolas" w:hAnsi="Consolas" w:cs="Consolas"/>
                <w:color w:val="B42318"/>
                <w:sz w:val="16"/>
              </w:rPr>
              <w:t>?amanah=</w:t>
            </w:r>
            <w:r>
              <w:rPr>
                <w:sz w:val="17"/>
              </w:rPr>
              <w:t xml:space="preserve">, </w:t>
            </w:r>
            <w:r>
              <w:rPr>
                <w:rFonts w:ascii="Consolas" w:hAnsi="Consolas" w:cs="Consolas"/>
                <w:color w:val="B42318"/>
                <w:sz w:val="16"/>
              </w:rPr>
              <w:t>?co=</w:t>
            </w:r>
            <w:r>
              <w:rPr>
                <w:sz w:val="17"/>
              </w:rPr>
              <w:t xml:space="preserve">, </w:t>
            </w:r>
            <w:r>
              <w:rPr>
                <w:rFonts w:ascii="Consolas" w:hAnsi="Consolas" w:cs="Consolas"/>
                <w:color w:val="B42318"/>
                <w:sz w:val="16"/>
              </w:rPr>
              <w:t>?filter=</w:t>
            </w:r>
            <w:r>
              <w:rPr>
                <w:sz w:val="17"/>
              </w:rPr>
              <w:t>)</w:t>
            </w:r>
          </w:p>
        </w:tc>
        <w:tc>
          <w:tcPr>
            <w:tcW w:type="dxa" w:w="2024"/>
          </w:tcPr>
          <w:p>
            <w:pPr>
              <w:spacing w:after="0" w:line="252" w:lineRule="auto"/>
            </w:pPr>
            <w:r>
              <w:rPr>
                <w:sz w:val="17"/>
              </w:rPr>
              <w:t>✔</w:t>
            </w:r>
          </w:p>
        </w:tc>
        <w:tc>
          <w:tcPr>
            <w:tcW w:type="dxa" w:w="2659"/>
          </w:tcPr>
          <w:p>
            <w:pPr>
              <w:spacing w:after="0" w:line="252" w:lineRule="auto"/>
            </w:pPr>
            <w:r>
              <w:rPr>
                <w:sz w:val="17"/>
              </w:rPr>
              <w:t>Invoice ledger</w:t>
            </w:r>
          </w:p>
        </w:tc>
        <w:tc>
          <w:tcPr>
            <w:tcW w:type="dxa" w:w="5484"/>
          </w:tcPr>
          <w:p>
            <w:pPr>
              <w:spacing w:after="0" w:line="252" w:lineRule="auto"/>
            </w:pPr>
            <w:r>
              <w:rPr>
                <w:rFonts w:ascii="Consolas" w:hAnsi="Consolas" w:cs="Consolas"/>
                <w:color w:val="B42318"/>
                <w:sz w:val="16"/>
              </w:rPr>
              <w:t>?src</w:t>
            </w:r>
            <w:r>
              <w:rPr>
                <w:sz w:val="17"/>
              </w:rPr>
              <w:t xml:space="preserve"> is a hidden filter (F-13)</w:t>
            </w:r>
          </w:p>
        </w:tc>
      </w:tr>
      <w:tr>
        <w:trPr>
          <w:cantSplit/>
        </w:trPr>
        <w:tc>
          <w:tcPr>
            <w:tcW w:type="dxa" w:w="4857"/>
            <w:shd w:val="clear" w:color="auto" w:fill="F9FAFB"/>
          </w:tcPr>
          <w:p>
            <w:pPr>
              <w:spacing w:after="0" w:line="252" w:lineRule="auto"/>
            </w:pPr>
            <w:r>
              <w:rPr>
                <w:rFonts w:ascii="Consolas" w:hAnsi="Consolas" w:cs="Consolas"/>
                <w:color w:val="B42318"/>
                <w:sz w:val="16"/>
              </w:rPr>
              <w:t>/noncollection</w:t>
            </w:r>
          </w:p>
        </w:tc>
        <w:tc>
          <w:tcPr>
            <w:tcW w:type="dxa" w:w="2024"/>
            <w:shd w:val="clear" w:color="auto" w:fill="F9FAFB"/>
          </w:tcPr>
          <w:p>
            <w:pPr>
              <w:spacing w:after="0" w:line="252" w:lineRule="auto"/>
            </w:pPr>
            <w:r>
              <w:rPr>
                <w:sz w:val="17"/>
              </w:rPr>
              <w:t xml:space="preserve">✔ </w:t>
            </w:r>
            <w:r>
              <w:rPr>
                <w:sz w:val="17"/>
                <w:rtl/>
                <w:rFonts w:cs="Arial"/>
                <w:szCs w:val="17"/>
              </w:rPr>
              <w:t>‫«عدم التحصيل والاستبعادات»‬</w:t>
            </w:r>
          </w:p>
        </w:tc>
        <w:tc>
          <w:tcPr>
            <w:tcW w:type="dxa" w:w="2659"/>
            <w:shd w:val="clear" w:color="auto" w:fill="F9FAFB"/>
          </w:tcPr>
          <w:p>
            <w:pPr>
              <w:spacing w:after="0" w:line="252" w:lineRule="auto"/>
            </w:pPr>
            <w:r>
              <w:rPr>
                <w:sz w:val="17"/>
              </w:rPr>
              <w:t xml:space="preserve">Exclusion review + </w:t>
            </w:r>
            <w:r>
              <w:rPr>
                <w:b/>
                <w:sz w:val="17"/>
              </w:rPr>
              <w:t>global configuration</w:t>
            </w:r>
          </w:p>
        </w:tc>
        <w:tc>
          <w:tcPr>
            <w:tcW w:type="dxa" w:w="5484"/>
            <w:shd w:val="clear" w:color="auto" w:fill="F9FAFB"/>
          </w:tcPr>
          <w:p>
            <w:pPr>
              <w:spacing w:after="0" w:line="252" w:lineRule="auto"/>
            </w:pPr>
            <w:r>
              <w:rPr>
                <w:sz w:val="17"/>
              </w:rPr>
              <w:t>changes management figures (F-20)</w:t>
            </w:r>
          </w:p>
        </w:tc>
      </w:tr>
      <w:tr>
        <w:trPr>
          <w:cantSplit/>
        </w:trPr>
        <w:tc>
          <w:tcPr>
            <w:tcW w:type="dxa" w:w="4857"/>
          </w:tcPr>
          <w:p>
            <w:pPr>
              <w:spacing w:after="0" w:line="252" w:lineRule="auto"/>
            </w:pPr>
            <w:r>
              <w:rPr>
                <w:rFonts w:ascii="Consolas" w:hAnsi="Consolas" w:cs="Consolas"/>
                <w:color w:val="B42318"/>
                <w:sz w:val="16"/>
              </w:rPr>
              <w:t>/collection</w:t>
            </w:r>
          </w:p>
        </w:tc>
        <w:tc>
          <w:tcPr>
            <w:tcW w:type="dxa" w:w="2024"/>
          </w:tcPr>
          <w:p>
            <w:pPr>
              <w:spacing w:after="0" w:line="252" w:lineRule="auto"/>
            </w:pPr>
            <w:r>
              <w:rPr>
                <w:sz w:val="17"/>
              </w:rPr>
              <w:t>✔</w:t>
            </w:r>
          </w:p>
        </w:tc>
        <w:tc>
          <w:tcPr>
            <w:tcW w:type="dxa" w:w="2659"/>
          </w:tcPr>
          <w:p>
            <w:pPr>
              <w:spacing w:after="0" w:line="252" w:lineRule="auto"/>
            </w:pPr>
            <w:r>
              <w:rPr>
                <w:sz w:val="17"/>
              </w:rPr>
              <w:t>Collection worklist</w:t>
            </w:r>
          </w:p>
        </w:tc>
        <w:tc>
          <w:tcPr>
            <w:tcW w:type="dxa" w:w="5484"/>
          </w:tcPr>
          <w:p>
            <w:pPr>
              <w:spacing w:after="0" w:line="252" w:lineRule="auto"/>
            </w:pPr>
            <w:r>
              <w:rPr>
                <w:sz w:val="17"/>
              </w:rPr>
              <w:t>"Forecast &amp; target" link is wrong (F-17)</w:t>
            </w:r>
          </w:p>
        </w:tc>
      </w:tr>
      <w:tr>
        <w:trPr>
          <w:cantSplit/>
        </w:trPr>
        <w:tc>
          <w:tcPr>
            <w:tcW w:type="dxa" w:w="4857"/>
            <w:shd w:val="clear" w:color="auto" w:fill="F9FAFB"/>
          </w:tcPr>
          <w:p>
            <w:pPr>
              <w:spacing w:after="0" w:line="252" w:lineRule="auto"/>
            </w:pPr>
            <w:r>
              <w:rPr>
                <w:rFonts w:ascii="Consolas" w:hAnsi="Consolas" w:cs="Consolas"/>
                <w:color w:val="B42318"/>
                <w:sz w:val="16"/>
              </w:rPr>
              <w:t>/contracts</w:t>
            </w:r>
          </w:p>
        </w:tc>
        <w:tc>
          <w:tcPr>
            <w:tcW w:type="dxa" w:w="2024"/>
            <w:shd w:val="clear" w:color="auto" w:fill="F9FAFB"/>
          </w:tcPr>
          <w:p>
            <w:pPr>
              <w:spacing w:after="0" w:line="252" w:lineRule="auto"/>
            </w:pPr>
            <w:r>
              <w:rPr>
                <w:sz w:val="17"/>
              </w:rPr>
              <w:t>✔</w:t>
            </w:r>
          </w:p>
        </w:tc>
        <w:tc>
          <w:tcPr>
            <w:tcW w:type="dxa" w:w="2659"/>
            <w:shd w:val="clear" w:color="auto" w:fill="F9FAFB"/>
          </w:tcPr>
          <w:p>
            <w:pPr>
              <w:spacing w:after="0" w:line="252" w:lineRule="auto"/>
            </w:pPr>
            <w:r>
              <w:rPr>
                <w:sz w:val="17"/>
              </w:rPr>
              <w:t>Contracts and enforcement</w:t>
            </w:r>
          </w:p>
        </w:tc>
        <w:tc>
          <w:tcPr>
            <w:tcW w:type="dxa" w:w="5484"/>
            <w:shd w:val="clear" w:color="auto" w:fill="F9FAFB"/>
          </w:tcPr>
          <w:p>
            <w:pPr>
              <w:spacing w:after="0" w:line="252" w:lineRule="auto"/>
            </w:pPr>
          </w:p>
        </w:tc>
      </w:tr>
      <w:tr>
        <w:trPr>
          <w:cantSplit/>
        </w:trPr>
        <w:tc>
          <w:tcPr>
            <w:tcW w:type="dxa" w:w="4857"/>
          </w:tcPr>
          <w:p>
            <w:pPr>
              <w:spacing w:after="0" w:line="252" w:lineRule="auto"/>
            </w:pPr>
            <w:r>
              <w:rPr>
                <w:rFonts w:ascii="Consolas" w:hAnsi="Consolas" w:cs="Consolas"/>
                <w:color w:val="B42318"/>
                <w:sz w:val="16"/>
              </w:rPr>
              <w:t>/risk</w:t>
            </w:r>
          </w:p>
        </w:tc>
        <w:tc>
          <w:tcPr>
            <w:tcW w:type="dxa" w:w="2024"/>
          </w:tcPr>
          <w:p>
            <w:pPr>
              <w:spacing w:after="0" w:line="252" w:lineRule="auto"/>
            </w:pPr>
            <w:r>
              <w:rPr>
                <w:sz w:val="17"/>
              </w:rPr>
              <w:t xml:space="preserve">✔ </w:t>
            </w:r>
            <w:r>
              <w:rPr>
                <w:sz w:val="17"/>
                <w:rtl/>
                <w:rFonts w:cs="Arial"/>
                <w:szCs w:val="17"/>
              </w:rPr>
              <w:t>‫«جودة البيانات والمخاطر»‬</w:t>
            </w:r>
          </w:p>
        </w:tc>
        <w:tc>
          <w:tcPr>
            <w:tcW w:type="dxa" w:w="2659"/>
          </w:tcPr>
          <w:p>
            <w:pPr>
              <w:spacing w:after="0" w:line="252" w:lineRule="auto"/>
            </w:pPr>
            <w:r>
              <w:rPr>
                <w:sz w:val="17"/>
              </w:rPr>
              <w:t>Data quality / risk radar</w:t>
            </w:r>
          </w:p>
        </w:tc>
        <w:tc>
          <w:tcPr>
            <w:tcW w:type="dxa" w:w="5484"/>
          </w:tcPr>
          <w:p>
            <w:pPr>
              <w:spacing w:after="0" w:line="252" w:lineRule="auto"/>
            </w:pPr>
            <w:r>
              <w:rPr>
                <w:sz w:val="17"/>
              </w:rPr>
              <w:t xml:space="preserve">overlaps fixed report </w:t>
            </w:r>
            <w:r>
              <w:rPr>
                <w:rFonts w:ascii="Consolas" w:hAnsi="Consolas" w:cs="Consolas"/>
                <w:color w:val="B42318"/>
                <w:sz w:val="16"/>
              </w:rPr>
              <w:t>quality</w:t>
            </w:r>
            <w:r>
              <w:rPr>
                <w:sz w:val="17"/>
              </w:rPr>
              <w:t xml:space="preserve"> and </w:t>
            </w:r>
            <w:r>
              <w:rPr>
                <w:rFonts w:ascii="Consolas" w:hAnsi="Consolas" w:cs="Consolas"/>
                <w:color w:val="B42318"/>
                <w:sz w:val="16"/>
              </w:rPr>
              <w:t>/data-sources</w:t>
            </w:r>
          </w:p>
        </w:tc>
      </w:tr>
      <w:tr>
        <w:trPr>
          <w:cantSplit/>
        </w:trPr>
        <w:tc>
          <w:tcPr>
            <w:tcW w:type="dxa" w:w="4857"/>
            <w:shd w:val="clear" w:color="auto" w:fill="F9FAFB"/>
          </w:tcPr>
          <w:p>
            <w:pPr>
              <w:spacing w:after="0" w:line="252" w:lineRule="auto"/>
            </w:pPr>
            <w:r>
              <w:rPr>
                <w:rFonts w:ascii="Consolas" w:hAnsi="Consolas" w:cs="Consolas"/>
                <w:color w:val="B42318"/>
                <w:sz w:val="16"/>
              </w:rPr>
              <w:t>/data-sources</w:t>
            </w:r>
          </w:p>
        </w:tc>
        <w:tc>
          <w:tcPr>
            <w:tcW w:type="dxa" w:w="2024"/>
            <w:shd w:val="clear" w:color="auto" w:fill="F9FAFB"/>
          </w:tcPr>
          <w:p>
            <w:pPr>
              <w:spacing w:after="0" w:line="252" w:lineRule="auto"/>
            </w:pPr>
            <w:r>
              <w:rPr>
                <w:sz w:val="17"/>
              </w:rPr>
              <w:t>✔ (off-screen at 1280 px)</w:t>
            </w:r>
          </w:p>
        </w:tc>
        <w:tc>
          <w:tcPr>
            <w:tcW w:type="dxa" w:w="2659"/>
            <w:shd w:val="clear" w:color="auto" w:fill="F9FAFB"/>
          </w:tcPr>
          <w:p>
            <w:pPr>
              <w:spacing w:after="0" w:line="252" w:lineRule="auto"/>
            </w:pPr>
            <w:r>
              <w:rPr>
                <w:sz w:val="17"/>
              </w:rPr>
              <w:t>Source freshness, reconciliation</w:t>
            </w:r>
          </w:p>
        </w:tc>
        <w:tc>
          <w:tcPr>
            <w:tcW w:type="dxa" w:w="5484"/>
            <w:shd w:val="clear" w:color="auto" w:fill="F9FAFB"/>
          </w:tcPr>
          <w:p>
            <w:pPr>
              <w:spacing w:after="0" w:line="252" w:lineRule="auto"/>
            </w:pPr>
          </w:p>
        </w:tc>
      </w:tr>
      <w:tr>
        <w:trPr>
          <w:cantSplit/>
        </w:trPr>
        <w:tc>
          <w:tcPr>
            <w:tcW w:type="dxa" w:w="4857"/>
          </w:tcPr>
          <w:p>
            <w:pPr>
              <w:spacing w:after="0" w:line="252" w:lineRule="auto"/>
            </w:pPr>
            <w:r>
              <w:rPr>
                <w:rFonts w:ascii="Consolas" w:hAnsi="Consolas" w:cs="Consolas"/>
                <w:color w:val="B42318"/>
                <w:sz w:val="16"/>
              </w:rPr>
              <w:t>/metrics</w:t>
            </w:r>
          </w:p>
        </w:tc>
        <w:tc>
          <w:tcPr>
            <w:tcW w:type="dxa" w:w="2024"/>
          </w:tcPr>
          <w:p>
            <w:pPr>
              <w:spacing w:after="0" w:line="252" w:lineRule="auto"/>
            </w:pPr>
            <w:r>
              <w:rPr>
                <w:sz w:val="17"/>
              </w:rPr>
              <w:t>✔ (off-screen at 1280 px)</w:t>
            </w:r>
          </w:p>
        </w:tc>
        <w:tc>
          <w:tcPr>
            <w:tcW w:type="dxa" w:w="2659"/>
          </w:tcPr>
          <w:p>
            <w:pPr>
              <w:spacing w:after="0" w:line="252" w:lineRule="auto"/>
            </w:pPr>
            <w:r>
              <w:rPr>
                <w:sz w:val="17"/>
              </w:rPr>
              <w:t>Metric dictionary</w:t>
            </w:r>
          </w:p>
        </w:tc>
        <w:tc>
          <w:tcPr>
            <w:tcW w:type="dxa" w:w="5484"/>
          </w:tcPr>
          <w:p>
            <w:pPr>
              <w:spacing w:after="0" w:line="252" w:lineRule="auto"/>
            </w:pPr>
            <w:r>
              <w:rPr>
                <w:sz w:val="17"/>
              </w:rPr>
              <w:t>has its own KPI values and filter bar</w:t>
            </w:r>
          </w:p>
        </w:tc>
      </w:tr>
      <w:tr>
        <w:trPr>
          <w:cantSplit/>
        </w:trPr>
        <w:tc>
          <w:tcPr>
            <w:tcW w:type="dxa" w:w="4857"/>
            <w:shd w:val="clear" w:color="auto" w:fill="F9FAFB"/>
          </w:tcPr>
          <w:p>
            <w:pPr>
              <w:spacing w:after="0" w:line="252" w:lineRule="auto"/>
            </w:pPr>
            <w:r>
              <w:rPr>
                <w:rFonts w:ascii="Consolas" w:hAnsi="Consolas" w:cs="Consolas"/>
                <w:color w:val="B42318"/>
                <w:sz w:val="16"/>
              </w:rPr>
              <w:t>/sanad-orders</w:t>
            </w:r>
            <w:r>
              <w:rPr>
                <w:sz w:val="17"/>
              </w:rPr>
              <w:t xml:space="preserve">, </w:t>
            </w:r>
            <w:r>
              <w:rPr>
                <w:rFonts w:ascii="Consolas" w:hAnsi="Consolas" w:cs="Consolas"/>
                <w:color w:val="B42318"/>
                <w:sz w:val="16"/>
              </w:rPr>
              <w:t>/sanad-orders/:n</w:t>
            </w:r>
            <w:r>
              <w:rPr>
                <w:sz w:val="17"/>
              </w:rPr>
              <w:t xml:space="preserve">, </w:t>
            </w:r>
            <w:r>
              <w:rPr>
                <w:rFonts w:ascii="Consolas" w:hAnsi="Consolas" w:cs="Consolas"/>
                <w:color w:val="B42318"/>
                <w:sz w:val="16"/>
              </w:rPr>
              <w:t>/investment-invoices</w:t>
            </w:r>
            <w:r>
              <w:rPr>
                <w:sz w:val="17"/>
              </w:rPr>
              <w:t xml:space="preserve">, </w:t>
            </w:r>
            <w:r>
              <w:rPr>
                <w:rFonts w:ascii="Consolas" w:hAnsi="Consolas" w:cs="Consolas"/>
                <w:color w:val="B42318"/>
                <w:sz w:val="16"/>
              </w:rPr>
              <w:t>/investment-invoices/:id</w:t>
            </w:r>
          </w:p>
        </w:tc>
        <w:tc>
          <w:tcPr>
            <w:tcW w:type="dxa" w:w="2024"/>
            <w:shd w:val="clear" w:color="auto" w:fill="F9FAFB"/>
          </w:tcPr>
          <w:p>
            <w:pPr>
              <w:spacing w:after="0" w:line="252" w:lineRule="auto"/>
            </w:pPr>
            <w:r>
              <w:rPr>
                <w:sz w:val="17"/>
              </w:rPr>
              <w:t>✘ not in nav</w:t>
            </w:r>
          </w:p>
        </w:tc>
        <w:tc>
          <w:tcPr>
            <w:tcW w:type="dxa" w:w="2659"/>
            <w:shd w:val="clear" w:color="auto" w:fill="F9FAFB"/>
          </w:tcPr>
          <w:p>
            <w:pPr>
              <w:spacing w:after="0" w:line="252" w:lineRule="auto"/>
            </w:pPr>
            <w:r>
              <w:rPr>
                <w:sz w:val="17"/>
              </w:rPr>
              <w:t>Operational</w:t>
            </w:r>
          </w:p>
        </w:tc>
        <w:tc>
          <w:tcPr>
            <w:tcW w:type="dxa" w:w="5484"/>
            <w:shd w:val="clear" w:color="auto" w:fill="F9FAFB"/>
          </w:tcPr>
          <w:p>
            <w:pPr>
              <w:spacing w:after="0" w:line="252" w:lineRule="auto"/>
            </w:pPr>
            <w:r>
              <w:rPr>
                <w:sz w:val="17"/>
              </w:rPr>
              <w:t>reachable only from links; no nav highlight, page title falls back to "INTELLIBILL"</w:t>
            </w:r>
          </w:p>
        </w:tc>
      </w:tr>
      <w:tr>
        <w:trPr>
          <w:cantSplit/>
        </w:trPr>
        <w:tc>
          <w:tcPr>
            <w:tcW w:type="dxa" w:w="4857"/>
          </w:tcPr>
          <w:p>
            <w:pPr>
              <w:spacing w:after="0" w:line="252" w:lineRule="auto"/>
            </w:pPr>
            <w:r>
              <w:rPr>
                <w:rFonts w:ascii="Consolas" w:hAnsi="Consolas" w:cs="Consolas"/>
                <w:color w:val="B42318"/>
                <w:sz w:val="16"/>
              </w:rPr>
              <w:t>/executive</w:t>
            </w:r>
            <w:r>
              <w:rPr>
                <w:sz w:val="17"/>
              </w:rPr>
              <w:t xml:space="preserve">, </w:t>
            </w:r>
            <w:r>
              <w:rPr>
                <w:rFonts w:ascii="Consolas" w:hAnsi="Consolas" w:cs="Consolas"/>
                <w:color w:val="B42318"/>
                <w:sz w:val="16"/>
              </w:rPr>
              <w:t>/dashboard</w:t>
            </w:r>
            <w:r>
              <w:rPr>
                <w:sz w:val="17"/>
              </w:rPr>
              <w:t xml:space="preserve">, </w:t>
            </w:r>
            <w:r>
              <w:rPr>
                <w:rFonts w:ascii="Consolas" w:hAnsi="Consolas" w:cs="Consolas"/>
                <w:color w:val="B42318"/>
                <w:sz w:val="16"/>
              </w:rPr>
              <w:t>/reports</w:t>
            </w:r>
            <w:r>
              <w:rPr>
                <w:sz w:val="17"/>
              </w:rPr>
              <w:t xml:space="preserve">, </w:t>
            </w:r>
            <w:r>
              <w:rPr>
                <w:rFonts w:ascii="Consolas" w:hAnsi="Consolas" w:cs="Consolas"/>
                <w:color w:val="B42318"/>
                <w:sz w:val="16"/>
              </w:rPr>
              <w:t>/smart-reports</w:t>
            </w:r>
            <w:r>
              <w:rPr>
                <w:sz w:val="17"/>
              </w:rPr>
              <w:t xml:space="preserve">, </w:t>
            </w:r>
            <w:r>
              <w:rPr>
                <w:rFonts w:ascii="Consolas" w:hAnsi="Consolas" w:cs="Consolas"/>
                <w:color w:val="B42318"/>
                <w:sz w:val="16"/>
              </w:rPr>
              <w:t>/assistant</w:t>
            </w:r>
            <w:r>
              <w:rPr>
                <w:sz w:val="17"/>
              </w:rPr>
              <w:t xml:space="preserve">, </w:t>
            </w:r>
            <w:r>
              <w:rPr>
                <w:rFonts w:ascii="Consolas" w:hAnsi="Consolas" w:cs="Consolas"/>
                <w:color w:val="B42318"/>
                <w:sz w:val="16"/>
              </w:rPr>
              <w:t>/strategic</w:t>
            </w:r>
            <w:r>
              <w:rPr>
                <w:sz w:val="17"/>
              </w:rPr>
              <w:t xml:space="preserve">, </w:t>
            </w:r>
            <w:r>
              <w:rPr>
                <w:rFonts w:ascii="Consolas" w:hAnsi="Consolas" w:cs="Consolas"/>
                <w:color w:val="B42318"/>
                <w:sz w:val="16"/>
              </w:rPr>
              <w:t>/decision-room</w:t>
            </w:r>
            <w:r>
              <w:rPr>
                <w:sz w:val="17"/>
              </w:rPr>
              <w:t xml:space="preserve">, </w:t>
            </w:r>
            <w:r>
              <w:rPr>
                <w:rFonts w:ascii="Consolas" w:hAnsi="Consolas" w:cs="Consolas"/>
                <w:color w:val="B42318"/>
                <w:sz w:val="16"/>
              </w:rPr>
              <w:t>/what-if</w:t>
            </w:r>
          </w:p>
        </w:tc>
        <w:tc>
          <w:tcPr>
            <w:tcW w:type="dxa" w:w="2024"/>
          </w:tcPr>
          <w:p>
            <w:pPr>
              <w:spacing w:after="0" w:line="252" w:lineRule="auto"/>
            </w:pPr>
            <w:r>
              <w:rPr>
                <w:sz w:val="17"/>
              </w:rPr>
              <w:t>–</w:t>
            </w:r>
          </w:p>
        </w:tc>
        <w:tc>
          <w:tcPr>
            <w:tcW w:type="dxa" w:w="2659"/>
          </w:tcPr>
          <w:p>
            <w:pPr>
              <w:spacing w:after="0" w:line="252" w:lineRule="auto"/>
            </w:pPr>
            <w:r>
              <w:rPr>
                <w:sz w:val="17"/>
              </w:rPr>
              <w:t>Legacy</w:t>
            </w:r>
          </w:p>
        </w:tc>
        <w:tc>
          <w:tcPr>
            <w:tcW w:type="dxa" w:w="5484"/>
          </w:tcPr>
          <w:p>
            <w:pPr>
              <w:spacing w:after="0" w:line="252" w:lineRule="auto"/>
            </w:pPr>
            <w:r>
              <w:rPr>
                <w:sz w:val="17"/>
              </w:rPr>
              <w:t xml:space="preserve">all redirect correctly (Verified UI); </w:t>
            </w:r>
            <w:r>
              <w:rPr>
                <w:rFonts w:ascii="Consolas" w:hAnsi="Consolas" w:cs="Consolas"/>
                <w:color w:val="B42318"/>
                <w:sz w:val="16"/>
              </w:rPr>
              <w:t>/executive#exec-q1</w:t>
            </w:r>
            <w:r>
              <w:rPr>
                <w:sz w:val="17"/>
              </w:rPr>
              <w:t xml:space="preserve"> loses its anchor; </w:t>
            </w:r>
            <w:r>
              <w:rPr>
                <w:rFonts w:ascii="Consolas" w:hAnsi="Consolas" w:cs="Consolas"/>
                <w:color w:val="B42318"/>
                <w:sz w:val="16"/>
              </w:rPr>
              <w:t>/reports?r=aging</w:t>
            </w:r>
            <w:r>
              <w:rPr>
                <w:sz w:val="17"/>
              </w:rPr>
              <w:t xml:space="preserve"> is not normalised to </w:t>
            </w:r>
            <w:r>
              <w:rPr>
                <w:rFonts w:ascii="Consolas" w:hAnsi="Consolas" w:cs="Consolas"/>
                <w:color w:val="B42318"/>
                <w:sz w:val="16"/>
              </w:rPr>
              <w:t>view=reports&amp;report=aging</w:t>
            </w:r>
          </w:p>
        </w:tc>
      </w:tr>
      <w:tr>
        <w:trPr>
          <w:cantSplit/>
        </w:trPr>
        <w:tc>
          <w:tcPr>
            <w:tcW w:type="dxa" w:w="4857"/>
            <w:shd w:val="clear" w:color="auto" w:fill="F9FAFB"/>
          </w:tcPr>
          <w:p>
            <w:pPr>
              <w:spacing w:after="0" w:line="252" w:lineRule="auto"/>
            </w:pPr>
            <w:r>
              <w:rPr>
                <w:sz w:val="17"/>
              </w:rPr>
              <w:t>any unknown path</w:t>
            </w:r>
          </w:p>
        </w:tc>
        <w:tc>
          <w:tcPr>
            <w:tcW w:type="dxa" w:w="2024"/>
            <w:shd w:val="clear" w:color="auto" w:fill="F9FAFB"/>
          </w:tcPr>
          <w:p>
            <w:pPr>
              <w:spacing w:after="0" w:line="252" w:lineRule="auto"/>
            </w:pPr>
            <w:r>
              <w:rPr>
                <w:sz w:val="17"/>
              </w:rPr>
              <w:t>–</w:t>
            </w:r>
          </w:p>
        </w:tc>
        <w:tc>
          <w:tcPr>
            <w:tcW w:type="dxa" w:w="2659"/>
            <w:shd w:val="clear" w:color="auto" w:fill="F9FAFB"/>
          </w:tcPr>
          <w:p>
            <w:pPr>
              <w:spacing w:after="0" w:line="252" w:lineRule="auto"/>
            </w:pPr>
            <w:r>
              <w:rPr>
                <w:sz w:val="17"/>
              </w:rPr>
              <w:t>–</w:t>
            </w:r>
          </w:p>
        </w:tc>
        <w:tc>
          <w:tcPr>
            <w:tcW w:type="dxa" w:w="5484"/>
            <w:shd w:val="clear" w:color="auto" w:fill="F9FAFB"/>
          </w:tcPr>
          <w:p>
            <w:pPr>
              <w:spacing w:after="0" w:line="252" w:lineRule="auto"/>
            </w:pPr>
            <w:r>
              <w:rPr>
                <w:sz w:val="17"/>
              </w:rPr>
              <w:t>silently becomes the dashboard (no 404)</w:t>
            </w:r>
          </w:p>
        </w:tc>
      </w:tr>
    </w:tbl>
    <w:p>
      <w:pPr>
        <w:spacing w:after="40"/>
      </w:pPr>
    </w:p>
    <w:p>
      <w:pPr>
        <w:pStyle w:val="Heading3"/>
      </w:pPr>
      <w:r>
        <w:t>2.2 Journey status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197"/>
        <w:gridCol w:w="4843"/>
        <w:gridCol w:w="1197"/>
        <w:gridCol w:w="7786"/>
      </w:tblGrid>
      <w:tr>
        <w:trPr>
          <w:tblHeader w:val="true"/>
          <w:cantSplit/>
        </w:trPr>
        <w:tc>
          <w:tcPr>
            <w:tcW w:type="dxa" w:w="1197"/>
            <w:shd w:val="clear" w:color="auto" w:fill="1B8354"/>
          </w:tcPr>
          <w:p>
            <w:pPr>
              <w:spacing w:after="0" w:line="252" w:lineRule="auto"/>
            </w:pPr>
            <w:r>
              <w:rPr>
                <w:b/>
                <w:color w:val="FFFFFF"/>
                <w:sz w:val="17"/>
              </w:rPr>
              <w:t>#</w:t>
            </w:r>
          </w:p>
        </w:tc>
        <w:tc>
          <w:tcPr>
            <w:tcW w:type="dxa" w:w="4843"/>
            <w:shd w:val="clear" w:color="auto" w:fill="1B8354"/>
          </w:tcPr>
          <w:p>
            <w:pPr>
              <w:spacing w:after="0" w:line="252" w:lineRule="auto"/>
            </w:pPr>
            <w:r>
              <w:rPr>
                <w:b/>
                <w:color w:val="FFFFFF"/>
                <w:sz w:val="17"/>
              </w:rPr>
              <w:t>Journey</w:t>
            </w:r>
          </w:p>
        </w:tc>
        <w:tc>
          <w:tcPr>
            <w:tcW w:type="dxa" w:w="1197"/>
            <w:shd w:val="clear" w:color="auto" w:fill="1B8354"/>
          </w:tcPr>
          <w:p>
            <w:pPr>
              <w:spacing w:after="0" w:line="252" w:lineRule="auto"/>
            </w:pPr>
            <w:r>
              <w:rPr>
                <w:b/>
                <w:color w:val="FFFFFF"/>
                <w:sz w:val="17"/>
              </w:rPr>
              <w:t>Status</w:t>
            </w:r>
          </w:p>
        </w:tc>
        <w:tc>
          <w:tcPr>
            <w:tcW w:type="dxa" w:w="7786"/>
            <w:shd w:val="clear" w:color="auto" w:fill="1B8354"/>
          </w:tcPr>
          <w:p>
            <w:pPr>
              <w:spacing w:after="0" w:line="252" w:lineRule="auto"/>
            </w:pPr>
            <w:r>
              <w:rPr>
                <w:b/>
                <w:color w:val="FFFFFF"/>
                <w:sz w:val="17"/>
              </w:rPr>
              <w:t>Main blockers</w:t>
            </w:r>
          </w:p>
        </w:tc>
      </w:tr>
      <w:tr>
        <w:trPr>
          <w:cantSplit/>
        </w:trPr>
        <w:tc>
          <w:tcPr>
            <w:tcW w:type="dxa" w:w="1197"/>
          </w:tcPr>
          <w:p>
            <w:pPr>
              <w:spacing w:after="0" w:line="252" w:lineRule="auto"/>
            </w:pPr>
            <w:r>
              <w:rPr>
                <w:sz w:val="17"/>
              </w:rPr>
              <w:t>J1</w:t>
            </w:r>
          </w:p>
        </w:tc>
        <w:tc>
          <w:tcPr>
            <w:tcW w:type="dxa" w:w="4843"/>
          </w:tcPr>
          <w:p>
            <w:pPr>
              <w:spacing w:after="0" w:line="252" w:lineRule="auto"/>
            </w:pPr>
            <w:r>
              <w:rPr>
                <w:sz w:val="17"/>
              </w:rPr>
              <w:t>Open dashboard → filter → drill down</w:t>
            </w:r>
          </w:p>
        </w:tc>
        <w:tc>
          <w:tcPr>
            <w:tcW w:type="dxa" w:w="1197"/>
          </w:tcPr>
          <w:p>
            <w:pPr>
              <w:spacing w:after="0" w:line="252" w:lineRule="auto"/>
            </w:pPr>
            <w:r>
              <w:rPr>
                <w:sz w:val="17"/>
              </w:rPr>
              <w:t>⚠ works</w:t>
            </w:r>
          </w:p>
        </w:tc>
        <w:tc>
          <w:tcPr>
            <w:tcW w:type="dxa" w:w="7786"/>
          </w:tcPr>
          <w:p>
            <w:pPr>
              <w:spacing w:after="0" w:line="252" w:lineRule="auto"/>
            </w:pPr>
            <w:r>
              <w:rPr>
                <w:sz w:val="17"/>
              </w:rPr>
              <w:t xml:space="preserve">stale figures under new chips (F-12); </w:t>
            </w:r>
            <w:r>
              <w:rPr>
                <w:rFonts w:ascii="Consolas" w:hAnsi="Consolas" w:cs="Consolas"/>
                <w:color w:val="B42318"/>
                <w:sz w:val="16"/>
              </w:rPr>
              <w:t>/invoices?src=</w:t>
            </w:r>
            <w:r>
              <w:rPr>
                <w:sz w:val="17"/>
              </w:rPr>
              <w:t xml:space="preserve"> hidden filter (F-13); closed-period KPI vs delta (F-01)</w:t>
            </w:r>
          </w:p>
        </w:tc>
      </w:tr>
      <w:tr>
        <w:trPr>
          <w:cantSplit/>
        </w:trPr>
        <w:tc>
          <w:tcPr>
            <w:tcW w:type="dxa" w:w="1197"/>
            <w:shd w:val="clear" w:color="auto" w:fill="F9FAFB"/>
          </w:tcPr>
          <w:p>
            <w:pPr>
              <w:spacing w:after="0" w:line="252" w:lineRule="auto"/>
            </w:pPr>
            <w:r>
              <w:rPr>
                <w:sz w:val="17"/>
              </w:rPr>
              <w:t>J2</w:t>
            </w:r>
          </w:p>
        </w:tc>
        <w:tc>
          <w:tcPr>
            <w:tcW w:type="dxa" w:w="4843"/>
            <w:shd w:val="clear" w:color="auto" w:fill="F9FAFB"/>
          </w:tcPr>
          <w:p>
            <w:pPr>
              <w:spacing w:after="0" w:line="252" w:lineRule="auto"/>
            </w:pPr>
            <w:r>
              <w:rPr>
                <w:sz w:val="17"/>
              </w:rPr>
              <w:t>Open fixed report → export</w:t>
            </w:r>
          </w:p>
        </w:tc>
        <w:tc>
          <w:tcPr>
            <w:tcW w:type="dxa" w:w="1197"/>
            <w:shd w:val="clear" w:color="auto" w:fill="F9FAFB"/>
          </w:tcPr>
          <w:p>
            <w:pPr>
              <w:spacing w:after="0" w:line="252" w:lineRule="auto"/>
            </w:pPr>
            <w:r>
              <w:rPr>
                <w:sz w:val="17"/>
              </w:rPr>
              <w:t>⚠ works</w:t>
            </w:r>
          </w:p>
        </w:tc>
        <w:tc>
          <w:tcPr>
            <w:tcW w:type="dxa" w:w="7786"/>
            <w:shd w:val="clear" w:color="auto" w:fill="F9FAFB"/>
          </w:tcPr>
          <w:p>
            <w:pPr>
              <w:spacing w:after="0" w:line="252" w:lineRule="auto"/>
            </w:pPr>
            <w:r>
              <w:rPr>
                <w:sz w:val="17"/>
              </w:rPr>
              <w:t>wrong relations block (F-02), false recommendations (F-03), PowerPoint truncation (F-10), Excel omits caveats</w:t>
            </w:r>
          </w:p>
        </w:tc>
      </w:tr>
      <w:tr>
        <w:trPr>
          <w:cantSplit/>
        </w:trPr>
        <w:tc>
          <w:tcPr>
            <w:tcW w:type="dxa" w:w="1197"/>
          </w:tcPr>
          <w:p>
            <w:pPr>
              <w:spacing w:after="0" w:line="252" w:lineRule="auto"/>
            </w:pPr>
            <w:r>
              <w:rPr>
                <w:sz w:val="17"/>
              </w:rPr>
              <w:t>J3</w:t>
            </w:r>
          </w:p>
        </w:tc>
        <w:tc>
          <w:tcPr>
            <w:tcW w:type="dxa" w:w="4843"/>
          </w:tcPr>
          <w:p>
            <w:pPr>
              <w:spacing w:after="0" w:line="252" w:lineRule="auto"/>
            </w:pPr>
            <w:r>
              <w:rPr>
                <w:sz w:val="17"/>
              </w:rPr>
              <w:t>Smart report: prompt → refine → reopen</w:t>
            </w:r>
          </w:p>
        </w:tc>
        <w:tc>
          <w:tcPr>
            <w:tcW w:type="dxa" w:w="1197"/>
          </w:tcPr>
          <w:p>
            <w:pPr>
              <w:spacing w:after="0" w:line="252" w:lineRule="auto"/>
            </w:pPr>
            <w:r>
              <w:rPr>
                <w:sz w:val="17"/>
              </w:rPr>
              <w:t>✖/⚠</w:t>
            </w:r>
          </w:p>
        </w:tc>
        <w:tc>
          <w:tcPr>
            <w:tcW w:type="dxa" w:w="7786"/>
          </w:tcPr>
          <w:p>
            <w:pPr>
              <w:spacing w:after="0" w:line="252" w:lineRule="auto"/>
            </w:pPr>
            <w:r>
              <w:rPr>
                <w:sz w:val="17"/>
              </w:rPr>
              <w:t>misinterpretation (F-05), scroll jump / replay / false "prepared" text (F-16), zeros on empty (F-11)</w:t>
            </w:r>
          </w:p>
        </w:tc>
      </w:tr>
      <w:tr>
        <w:trPr>
          <w:cantSplit/>
        </w:trPr>
        <w:tc>
          <w:tcPr>
            <w:tcW w:type="dxa" w:w="1197"/>
            <w:shd w:val="clear" w:color="auto" w:fill="F9FAFB"/>
          </w:tcPr>
          <w:p>
            <w:pPr>
              <w:spacing w:after="0" w:line="252" w:lineRule="auto"/>
            </w:pPr>
            <w:r>
              <w:rPr>
                <w:sz w:val="17"/>
              </w:rPr>
              <w:t>J4</w:t>
            </w:r>
          </w:p>
        </w:tc>
        <w:tc>
          <w:tcPr>
            <w:tcW w:type="dxa" w:w="4843"/>
            <w:shd w:val="clear" w:color="auto" w:fill="F9FAFB"/>
          </w:tcPr>
          <w:p>
            <w:pPr>
              <w:spacing w:after="0" w:line="252" w:lineRule="auto"/>
            </w:pPr>
            <w:r>
              <w:rPr>
                <w:sz w:val="17"/>
              </w:rPr>
              <w:t>Review financial &amp; strategic objectives</w:t>
            </w:r>
          </w:p>
        </w:tc>
        <w:tc>
          <w:tcPr>
            <w:tcW w:type="dxa" w:w="1197"/>
            <w:shd w:val="clear" w:color="auto" w:fill="F9FAFB"/>
          </w:tcPr>
          <w:p>
            <w:pPr>
              <w:spacing w:after="0" w:line="252" w:lineRule="auto"/>
            </w:pPr>
            <w:r>
              <w:rPr>
                <w:sz w:val="17"/>
              </w:rPr>
              <w:t>⚠</w:t>
            </w:r>
          </w:p>
        </w:tc>
        <w:tc>
          <w:tcPr>
            <w:tcW w:type="dxa" w:w="7786"/>
            <w:shd w:val="clear" w:color="auto" w:fill="F9FAFB"/>
          </w:tcPr>
          <w:p>
            <w:pPr>
              <w:spacing w:after="0" w:line="252" w:lineRule="auto"/>
            </w:pPr>
            <w:r>
              <w:rPr>
                <w:sz w:val="17"/>
              </w:rPr>
              <w:t>status depends on dashboard filter (F-04); thresholds hard-coded (F-26)</w:t>
            </w:r>
          </w:p>
        </w:tc>
      </w:tr>
      <w:tr>
        <w:trPr>
          <w:cantSplit/>
        </w:trPr>
        <w:tc>
          <w:tcPr>
            <w:tcW w:type="dxa" w:w="1197"/>
          </w:tcPr>
          <w:p>
            <w:pPr>
              <w:spacing w:after="0" w:line="252" w:lineRule="auto"/>
            </w:pPr>
            <w:r>
              <w:rPr>
                <w:sz w:val="17"/>
              </w:rPr>
              <w:t>J5</w:t>
            </w:r>
          </w:p>
        </w:tc>
        <w:tc>
          <w:tcPr>
            <w:tcW w:type="dxa" w:w="4843"/>
          </w:tcPr>
          <w:p>
            <w:pPr>
              <w:spacing w:after="0" w:line="252" w:lineRule="auto"/>
            </w:pPr>
            <w:r>
              <w:rPr>
                <w:sz w:val="17"/>
              </w:rPr>
              <w:t>Create / compare / save / reopen scenarios</w:t>
            </w:r>
          </w:p>
        </w:tc>
        <w:tc>
          <w:tcPr>
            <w:tcW w:type="dxa" w:w="1197"/>
          </w:tcPr>
          <w:p>
            <w:pPr>
              <w:spacing w:after="0" w:line="252" w:lineRule="auto"/>
            </w:pPr>
            <w:r>
              <w:rPr>
                <w:sz w:val="17"/>
              </w:rPr>
              <w:t>✖/⚠</w:t>
            </w:r>
          </w:p>
        </w:tc>
        <w:tc>
          <w:tcPr>
            <w:tcW w:type="dxa" w:w="7786"/>
          </w:tcPr>
          <w:p>
            <w:pPr>
              <w:spacing w:after="0" w:line="252" w:lineRule="auto"/>
            </w:pPr>
            <w:r>
              <w:rPr>
                <w:sz w:val="17"/>
              </w:rPr>
              <w:t>one scenario per plan, no comparison view (F-24); results depend on filter (F-04); approved plan mutable (F-07)</w:t>
            </w:r>
          </w:p>
        </w:tc>
      </w:tr>
      <w:tr>
        <w:trPr>
          <w:cantSplit/>
        </w:trPr>
        <w:tc>
          <w:tcPr>
            <w:tcW w:type="dxa" w:w="1197"/>
            <w:shd w:val="clear" w:color="auto" w:fill="F9FAFB"/>
          </w:tcPr>
          <w:p>
            <w:pPr>
              <w:spacing w:after="0" w:line="252" w:lineRule="auto"/>
            </w:pPr>
            <w:r>
              <w:rPr>
                <w:sz w:val="17"/>
              </w:rPr>
              <w:t>J6</w:t>
            </w:r>
          </w:p>
        </w:tc>
        <w:tc>
          <w:tcPr>
            <w:tcW w:type="dxa" w:w="4843"/>
            <w:shd w:val="clear" w:color="auto" w:fill="F9FAFB"/>
          </w:tcPr>
          <w:p>
            <w:pPr>
              <w:spacing w:after="0" w:line="252" w:lineRule="auto"/>
            </w:pPr>
            <w:r>
              <w:rPr>
                <w:sz w:val="17"/>
              </w:rPr>
              <w:t>Create decisions/actions and follow outcomes</w:t>
            </w:r>
          </w:p>
        </w:tc>
        <w:tc>
          <w:tcPr>
            <w:tcW w:type="dxa" w:w="1197"/>
            <w:shd w:val="clear" w:color="auto" w:fill="F9FAFB"/>
          </w:tcPr>
          <w:p>
            <w:pPr>
              <w:spacing w:after="0" w:line="252" w:lineRule="auto"/>
            </w:pPr>
            <w:r>
              <w:rPr>
                <w:sz w:val="17"/>
              </w:rPr>
              <w:t>⚠</w:t>
            </w:r>
          </w:p>
        </w:tc>
        <w:tc>
          <w:tcPr>
            <w:tcW w:type="dxa" w:w="7786"/>
            <w:shd w:val="clear" w:color="auto" w:fill="F9FAFB"/>
          </w:tcPr>
          <w:p>
            <w:pPr>
              <w:spacing w:after="0" w:line="252" w:lineRule="auto"/>
            </w:pPr>
            <w:r>
              <w:rPr>
                <w:sz w:val="17"/>
              </w:rPr>
              <w:t xml:space="preserve">scenario creates an </w:t>
            </w:r>
            <w:r>
              <w:rPr>
                <w:i/>
                <w:sz w:val="17"/>
              </w:rPr>
              <w:t>approved</w:t>
            </w:r>
            <w:r>
              <w:rPr>
                <w:sz w:val="17"/>
              </w:rPr>
              <w:t xml:space="preserve"> action (F-06); proposal ids suppress items for ever (F-15)</w:t>
            </w:r>
          </w:p>
        </w:tc>
      </w:tr>
      <w:tr>
        <w:trPr>
          <w:cantSplit/>
        </w:trPr>
        <w:tc>
          <w:tcPr>
            <w:tcW w:type="dxa" w:w="1197"/>
          </w:tcPr>
          <w:p>
            <w:pPr>
              <w:spacing w:after="0" w:line="252" w:lineRule="auto"/>
            </w:pPr>
            <w:r>
              <w:rPr>
                <w:sz w:val="17"/>
              </w:rPr>
              <w:t>J7</w:t>
            </w:r>
          </w:p>
        </w:tc>
        <w:tc>
          <w:tcPr>
            <w:tcW w:type="dxa" w:w="4843"/>
          </w:tcPr>
          <w:p>
            <w:pPr>
              <w:spacing w:after="0" w:line="252" w:lineRule="auto"/>
            </w:pPr>
            <w:r>
              <w:rPr>
                <w:sz w:val="17"/>
              </w:rPr>
              <w:t>Reporting ⇄ planning ⇄ invoices</w:t>
            </w:r>
          </w:p>
        </w:tc>
        <w:tc>
          <w:tcPr>
            <w:tcW w:type="dxa" w:w="1197"/>
          </w:tcPr>
          <w:p>
            <w:pPr>
              <w:spacing w:after="0" w:line="252" w:lineRule="auto"/>
            </w:pPr>
            <w:r>
              <w:rPr>
                <w:sz w:val="17"/>
              </w:rPr>
              <w:t>⚠</w:t>
            </w:r>
          </w:p>
        </w:tc>
        <w:tc>
          <w:tcPr>
            <w:tcW w:type="dxa" w:w="7786"/>
          </w:tcPr>
          <w:p>
            <w:pPr>
              <w:spacing w:after="0" w:line="252" w:lineRule="auto"/>
            </w:pPr>
            <w:r>
              <w:rPr>
                <w:sz w:val="17"/>
              </w:rPr>
              <w:t>shared filters work; Smart keeps its own scope (F-16); wrong "Forecast &amp; target" link (F-17); plan scope vs filter mismatch unflagged (F-04)</w:t>
            </w:r>
          </w:p>
        </w:tc>
      </w:tr>
    </w:tbl>
    <w:p>
      <w:pPr>
        <w:spacing w:after="40"/>
      </w:pPr>
    </w:p>
    <w:p>
      <w:pPr>
        <w:pStyle w:val="Heading2"/>
      </w:pPr>
      <w:r>
        <w:t>3. Prioritised findings</w:t>
      </w:r>
    </w:p>
    <w:p>
      <w:r>
        <w:t xml:space="preserve">Severity: </w:t>
      </w:r>
      <w:r>
        <w:rPr>
          <w:b/>
        </w:rPr>
        <w:t>P0</w:t>
      </w:r>
      <w:r>
        <w:t xml:space="preserve"> wrong or contradictory decision-relevant results · </w:t>
      </w:r>
      <w:r>
        <w:rPr>
          <w:b/>
        </w:rPr>
        <w:t>P1</w:t>
      </w:r>
      <w:r>
        <w:t xml:space="preserve"> governance/integrity or visibly wrong output · </w:t>
      </w:r>
      <w:r>
        <w:rPr>
          <w:b/>
        </w:rPr>
        <w:t>P2</w:t>
      </w:r>
      <w:r>
        <w:t xml:space="preserve"> consistency/UX · </w:t>
      </w:r>
      <w:r>
        <w:rPr>
          <w:b/>
        </w:rPr>
        <w:t>P3</w:t>
      </w:r>
      <w:r>
        <w:t xml:space="preserve"> polish.</w:t>
      </w:r>
    </w:p>
    <w:p>
      <w:pPr>
        <w:pStyle w:val="Heading3"/>
      </w:pPr>
      <w:r>
        <w:t>P0 — fix first</w:t>
      </w:r>
    </w:p>
    <w:p>
      <w:pPr>
        <w:pStyle w:val="Heading4"/>
      </w:pPr>
      <w:r>
        <w:t>F-01 · The same closed period gives opposite comparison answers in three views</w:t>
      </w:r>
    </w:p>
    <w:p>
      <w:pPr>
        <w:spacing w:after="40"/>
        <w:ind w:left="510" w:hanging="283"/>
      </w:pPr>
      <w:r>
        <w:t xml:space="preserve">•  </w:t>
      </w:r>
      <w:r>
        <w:rPr>
          <w:b/>
        </w:rPr>
        <w:t>Affected:</w:t>
      </w:r>
      <w:r>
        <w:t xml:space="preserve"> Dashboard, Fixed reports (all with comparison), Smart reports. </w:t>
      </w:r>
      <w:r>
        <w:rPr>
          <w:b/>
        </w:rPr>
        <w:t>Journeys:</w:t>
      </w:r>
      <w:r>
        <w:t xml:space="preserve"> J1, J2, J3, J7.</w:t>
      </w:r>
    </w:p>
    <w:p>
      <w:pPr>
        <w:spacing w:after="40"/>
        <w:ind w:left="510" w:hanging="283"/>
      </w:pPr>
      <w:r>
        <w:t xml:space="preserve">•  </w:t>
      </w:r>
      <w:r>
        <w:rPr>
          <w:b/>
        </w:rPr>
        <w:t>Reproduce:</w:t>
      </w:r>
      <w:r>
        <w:t xml:space="preserve"> Filters → </w:t>
      </w:r>
      <w:r>
        <w:rPr>
          <w:rtl/>
          <w:rFonts w:cs="Arial"/>
        </w:rPr>
        <w:t>‫«الشهر الماضي»‬</w:t>
      </w:r>
      <w:r>
        <w:t xml:space="preserve">. Read the collection-rate tile on the Dashboard. Open Fixed reports → </w:t>
      </w:r>
      <w:r>
        <w:rPr>
          <w:i/>
        </w:rPr>
        <w:t>Monthly executive summary</w:t>
      </w:r>
      <w:r>
        <w:t xml:space="preserve">. Open Smart reports → </w:t>
      </w:r>
      <w:r>
        <w:rPr>
          <w:rtl/>
          <w:rFonts w:cs="Arial"/>
        </w:rPr>
        <w:t>‫«أنشئ تقرير الإيرادات للشهر الماضي»‬</w:t>
      </w:r>
      <w:r>
        <w:t xml:space="preserve">, then </w:t>
      </w:r>
      <w:r>
        <w:rPr>
          <w:rtl/>
          <w:rFonts w:cs="Arial"/>
        </w:rPr>
        <w:t>‫«قارن بالعام الماضي»‬</w:t>
      </w:r>
      <w:r>
        <w:t xml:space="preserve">, then </w:t>
      </w:r>
      <w:r>
        <w:rPr>
          <w:rtl/>
          <w:rFonts w:cs="Arial"/>
        </w:rPr>
        <w:t>‫«بدون مقارنة»‬</w:t>
      </w:r>
      <w:r>
        <w:t>.</w:t>
      </w:r>
    </w:p>
    <w:p>
      <w:pPr>
        <w:spacing w:after="40"/>
        <w:ind w:left="510" w:hanging="283"/>
      </w:pPr>
      <w:r>
        <w:t xml:space="preserve">•  </w:t>
      </w:r>
      <w:r>
        <w:rPr>
          <w:b/>
        </w:rPr>
        <w:t>Expected:</w:t>
      </w:r>
      <w:r>
        <w:t xml:space="preserve"> one collection rate for one period and basis, and one comparison conclusion.</w:t>
      </w:r>
    </w:p>
    <w:p>
      <w:pPr>
        <w:spacing w:after="40"/>
        <w:ind w:left="510" w:hanging="283"/>
      </w:pPr>
      <w:r>
        <w:t xml:space="preserve">•  </w:t>
      </w:r>
      <w:r>
        <w:rPr>
          <w:b/>
        </w:rPr>
        <w:t>Actual (Verified UI, Sept 2026 vs Sept 2025):</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3190"/>
        <w:gridCol w:w="1293"/>
        <w:gridCol w:w="6940"/>
        <w:gridCol w:w="3600"/>
      </w:tblGrid>
      <w:tr>
        <w:trPr>
          <w:tblHeader w:val="true"/>
          <w:cantSplit/>
        </w:trPr>
        <w:tc>
          <w:tcPr>
            <w:tcW w:type="dxa" w:w="3190"/>
            <w:shd w:val="clear" w:color="auto" w:fill="1B8354"/>
          </w:tcPr>
          <w:p>
            <w:pPr>
              <w:spacing w:after="0" w:line="252" w:lineRule="auto"/>
            </w:pPr>
            <w:r>
              <w:rPr>
                <w:b/>
                <w:color w:val="FFFFFF"/>
                <w:sz w:val="17"/>
              </w:rPr>
              <w:t>View</w:t>
            </w:r>
          </w:p>
        </w:tc>
        <w:tc>
          <w:tcPr>
            <w:tcW w:type="dxa" w:w="1293"/>
            <w:shd w:val="clear" w:color="auto" w:fill="1B8354"/>
          </w:tcPr>
          <w:p>
            <w:pPr>
              <w:spacing w:after="0" w:line="252" w:lineRule="auto"/>
            </w:pPr>
            <w:r>
              <w:rPr>
                <w:b/>
                <w:color w:val="FFFFFF"/>
                <w:sz w:val="17"/>
              </w:rPr>
              <w:t>Rate shown</w:t>
            </w:r>
          </w:p>
        </w:tc>
        <w:tc>
          <w:tcPr>
            <w:tcW w:type="dxa" w:w="6940"/>
            <w:shd w:val="clear" w:color="auto" w:fill="1B8354"/>
          </w:tcPr>
          <w:p>
            <w:pPr>
              <w:spacing w:after="0" w:line="252" w:lineRule="auto"/>
            </w:pPr>
            <w:r>
              <w:rPr>
                <w:b/>
                <w:color w:val="FFFFFF"/>
                <w:sz w:val="17"/>
              </w:rPr>
              <w:t>Delta vs same period last year</w:t>
            </w:r>
          </w:p>
        </w:tc>
        <w:tc>
          <w:tcPr>
            <w:tcW w:type="dxa" w:w="3600"/>
            <w:shd w:val="clear" w:color="auto" w:fill="1B8354"/>
          </w:tcPr>
          <w:p>
            <w:pPr>
              <w:spacing w:after="0" w:line="252" w:lineRule="auto"/>
            </w:pPr>
            <w:r>
              <w:rPr>
                <w:b/>
                <w:color w:val="FFFFFF"/>
                <w:sz w:val="17"/>
              </w:rPr>
              <w:t>Collections counted to</w:t>
            </w:r>
          </w:p>
        </w:tc>
      </w:tr>
      <w:tr>
        <w:trPr>
          <w:cantSplit/>
        </w:trPr>
        <w:tc>
          <w:tcPr>
            <w:tcW w:type="dxa" w:w="3190"/>
          </w:tcPr>
          <w:p>
            <w:pPr>
              <w:spacing w:after="0" w:line="252" w:lineRule="auto"/>
            </w:pPr>
            <w:r>
              <w:rPr>
                <w:sz w:val="17"/>
              </w:rPr>
              <w:t>Dashboard tile</w:t>
            </w:r>
          </w:p>
        </w:tc>
        <w:tc>
          <w:tcPr>
            <w:tcW w:type="dxa" w:w="1293"/>
          </w:tcPr>
          <w:p>
            <w:pPr>
              <w:spacing w:after="0" w:line="252" w:lineRule="auto"/>
            </w:pPr>
            <w:r>
              <w:rPr>
                <w:b/>
                <w:sz w:val="17"/>
              </w:rPr>
              <w:t>21.7 %</w:t>
            </w:r>
          </w:p>
        </w:tc>
        <w:tc>
          <w:tcPr>
            <w:tcW w:type="dxa" w:w="6940"/>
          </w:tcPr>
          <w:p>
            <w:pPr>
              <w:spacing w:after="0" w:line="252" w:lineRule="auto"/>
            </w:pPr>
            <w:r>
              <w:rPr>
                <w:b/>
                <w:sz w:val="17"/>
              </w:rPr>
              <w:t>▼ −3.0 pp</w:t>
            </w:r>
            <w:r>
              <w:rPr>
                <w:sz w:val="17"/>
              </w:rPr>
              <w:t xml:space="preserve"> (its own note says prior = 18.5 %, i.e. 21.7 − 18.5 = +3.2)</w:t>
            </w:r>
          </w:p>
        </w:tc>
        <w:tc>
          <w:tcPr>
            <w:tcW w:type="dxa" w:w="3600"/>
          </w:tcPr>
          <w:p>
            <w:pPr>
              <w:spacing w:after="0" w:line="252" w:lineRule="auto"/>
            </w:pPr>
            <w:r>
              <w:rPr>
                <w:sz w:val="17"/>
              </w:rPr>
              <w:t>tile: 2026-10-09 · delta: 2026-09-30</w:t>
            </w:r>
          </w:p>
        </w:tc>
      </w:tr>
      <w:tr>
        <w:trPr>
          <w:cantSplit/>
        </w:trPr>
        <w:tc>
          <w:tcPr>
            <w:tcW w:type="dxa" w:w="3190"/>
            <w:shd w:val="clear" w:color="auto" w:fill="F9FAFB"/>
          </w:tcPr>
          <w:p>
            <w:pPr>
              <w:spacing w:after="0" w:line="252" w:lineRule="auto"/>
            </w:pPr>
            <w:r>
              <w:rPr>
                <w:sz w:val="17"/>
              </w:rPr>
              <w:t>Fixed monthly report</w:t>
            </w:r>
          </w:p>
        </w:tc>
        <w:tc>
          <w:tcPr>
            <w:tcW w:type="dxa" w:w="1293"/>
            <w:shd w:val="clear" w:color="auto" w:fill="F9FAFB"/>
          </w:tcPr>
          <w:p>
            <w:pPr>
              <w:spacing w:after="0" w:line="252" w:lineRule="auto"/>
            </w:pPr>
            <w:r>
              <w:rPr>
                <w:sz w:val="17"/>
              </w:rPr>
              <w:t>21.7 %</w:t>
            </w:r>
          </w:p>
        </w:tc>
        <w:tc>
          <w:tcPr>
            <w:tcW w:type="dxa" w:w="6940"/>
            <w:shd w:val="clear" w:color="auto" w:fill="F9FAFB"/>
          </w:tcPr>
          <w:p>
            <w:pPr>
              <w:spacing w:after="0" w:line="252" w:lineRule="auto"/>
            </w:pPr>
            <w:r>
              <w:rPr>
                <w:b/>
                <w:sz w:val="17"/>
              </w:rPr>
              <w:t>▲ +3.2 pp</w:t>
            </w:r>
            <w:r>
              <w:rPr>
                <w:sz w:val="17"/>
              </w:rPr>
              <w:t xml:space="preserve"> (note claims "each period is measured at its own end")</w:t>
            </w:r>
          </w:p>
        </w:tc>
        <w:tc>
          <w:tcPr>
            <w:tcW w:type="dxa" w:w="3600"/>
            <w:shd w:val="clear" w:color="auto" w:fill="F9FAFB"/>
          </w:tcPr>
          <w:p>
            <w:pPr>
              <w:spacing w:after="0" w:line="252" w:lineRule="auto"/>
            </w:pPr>
            <w:r>
              <w:rPr>
                <w:sz w:val="17"/>
              </w:rPr>
              <w:t>2026-10-09</w:t>
            </w:r>
          </w:p>
        </w:tc>
      </w:tr>
      <w:tr>
        <w:trPr>
          <w:cantSplit/>
        </w:trPr>
        <w:tc>
          <w:tcPr>
            <w:tcW w:type="dxa" w:w="3190"/>
          </w:tcPr>
          <w:p>
            <w:pPr>
              <w:spacing w:after="0" w:line="252" w:lineRule="auto"/>
            </w:pPr>
            <w:r>
              <w:rPr>
                <w:sz w:val="17"/>
              </w:rPr>
              <w:t>Smart report + comparison</w:t>
            </w:r>
          </w:p>
        </w:tc>
        <w:tc>
          <w:tcPr>
            <w:tcW w:type="dxa" w:w="1293"/>
          </w:tcPr>
          <w:p>
            <w:pPr>
              <w:spacing w:after="0" w:line="252" w:lineRule="auto"/>
            </w:pPr>
            <w:r>
              <w:rPr>
                <w:b/>
                <w:sz w:val="17"/>
              </w:rPr>
              <w:t>15.5 %</w:t>
            </w:r>
          </w:p>
        </w:tc>
        <w:tc>
          <w:tcPr>
            <w:tcW w:type="dxa" w:w="6940"/>
          </w:tcPr>
          <w:p>
            <w:pPr>
              <w:spacing w:after="0" w:line="252" w:lineRule="auto"/>
            </w:pPr>
            <w:r>
              <w:rPr>
                <w:sz w:val="17"/>
              </w:rPr>
              <w:t>−3.0 pp</w:t>
            </w:r>
          </w:p>
        </w:tc>
        <w:tc>
          <w:tcPr>
            <w:tcW w:type="dxa" w:w="3600"/>
          </w:tcPr>
          <w:p>
            <w:pPr>
              <w:spacing w:after="0" w:line="252" w:lineRule="auto"/>
            </w:pPr>
            <w:r>
              <w:rPr>
                <w:sz w:val="17"/>
              </w:rPr>
              <w:t>2026-09-30</w:t>
            </w:r>
          </w:p>
        </w:tc>
      </w:tr>
      <w:tr>
        <w:trPr>
          <w:cantSplit/>
        </w:trPr>
        <w:tc>
          <w:tcPr>
            <w:tcW w:type="dxa" w:w="3190"/>
            <w:shd w:val="clear" w:color="auto" w:fill="F9FAFB"/>
          </w:tcPr>
          <w:p>
            <w:pPr>
              <w:spacing w:after="0" w:line="252" w:lineRule="auto"/>
            </w:pPr>
            <w:r>
              <w:rPr>
                <w:sz w:val="17"/>
              </w:rPr>
              <w:t>Smart report, comparison off</w:t>
            </w:r>
          </w:p>
        </w:tc>
        <w:tc>
          <w:tcPr>
            <w:tcW w:type="dxa" w:w="1293"/>
            <w:shd w:val="clear" w:color="auto" w:fill="F9FAFB"/>
          </w:tcPr>
          <w:p>
            <w:pPr>
              <w:spacing w:after="0" w:line="252" w:lineRule="auto"/>
            </w:pPr>
            <w:r>
              <w:rPr>
                <w:sz w:val="17"/>
              </w:rPr>
              <w:t>21.7 %</w:t>
            </w:r>
          </w:p>
        </w:tc>
        <w:tc>
          <w:tcPr>
            <w:tcW w:type="dxa" w:w="6940"/>
            <w:shd w:val="clear" w:color="auto" w:fill="F9FAFB"/>
          </w:tcPr>
          <w:p>
            <w:pPr>
              <w:spacing w:after="0" w:line="252" w:lineRule="auto"/>
            </w:pPr>
            <w:r>
              <w:rPr>
                <w:sz w:val="17"/>
              </w:rPr>
              <w:t>–</w:t>
            </w:r>
          </w:p>
        </w:tc>
        <w:tc>
          <w:tcPr>
            <w:tcW w:type="dxa" w:w="3600"/>
            <w:shd w:val="clear" w:color="auto" w:fill="F9FAFB"/>
          </w:tcPr>
          <w:p>
            <w:pPr>
              <w:spacing w:after="0" w:line="252" w:lineRule="auto"/>
            </w:pPr>
            <w:r>
              <w:rPr>
                <w:sz w:val="17"/>
              </w:rPr>
              <w:t>2026-10-09</w:t>
            </w:r>
          </w:p>
        </w:tc>
      </w:tr>
    </w:tbl>
    <w:p>
      <w:pPr>
        <w:spacing w:after="40"/>
      </w:pPr>
    </w:p>
    <w:p>
      <w:r>
        <w:t>Collected = 0.24 bn (21.7 %) vs 0.17 bn (15.5 %) for the same invoices; turning a comparison on silently changes the headline.</w:t>
      </w:r>
    </w:p>
    <w:p>
      <w:pPr>
        <w:spacing w:after="40"/>
        <w:ind w:left="510" w:hanging="283"/>
      </w:pPr>
      <w:r>
        <w:t xml:space="preserve">•  </w:t>
      </w:r>
      <w:r>
        <w:rPr>
          <w:b/>
        </w:rPr>
        <w:t>Evidence:</w:t>
      </w:r>
      <w:r>
        <w:t xml:space="preserve"> </w:t>
      </w:r>
      <w:r>
        <w:rPr>
          <w:rFonts w:ascii="Consolas" w:hAnsi="Consolas" w:cs="Consolas"/>
          <w:color w:val="B42318"/>
          <w:sz w:val="19"/>
        </w:rPr>
        <w:t>src/data/comparison.js:9</w:t>
      </w:r>
      <w:r>
        <w:t xml:space="preserve"> (delta measured at period end), </w:t>
      </w:r>
      <w:r>
        <w:rPr>
          <w:rFonts w:ascii="Consolas" w:hAnsi="Consolas" w:cs="Consolas"/>
          <w:color w:val="B42318"/>
          <w:sz w:val="19"/>
        </w:rPr>
        <w:t>src/components/insights/FixedReports.jsx:37</w:t>
      </w:r>
      <w:r>
        <w:t xml:space="preserve"> (cut-off snapshot passed with a period-end </w:t>
      </w:r>
      <w:r>
        <w:rPr>
          <w:rFonts w:ascii="Consolas" w:hAnsi="Consolas" w:cs="Consolas"/>
          <w:color w:val="B42318"/>
          <w:sz w:val="19"/>
        </w:rPr>
        <w:t>prev</w:t>
      </w:r>
      <w:r>
        <w:t xml:space="preserve">), </w:t>
      </w:r>
      <w:r>
        <w:rPr>
          <w:rFonts w:ascii="Consolas" w:hAnsi="Consolas" w:cs="Consolas"/>
          <w:color w:val="B42318"/>
          <w:sz w:val="19"/>
        </w:rPr>
        <w:t>src/pages/SmartReports.jsx:112,118</w:t>
      </w:r>
      <w:r>
        <w:t xml:space="preserve"> (snapshot swapped to period end only when comparing), </w:t>
      </w:r>
      <w:r>
        <w:rPr>
          <w:rFonts w:ascii="Consolas" w:hAnsi="Consolas" w:cs="Consolas"/>
          <w:color w:val="B42318"/>
          <w:sz w:val="19"/>
        </w:rPr>
        <w:t>src/components/insights/InsightsDashboard.jsx:54</w:t>
      </w:r>
      <w:r>
        <w:t xml:space="preserve"> (cut-off value beside a period-end delta), </w:t>
      </w:r>
      <w:r>
        <w:rPr>
          <w:rFonts w:ascii="Consolas" w:hAnsi="Consolas" w:cs="Consolas"/>
          <w:color w:val="B42318"/>
          <w:sz w:val="19"/>
        </w:rPr>
        <w:t>src/data/revenueMetrics.js:182</w:t>
      </w:r>
      <w:r>
        <w:t>.</w:t>
      </w:r>
    </w:p>
    <w:p>
      <w:pPr>
        <w:spacing w:after="40"/>
        <w:ind w:left="510" w:hanging="283"/>
      </w:pPr>
      <w:r>
        <w:t xml:space="preserve">•  </w:t>
      </w:r>
      <w:r>
        <w:rPr>
          <w:b/>
        </w:rPr>
        <w:t>Impact:</w:t>
      </w:r>
      <w:r>
        <w:t xml:space="preserve"> a manager can read "collection improved" on one page and "declined" on another for the same month; the fixed report's own note states a basis it does not use.</w:t>
      </w:r>
    </w:p>
    <w:p>
      <w:pPr>
        <w:spacing w:after="40"/>
        <w:ind w:left="510" w:hanging="283"/>
      </w:pPr>
      <w:r>
        <w:t xml:space="preserve">•  </w:t>
      </w:r>
      <w:r>
        <w:rPr>
          <w:b/>
        </w:rPr>
        <w:t>Root cause (confirmed):</w:t>
      </w:r>
      <w:r>
        <w:t xml:space="preserve"> the measurement date (</w:t>
      </w:r>
      <w:r>
        <w:rPr>
          <w:rFonts w:ascii="Consolas" w:hAnsi="Consolas" w:cs="Consolas"/>
          <w:color w:val="B42318"/>
          <w:sz w:val="19"/>
        </w:rPr>
        <w:t>collectionsAsOf</w:t>
      </w:r>
      <w:r>
        <w:t>) is decided separately in four places instead of one shared function.</w:t>
      </w:r>
    </w:p>
    <w:p>
      <w:pPr>
        <w:spacing w:after="40"/>
        <w:ind w:left="510" w:hanging="283"/>
      </w:pPr>
      <w:r>
        <w:t xml:space="preserve">•  </w:t>
      </w:r>
      <w:r>
        <w:rPr>
          <w:b/>
        </w:rPr>
        <w:t>Recommended correction:</w:t>
      </w:r>
      <w:r>
        <w:t xml:space="preserve"> one </w:t>
      </w:r>
      <w:r>
        <w:rPr>
          <w:rFonts w:ascii="Consolas" w:hAnsi="Consolas" w:cs="Consolas"/>
          <w:color w:val="B42318"/>
          <w:sz w:val="19"/>
        </w:rPr>
        <w:t>measure(scope, basis)</w:t>
      </w:r>
      <w:r>
        <w:t xml:space="preserve"> in the metric layer. For a closed period the default headline </w:t>
      </w:r>
      <w:r>
        <w:rPr>
          <w:i/>
        </w:rPr>
        <w:t>and</w:t>
      </w:r>
      <w:r>
        <w:t xml:space="preserve"> comparison are both "at period end", labelled "collections to YYYY-MM-DD"; "to date" is shown as a separate labelled measure. Remove the per-view overrides. Add a cross-view test: same scope → same numbers in Dashboard, Fixed, Smart, Planning.</w:t>
      </w:r>
    </w:p>
    <w:p>
      <w:pPr>
        <w:pStyle w:val="Heading4"/>
      </w:pPr>
      <w:r>
        <w:t>F-02 · Reports show calculable rates as "unavailable", and the exclusion bar is broken</w:t>
      </w:r>
    </w:p>
    <w:p>
      <w:pPr>
        <w:spacing w:after="40"/>
        <w:ind w:left="510" w:hanging="283"/>
      </w:pPr>
      <w:r>
        <w:t xml:space="preserve">•  </w:t>
      </w:r>
      <w:r>
        <w:rPr>
          <w:b/>
        </w:rPr>
        <w:t>Affected:</w:t>
      </w:r>
      <w:r>
        <w:t xml:space="preserve"> </w:t>
      </w:r>
      <w:r>
        <w:rPr>
          <w:i/>
        </w:rPr>
        <w:t>Monthly executive summary</w:t>
      </w:r>
      <w:r>
        <w:t xml:space="preserve"> and </w:t>
      </w:r>
      <w:r>
        <w:rPr>
          <w:i/>
        </w:rPr>
        <w:t>Exclusions</w:t>
      </w:r>
      <w:r>
        <w:t xml:space="preserve"> fixed reports; every Smart report with an executive/exclusions section.</w:t>
      </w:r>
    </w:p>
    <w:p>
      <w:pPr>
        <w:spacing w:after="40"/>
        <w:ind w:left="510" w:hanging="283"/>
      </w:pPr>
      <w:r>
        <w:t xml:space="preserve">•  </w:t>
      </w:r>
      <w:r>
        <w:rPr>
          <w:b/>
        </w:rPr>
        <w:t>Reproduce:</w:t>
      </w:r>
      <w:r>
        <w:t xml:space="preserve"> Reports → Monthly → "Executive summary" → the green/red relations bar and the line under it.</w:t>
      </w:r>
    </w:p>
    <w:p>
      <w:pPr>
        <w:spacing w:after="40"/>
        <w:ind w:left="510" w:hanging="283"/>
      </w:pPr>
      <w:r>
        <w:t xml:space="preserve">•  </w:t>
      </w:r>
      <w:r>
        <w:rPr>
          <w:b/>
        </w:rPr>
        <w:t>Expected:</w:t>
      </w:r>
      <w:r>
        <w:t xml:space="preserve"> "Collection rate 57.8 %", "Exclusion rate 9.1 %" (as in the KPI row directly above and in the Excel summary).</w:t>
      </w:r>
    </w:p>
    <w:p>
      <w:pPr>
        <w:spacing w:after="40"/>
        <w:ind w:left="510" w:hanging="283"/>
      </w:pPr>
      <w:r>
        <w:t xml:space="preserve">•  </w:t>
      </w:r>
      <w:r>
        <w:rPr>
          <w:b/>
        </w:rPr>
        <w:t>Actual (Verified UI/DOM):</w:t>
      </w:r>
      <w:r>
        <w:t xml:space="preserve"> "</w:t>
      </w:r>
      <w:r>
        <w:rPr>
          <w:rtl/>
          <w:rFonts w:cs="Arial"/>
        </w:rPr>
        <w:t>‫المحصّل 7.83 مليار‬</w:t>
      </w:r>
      <w:r>
        <w:t xml:space="preserve"> SAR · </w:t>
      </w:r>
      <w:r>
        <w:rPr>
          <w:b/>
          <w:rtl/>
          <w:rFonts w:cs="Arial"/>
          <w:bCs/>
        </w:rPr>
        <w:t>‫غير متاحة‬</w:t>
      </w:r>
      <w:r>
        <w:t>", "</w:t>
      </w:r>
      <w:r>
        <w:rPr>
          <w:rtl/>
          <w:rFonts w:cs="Arial"/>
        </w:rPr>
        <w:t>‫نسبة التحصيل‬</w:t>
      </w:r>
      <w:r>
        <w:t xml:space="preserve"> </w:t>
      </w:r>
      <w:r>
        <w:rPr>
          <w:b/>
          <w:rtl/>
          <w:rFonts w:cs="Arial"/>
          <w:bCs/>
        </w:rPr>
        <w:t>‫غير متاحة‬</w:t>
      </w:r>
      <w:r>
        <w:t>", "</w:t>
      </w:r>
      <w:r>
        <w:rPr>
          <w:rtl/>
          <w:rFonts w:cs="Arial"/>
        </w:rPr>
        <w:t>‫نسبة الاستبعاد‬</w:t>
      </w:r>
      <w:r>
        <w:t xml:space="preserve"> </w:t>
      </w:r>
      <w:r>
        <w:rPr>
          <w:b/>
          <w:rtl/>
          <w:rFonts w:cs="Arial"/>
          <w:bCs/>
        </w:rPr>
        <w:t>‫غير متاحة‬</w:t>
      </w:r>
      <w:r>
        <w:t xml:space="preserve">". The </w:t>
      </w:r>
      <w:r>
        <w:rPr>
          <w:i/>
        </w:rPr>
        <w:t>cancelled</w:t>
      </w:r>
      <w:r>
        <w:t xml:space="preserve"> and </w:t>
      </w:r>
      <w:r>
        <w:rPr>
          <w:i/>
        </w:rPr>
        <w:t>rules</w:t>
      </w:r>
      <w:r>
        <w:t xml:space="preserve"> segments have an empty </w:t>
      </w:r>
      <w:r>
        <w:rPr>
          <w:rFonts w:ascii="Consolas" w:hAnsi="Consolas" w:cs="Consolas"/>
          <w:color w:val="B42318"/>
          <w:sz w:val="19"/>
        </w:rPr>
        <w:t>width</w:t>
      </w:r>
      <w:r>
        <w:t xml:space="preserve"> (NaN) and render as 16 px stubs, so the first bar no longer adds up to gross billed.</w:t>
      </w:r>
    </w:p>
    <w:p>
      <w:pPr>
        <w:spacing w:after="40"/>
        <w:ind w:left="510" w:hanging="283"/>
      </w:pPr>
      <w:r>
        <w:t xml:space="preserve">•  </w:t>
      </w:r>
      <w:r>
        <w:rPr>
          <w:b/>
        </w:rPr>
        <w:t>Evidence:</w:t>
      </w:r>
      <w:r>
        <w:t xml:space="preserve"> </w:t>
      </w:r>
      <w:r>
        <w:rPr>
          <w:rFonts w:ascii="Consolas" w:hAnsi="Consolas" w:cs="Consolas"/>
          <w:color w:val="B42318"/>
          <w:sz w:val="19"/>
        </w:rPr>
        <w:t>src/data/reportModel.js:68</w:t>
      </w:r>
      <w:r>
        <w:t xml:space="preserve"> builds </w:t>
      </w:r>
      <w:r>
        <w:rPr>
          <w:rFonts w:ascii="Consolas" w:hAnsi="Consolas" w:cs="Consolas"/>
          <w:color w:val="B42318"/>
          <w:sz w:val="19"/>
        </w:rPr>
        <w:t>ctxTotals</w:t>
      </w:r>
      <w:r>
        <w:t xml:space="preserve"> without </w:t>
      </w:r>
      <w:r>
        <w:rPr>
          <w:rFonts w:ascii="Consolas" w:hAnsi="Consolas" w:cs="Consolas"/>
          <w:color w:val="B42318"/>
          <w:sz w:val="19"/>
        </w:rPr>
        <w:t>collectedOverNet</w:t>
      </w:r>
      <w:r>
        <w:t xml:space="preserve">, </w:t>
      </w:r>
      <w:r>
        <w:rPr>
          <w:rFonts w:ascii="Consolas" w:hAnsi="Consolas" w:cs="Consolas"/>
          <w:color w:val="B42318"/>
          <w:sz w:val="19"/>
        </w:rPr>
        <w:t>exclusionRate</w:t>
      </w:r>
      <w:r>
        <w:t xml:space="preserve">, </w:t>
      </w:r>
      <w:r>
        <w:rPr>
          <w:rFonts w:ascii="Consolas" w:hAnsi="Consolas" w:cs="Consolas"/>
          <w:color w:val="B42318"/>
          <w:sz w:val="19"/>
        </w:rPr>
        <w:t>cancelled</w:t>
      </w:r>
      <w:r>
        <w:t xml:space="preserve">; </w:t>
      </w:r>
      <w:r>
        <w:rPr>
          <w:rFonts w:ascii="Consolas" w:hAnsi="Consolas" w:cs="Consolas"/>
          <w:color w:val="B42318"/>
          <w:sz w:val="19"/>
        </w:rPr>
        <w:t>src/components/revenue/FinancialRelations.jsx:19-27</w:t>
      </w:r>
      <w:r>
        <w:t xml:space="preserve"> consumes them; </w:t>
      </w:r>
      <w:r>
        <w:rPr>
          <w:rFonts w:ascii="Consolas" w:hAnsi="Consolas" w:cs="Consolas"/>
          <w:color w:val="B42318"/>
          <w:sz w:val="19"/>
        </w:rPr>
        <w:t>src/components/smart/ReportView.jsx:72</w:t>
      </w:r>
      <w:r>
        <w:t>.</w:t>
      </w:r>
    </w:p>
    <w:p>
      <w:pPr>
        <w:spacing w:after="40"/>
        <w:ind w:left="510" w:hanging="283"/>
      </w:pPr>
      <w:r>
        <w:t xml:space="preserve">•  </w:t>
      </w:r>
      <w:r>
        <w:rPr>
          <w:b/>
        </w:rPr>
        <w:t>Impact:</w:t>
      </w:r>
      <w:r>
        <w:t xml:space="preserve"> every report states a measure is unavailable that is available. Exports differ from the screen: Excel omits the block, Word/PowerPoint show it only as two formulas without the rates.</w:t>
      </w:r>
    </w:p>
    <w:p>
      <w:pPr>
        <w:spacing w:after="40"/>
        <w:ind w:left="510" w:hanging="283"/>
      </w:pPr>
      <w:r>
        <w:t xml:space="preserve">•  </w:t>
      </w:r>
      <w:r>
        <w:rPr>
          <w:b/>
        </w:rPr>
        <w:t>Root cause (confirmed):</w:t>
      </w:r>
      <w:r>
        <w:t xml:space="preserve"> the same component is fed two different "totals" shapes (full snapshot totals on the Dashboard, a six-field subset in reports).</w:t>
      </w:r>
    </w:p>
    <w:p>
      <w:pPr>
        <w:spacing w:after="40"/>
        <w:ind w:left="510" w:hanging="283"/>
      </w:pPr>
      <w:r>
        <w:t xml:space="preserve">•  </w:t>
      </w:r>
      <w:r>
        <w:rPr>
          <w:b/>
        </w:rPr>
        <w:t>Correction:</w:t>
      </w:r>
      <w:r>
        <w:t xml:space="preserve"> pass the full totals object; give </w:t>
      </w:r>
      <w:r>
        <w:rPr>
          <w:rFonts w:ascii="Consolas" w:hAnsi="Consolas" w:cs="Consolas"/>
          <w:color w:val="B42318"/>
          <w:sz w:val="19"/>
        </w:rPr>
        <w:t>relations</w:t>
      </w:r>
      <w:r>
        <w:t xml:space="preserve"> a typed contract and a unit test that renders it from a report model.</w:t>
      </w:r>
    </w:p>
    <w:p>
      <w:pPr>
        <w:pStyle w:val="Heading4"/>
      </w:pPr>
      <w:r>
        <w:t>F-03 · The monthly executive report says "no recommended interventions" next to findings that say "action required"</w:t>
      </w:r>
    </w:p>
    <w:p>
      <w:pPr>
        <w:spacing w:after="40"/>
        <w:ind w:left="510" w:hanging="283"/>
      </w:pPr>
      <w:r>
        <w:t xml:space="preserve">•  </w:t>
      </w:r>
      <w:r>
        <w:rPr>
          <w:b/>
        </w:rPr>
        <w:t>Reproduce:</w:t>
      </w:r>
      <w:r>
        <w:t xml:space="preserve"> Reports → Monthly → scroll to </w:t>
      </w:r>
      <w:r>
        <w:rPr>
          <w:rtl/>
          <w:rFonts w:cs="Arial"/>
        </w:rPr>
        <w:t>‫«التوصيات المدعومة بالأدلة»‬</w:t>
      </w:r>
      <w:r>
        <w:t>.</w:t>
      </w:r>
    </w:p>
    <w:p>
      <w:pPr>
        <w:spacing w:after="40"/>
        <w:ind w:left="510" w:hanging="283"/>
      </w:pPr>
      <w:r>
        <w:t xml:space="preserve">•  </w:t>
      </w:r>
      <w:r>
        <w:rPr>
          <w:b/>
        </w:rPr>
        <w:t>Actual (Verified UI + xlsx):</w:t>
      </w:r>
      <w:r>
        <w:t xml:space="preserve"> "[</w:t>
      </w:r>
      <w:r>
        <w:rPr>
          <w:rtl/>
          <w:rFonts w:cs="Arial"/>
        </w:rPr>
        <w:t>‫منخفضة‬</w:t>
      </w:r>
      <w:r>
        <w:t xml:space="preserve">] </w:t>
      </w:r>
      <w:r>
        <w:rPr>
          <w:rtl/>
          <w:rFonts w:cs="Arial"/>
        </w:rPr>
        <w:t>‫لا توجد تدخلات موصى بها لهذا النطاق‬</w:t>
      </w:r>
      <w:r>
        <w:t xml:space="preserve">." — while the insights above it are tagged </w:t>
      </w:r>
      <w:r>
        <w:rPr>
          <w:rtl/>
          <w:rFonts w:cs="Arial"/>
        </w:rPr>
        <w:t>‫«يستدعي إجراء»‬</w:t>
      </w:r>
      <w:r>
        <w:t xml:space="preserve"> (white-lands rate 26.4 % vs 60 %; 82 % of the standing balance &gt; 90 days). The same sentence is in the Excel sheet </w:t>
      </w:r>
      <w:r>
        <w:rPr>
          <w:rtl/>
          <w:rFonts w:cs="Arial"/>
        </w:rPr>
        <w:t>‫«التوصيات…»‬</w:t>
      </w:r>
      <w:r>
        <w:t>.</w:t>
      </w:r>
    </w:p>
    <w:p>
      <w:pPr>
        <w:spacing w:after="40"/>
        <w:ind w:left="510" w:hanging="283"/>
      </w:pPr>
      <w:r>
        <w:t xml:space="preserve">•  </w:t>
      </w:r>
      <w:r>
        <w:rPr>
          <w:b/>
        </w:rPr>
        <w:t>Evidence:</w:t>
      </w:r>
      <w:r>
        <w:t xml:space="preserve"> </w:t>
      </w:r>
      <w:r>
        <w:rPr>
          <w:rFonts w:ascii="Consolas" w:hAnsi="Consolas" w:cs="Consolas"/>
          <w:color w:val="B42318"/>
          <w:sz w:val="19"/>
        </w:rPr>
        <w:t>FixedReports.jsx:37</w:t>
      </w:r>
      <w:r>
        <w:t xml:space="preserve"> hard-codes </w:t>
      </w:r>
      <w:r>
        <w:rPr>
          <w:rFonts w:ascii="Consolas" w:hAnsi="Consolas" w:cs="Consolas"/>
          <w:color w:val="B42318"/>
          <w:sz w:val="19"/>
        </w:rPr>
        <w:t>cards: [], anomalies: []</w:t>
      </w:r>
      <w:r>
        <w:t>, so the recommendation builder receives nothing.</w:t>
      </w:r>
    </w:p>
    <w:p>
      <w:pPr>
        <w:spacing w:after="40"/>
        <w:ind w:left="510" w:hanging="283"/>
      </w:pPr>
      <w:r>
        <w:t xml:space="preserve">•  </w:t>
      </w:r>
      <w:r>
        <w:rPr>
          <w:b/>
        </w:rPr>
        <w:t>Impact:</w:t>
      </w:r>
      <w:r>
        <w:t xml:space="preserve"> a board-facing report asserts the opposite of its own findings. This is a placeholder presented as a result.</w:t>
      </w:r>
    </w:p>
    <w:p>
      <w:pPr>
        <w:spacing w:after="40"/>
        <w:ind w:left="510" w:hanging="283"/>
      </w:pPr>
      <w:r>
        <w:t xml:space="preserve">•  </w:t>
      </w:r>
      <w:r>
        <w:rPr>
          <w:b/>
        </w:rPr>
        <w:t>Correction:</w:t>
      </w:r>
      <w:r>
        <w:t xml:space="preserve"> either remove the section from fixed reports, or feed it from the same proposal source used in Planning (</w:t>
      </w:r>
      <w:r>
        <w:rPr>
          <w:rFonts w:ascii="Consolas" w:hAnsi="Consolas" w:cs="Consolas"/>
          <w:color w:val="B42318"/>
          <w:sz w:val="19"/>
        </w:rPr>
        <w:t>src/data/proposals.js</w:t>
      </w:r>
      <w:r>
        <w:t>).</w:t>
      </w:r>
    </w:p>
    <w:p>
      <w:pPr>
        <w:pStyle w:val="Heading4"/>
      </w:pPr>
      <w:r>
        <w:t>F-04 · Planning results are anchored to the dashboard filter, not to the plan</w:t>
      </w:r>
    </w:p>
    <w:p>
      <w:pPr>
        <w:spacing w:after="40"/>
        <w:ind w:left="510" w:hanging="283"/>
      </w:pPr>
      <w:r>
        <w:t xml:space="preserve">•  </w:t>
      </w:r>
      <w:r>
        <w:rPr>
          <w:b/>
        </w:rPr>
        <w:t>Affected:</w:t>
      </w:r>
      <w:r>
        <w:t xml:space="preserve"> scenario results, funding projection, objective status, saved version summaries. </w:t>
      </w:r>
      <w:r>
        <w:rPr>
          <w:b/>
        </w:rPr>
        <w:t>Journeys:</w:t>
      </w:r>
      <w:r>
        <w:t xml:space="preserve"> J4, J5, J7.</w:t>
      </w:r>
    </w:p>
    <w:p>
      <w:pPr>
        <w:spacing w:after="40"/>
        <w:ind w:left="510" w:hanging="283"/>
      </w:pPr>
      <w:r>
        <w:t xml:space="preserve">•  </w:t>
      </w:r>
      <w:r>
        <w:rPr>
          <w:b/>
        </w:rPr>
        <w:t>Reproduce:</w:t>
      </w:r>
      <w:r>
        <w:t xml:space="preserve"> open Planning with the saved plan (FY2026, all Amanahs, scenario: rate +3 pp, expenditure +10 %, slip 20 %). Compare "Year to date" with "This month", or national with Riyadh.</w:t>
      </w:r>
    </w:p>
    <w:p>
      <w:pPr>
        <w:spacing w:after="40"/>
        <w:ind w:left="510" w:hanging="283"/>
      </w:pPr>
      <w:r>
        <w:t xml:space="preserve">•  </w:t>
      </w:r>
      <w:r>
        <w:rPr>
          <w:b/>
        </w:rPr>
        <w:t>Actual (Verified UI):</w:t>
      </w:r>
    </w:p>
    <w:p>
      <w:pPr>
        <w:spacing w:after="40"/>
        <w:ind w:left="850" w:hanging="283"/>
      </w:pPr>
      <w:r>
        <w:t xml:space="preserve">•  </w:t>
      </w:r>
      <w:r>
        <w:t xml:space="preserve">Funding scenario: receipts </w:t>
      </w:r>
      <w:r>
        <w:rPr>
          <w:b/>
        </w:rPr>
        <w:t>10.23 bn → 9.91 bn</w:t>
      </w:r>
      <w:r>
        <w:t xml:space="preserve">, balance </w:t>
      </w:r>
      <w:r>
        <w:rPr>
          <w:b/>
        </w:rPr>
        <w:t>−12.61 bn → −12.93 bn</w:t>
      </w:r>
      <w:r>
        <w:t xml:space="preserve"> when only the period changed from YTD to this month; scenario "collected" base 7.83 bn vs 25.7 M.</w:t>
      </w:r>
    </w:p>
    <w:p>
      <w:pPr>
        <w:spacing w:after="40"/>
        <w:ind w:left="850" w:hanging="283"/>
      </w:pPr>
      <w:r>
        <w:t xml:space="preserve">•  </w:t>
      </w:r>
      <w:r>
        <w:t xml:space="preserve">Objective </w:t>
      </w:r>
      <w:r>
        <w:rPr>
          <w:rtl/>
          <w:rFonts w:cs="Arial"/>
        </w:rPr>
        <w:t>‫«رفع نسبة التحصيل إلى المستهدف»‬</w:t>
      </w:r>
      <w:r>
        <w:t xml:space="preserve">: national → 57.8 %, </w:t>
      </w:r>
      <w:r>
        <w:rPr>
          <w:b/>
        </w:rPr>
        <w:t xml:space="preserve">96 % </w:t>
      </w:r>
      <w:r>
        <w:rPr>
          <w:b/>
          <w:rtl/>
          <w:rFonts w:cs="Arial"/>
          <w:bCs/>
        </w:rPr>
        <w:t>‫«على المسار»‬</w:t>
      </w:r>
      <w:r>
        <w:t xml:space="preserve">; Riyadh → 73.5 %, </w:t>
      </w:r>
      <w:r>
        <w:rPr>
          <w:b/>
        </w:rPr>
        <w:t xml:space="preserve">123 % </w:t>
      </w:r>
      <w:r>
        <w:rPr>
          <w:b/>
          <w:rtl/>
          <w:rFonts w:cs="Arial"/>
          <w:bCs/>
        </w:rPr>
        <w:t>‫«تحقق»‬</w:t>
      </w:r>
      <w:r>
        <w:t xml:space="preserve"> — the plan scope still reads "</w:t>
      </w:r>
      <w:r>
        <w:rPr>
          <w:rtl/>
          <w:rFonts w:cs="Arial"/>
        </w:rPr>
        <w:t>‫كل الأمانات‬</w:t>
      </w:r>
      <w:r>
        <w:t>" and no warning appears.</w:t>
      </w:r>
    </w:p>
    <w:p>
      <w:pPr>
        <w:spacing w:after="40"/>
        <w:ind w:left="850" w:hanging="283"/>
      </w:pPr>
      <w:r>
        <w:t xml:space="preserve">•  </w:t>
      </w:r>
      <w:r>
        <w:t xml:space="preserve">The plan bar keeps showing "2026-01-01 → 2026-12-31 · </w:t>
      </w:r>
      <w:r>
        <w:rPr>
          <w:rtl/>
          <w:rFonts w:cs="Arial"/>
        </w:rPr>
        <w:t>‫كل الأمانات‬</w:t>
      </w:r>
      <w:r>
        <w:t>" in every case.</w:t>
      </w:r>
    </w:p>
    <w:p>
      <w:pPr>
        <w:spacing w:after="40"/>
        <w:ind w:left="850" w:hanging="283"/>
      </w:pPr>
      <w:r>
        <w:t xml:space="preserve">•  </w:t>
      </w:r>
      <w:r>
        <w:t xml:space="preserve">Saved v1 stores </w:t>
      </w:r>
      <w:r>
        <w:rPr>
          <w:rFonts w:ascii="Consolas" w:hAnsi="Consolas" w:cs="Consolas"/>
          <w:color w:val="B42318"/>
          <w:sz w:val="19"/>
        </w:rPr>
        <w:t>summary {rate, collected, balance}</w:t>
      </w:r>
      <w:r>
        <w:t xml:space="preserve"> (60.8 %, 8.24 bn, −12.61 bn) without the period/scope/config under which it was computed (Verified data).</w:t>
      </w:r>
    </w:p>
    <w:p>
      <w:pPr>
        <w:spacing w:after="40"/>
        <w:ind w:left="510" w:hanging="283"/>
      </w:pPr>
      <w:r>
        <w:t xml:space="preserve">•  </w:t>
      </w:r>
      <w:r>
        <w:rPr>
          <w:b/>
        </w:rPr>
        <w:t>Evidence:</w:t>
      </w:r>
      <w:r>
        <w:t xml:space="preserve"> </w:t>
      </w:r>
      <w:r>
        <w:rPr>
          <w:rFonts w:ascii="Consolas" w:hAnsi="Consolas" w:cs="Consolas"/>
          <w:color w:val="B42318"/>
          <w:sz w:val="19"/>
        </w:rPr>
        <w:t>src/pages/PlanningArea.jsx:74-79</w:t>
      </w:r>
      <w:r>
        <w:t xml:space="preserve"> (</w:t>
      </w:r>
      <w:r>
        <w:rPr>
          <w:rFonts w:ascii="Consolas" w:hAnsi="Consolas" w:cs="Consolas"/>
          <w:color w:val="B42318"/>
          <w:sz w:val="19"/>
        </w:rPr>
        <w:t>scenRes</w:t>
      </w:r>
      <w:r>
        <w:t xml:space="preserve">, </w:t>
      </w:r>
      <w:r>
        <w:rPr>
          <w:rFonts w:ascii="Consolas" w:hAnsi="Consolas" w:cs="Consolas"/>
          <w:color w:val="B42318"/>
          <w:sz w:val="19"/>
        </w:rPr>
        <w:t>funding</w:t>
      </w:r>
      <w:r>
        <w:t xml:space="preserve"> from the global </w:t>
      </w:r>
      <w:r>
        <w:rPr>
          <w:rFonts w:ascii="Consolas" w:hAnsi="Consolas" w:cs="Consolas"/>
          <w:color w:val="B42318"/>
          <w:sz w:val="19"/>
        </w:rPr>
        <w:t>snapshot</w:t>
      </w:r>
      <w:r>
        <w:t xml:space="preserve">), </w:t>
      </w:r>
      <w:r>
        <w:rPr>
          <w:rFonts w:ascii="Consolas" w:hAnsi="Consolas" w:cs="Consolas"/>
          <w:color w:val="B42318"/>
          <w:sz w:val="19"/>
        </w:rPr>
        <w:t>:83-87</w:t>
      </w:r>
      <w:r>
        <w:t xml:space="preserve"> (</w:t>
      </w:r>
      <w:r>
        <w:rPr>
          <w:rFonts w:ascii="Consolas" w:hAnsi="Consolas" w:cs="Consolas"/>
          <w:color w:val="B42318"/>
          <w:sz w:val="19"/>
        </w:rPr>
        <w:t>actuals</w:t>
      </w:r>
      <w:r>
        <w:t xml:space="preserve">), </w:t>
      </w:r>
      <w:r>
        <w:rPr>
          <w:rFonts w:ascii="Consolas" w:hAnsi="Consolas" w:cs="Consolas"/>
          <w:color w:val="B42318"/>
          <w:sz w:val="19"/>
        </w:rPr>
        <w:t>src/components/strategic/PlanBar.jsx:26</w:t>
      </w:r>
      <w:r>
        <w:t xml:space="preserve"> (summary), </w:t>
      </w:r>
      <w:r>
        <w:rPr>
          <w:rFonts w:ascii="Consolas" w:hAnsi="Consolas" w:cs="Consolas"/>
          <w:color w:val="B42318"/>
          <w:sz w:val="19"/>
        </w:rPr>
        <w:t>src/data/planStore.js:31</w:t>
      </w:r>
      <w:r>
        <w:t>.</w:t>
      </w:r>
    </w:p>
    <w:p>
      <w:pPr>
        <w:spacing w:after="40"/>
        <w:ind w:left="510" w:hanging="283"/>
      </w:pPr>
      <w:r>
        <w:t xml:space="preserve">•  </w:t>
      </w:r>
      <w:r>
        <w:rPr>
          <w:b/>
        </w:rPr>
        <w:t>Impact:</w:t>
      </w:r>
      <w:r>
        <w:t xml:space="preserve"> the plan's headline numbers are not reproducible and can flip with an unrelated filter click; a version cannot be compared with another.</w:t>
      </w:r>
    </w:p>
    <w:p>
      <w:pPr>
        <w:spacing w:after="40"/>
        <w:ind w:left="510" w:hanging="283"/>
      </w:pPr>
      <w:r>
        <w:t xml:space="preserve">•  </w:t>
      </w:r>
      <w:r>
        <w:rPr>
          <w:b/>
        </w:rPr>
        <w:t>Root cause (confirmed):</w:t>
      </w:r>
      <w:r>
        <w:t xml:space="preserve"> the plan owns a period and scope, but the analytics read </w:t>
      </w:r>
      <w:r>
        <w:rPr>
          <w:rFonts w:ascii="Consolas" w:hAnsi="Consolas" w:cs="Consolas"/>
          <w:color w:val="B42318"/>
          <w:sz w:val="19"/>
        </w:rPr>
        <w:t>rev.snapshot</w:t>
      </w:r>
      <w:r>
        <w:t xml:space="preserve"> (the global filter). The page treats "applying the plan scope" as an optional button (</w:t>
      </w:r>
      <w:r>
        <w:rPr>
          <w:rFonts w:ascii="Consolas" w:hAnsi="Consolas" w:cs="Consolas"/>
          <w:color w:val="B42318"/>
          <w:sz w:val="19"/>
        </w:rPr>
        <w:t>onApplyScope</w:t>
      </w:r>
      <w:r>
        <w:t>).</w:t>
      </w:r>
    </w:p>
    <w:p>
      <w:pPr>
        <w:spacing w:after="40"/>
        <w:ind w:left="510" w:hanging="283"/>
      </w:pPr>
      <w:r>
        <w:t xml:space="preserve">•  </w:t>
      </w:r>
      <w:r>
        <w:rPr>
          <w:b/>
        </w:rPr>
        <w:t>Correction:</w:t>
      </w:r>
      <w:r>
        <w:t xml:space="preserve"> planning computations must take the </w:t>
      </w:r>
      <w:r>
        <w:rPr>
          <w:b/>
        </w:rPr>
        <w:t>plan's</w:t>
      </w:r>
      <w:r>
        <w:t xml:space="preserve"> period/scope/basis. If the user changes the global filter, show an explicit banner ("viewing under filter X ≠ plan scope Y") or ignore the filter in this area. Store </w:t>
      </w:r>
      <w:r>
        <w:rPr>
          <w:rFonts w:ascii="Consolas" w:hAnsi="Consolas" w:cs="Consolas"/>
          <w:color w:val="B42318"/>
          <w:sz w:val="19"/>
        </w:rPr>
        <w:t>{period, scope, basis, config hash, data cut-off}</w:t>
      </w:r>
      <w:r>
        <w:t xml:space="preserve"> inside every saved version.</w:t>
      </w:r>
    </w:p>
    <w:p>
      <w:pPr>
        <w:pStyle w:val="Heading4"/>
      </w:pPr>
      <w:r>
        <w:t>F-05 · Smart reports silently misread common requests and report success</w:t>
      </w:r>
    </w:p>
    <w:p>
      <w:pPr>
        <w:spacing w:after="40"/>
        <w:ind w:left="510" w:hanging="283"/>
      </w:pPr>
      <w:r>
        <w:t xml:space="preserve">•  </w:t>
      </w:r>
      <w:r>
        <w:rPr>
          <w:b/>
        </w:rPr>
        <w:t>Affected:</w:t>
      </w:r>
      <w:r>
        <w:t xml:space="preserve"> Smart reports (J3). Verified through the interpreter and in the UI.</w:t>
      </w:r>
    </w:p>
    <w:p>
      <w:pPr>
        <w:spacing w:after="40"/>
        <w:ind w:left="510" w:hanging="283"/>
      </w:pPr>
      <w:r>
        <w:t xml:space="preserve">•  </w:t>
      </w:r>
      <w:r>
        <w:rPr>
          <w:b/>
        </w:rPr>
        <w:t>Reproduce:</w:t>
      </w:r>
      <w:r>
        <w:t xml:space="preserve"> type each phrase in a new conversation (shared filter = YTD, all Amanahs).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5487"/>
        <w:gridCol w:w="6010"/>
        <w:gridCol w:w="3526"/>
      </w:tblGrid>
      <w:tr>
        <w:trPr>
          <w:tblHeader w:val="true"/>
          <w:cantSplit/>
        </w:trPr>
        <w:tc>
          <w:tcPr>
            <w:tcW w:type="dxa" w:w="5487"/>
            <w:shd w:val="clear" w:color="auto" w:fill="1B8354"/>
          </w:tcPr>
          <w:p>
            <w:pPr>
              <w:spacing w:after="0" w:line="252" w:lineRule="auto"/>
            </w:pPr>
            <w:r>
              <w:rPr>
                <w:b/>
                <w:color w:val="FFFFFF"/>
                <w:sz w:val="17"/>
              </w:rPr>
              <w:t>Request</w:t>
            </w:r>
          </w:p>
        </w:tc>
        <w:tc>
          <w:tcPr>
            <w:tcW w:type="dxa" w:w="6010"/>
            <w:shd w:val="clear" w:color="auto" w:fill="1B8354"/>
          </w:tcPr>
          <w:p>
            <w:pPr>
              <w:spacing w:after="0" w:line="252" w:lineRule="auto"/>
            </w:pPr>
            <w:r>
              <w:rPr>
                <w:b/>
                <w:color w:val="FFFFFF"/>
                <w:sz w:val="17"/>
              </w:rPr>
              <w:t>What happened</w:t>
            </w:r>
          </w:p>
        </w:tc>
        <w:tc>
          <w:tcPr>
            <w:tcW w:type="dxa" w:w="3526"/>
            <w:shd w:val="clear" w:color="auto" w:fill="1B8354"/>
          </w:tcPr>
          <w:p>
            <w:pPr>
              <w:spacing w:after="0" w:line="252" w:lineRule="auto"/>
            </w:pPr>
            <w:r>
              <w:rPr>
                <w:b/>
                <w:color w:val="FFFFFF"/>
                <w:sz w:val="17"/>
              </w:rPr>
              <w:t>Expected</w:t>
            </w:r>
          </w:p>
        </w:tc>
      </w:tr>
      <w:tr>
        <w:trPr>
          <w:cantSplit/>
        </w:trPr>
        <w:tc>
          <w:tcPr>
            <w:tcW w:type="dxa" w:w="5487"/>
          </w:tcPr>
          <w:p>
            <w:pPr>
              <w:spacing w:after="0" w:line="252" w:lineRule="auto"/>
            </w:pPr>
            <w:r>
              <w:rPr>
                <w:sz w:val="17"/>
              </w:rPr>
              <w:t>«</w:t>
            </w:r>
            <w:r>
              <w:rPr>
                <w:sz w:val="17"/>
                <w:rtl/>
                <w:rFonts w:cs="Arial"/>
                <w:szCs w:val="17"/>
              </w:rPr>
              <w:t>‫أنشئ تقرير الإيرادات‬</w:t>
            </w:r>
            <w:r>
              <w:rPr>
                <w:sz w:val="17"/>
              </w:rPr>
              <w:t xml:space="preserve"> </w:t>
            </w:r>
            <w:r>
              <w:rPr>
                <w:b/>
                <w:sz w:val="17"/>
                <w:rtl/>
                <w:rFonts w:cs="Arial"/>
                <w:szCs w:val="17"/>
                <w:bCs/>
              </w:rPr>
              <w:t>‫للشهر الماضي‬</w:t>
            </w:r>
            <w:r>
              <w:rPr>
                <w:sz w:val="17"/>
              </w:rPr>
              <w:t>»</w:t>
            </w:r>
          </w:p>
        </w:tc>
        <w:tc>
          <w:tcPr>
            <w:tcW w:type="dxa" w:w="6010"/>
          </w:tcPr>
          <w:p>
            <w:pPr>
              <w:spacing w:after="0" w:line="252" w:lineRule="auto"/>
            </w:pPr>
            <w:r>
              <w:rPr>
                <w:sz w:val="17"/>
              </w:rPr>
              <w:t>period unchanged (YTD); no change chip; "</w:t>
            </w:r>
            <w:r>
              <w:rPr>
                <w:sz w:val="17"/>
                <w:rtl/>
                <w:rFonts w:cs="Arial"/>
                <w:szCs w:val="17"/>
              </w:rPr>
              <w:t>‫أعددتُ التقرير‬</w:t>
            </w:r>
            <w:r>
              <w:rPr>
                <w:sz w:val="17"/>
              </w:rPr>
              <w:t>"</w:t>
            </w:r>
          </w:p>
        </w:tc>
        <w:tc>
          <w:tcPr>
            <w:tcW w:type="dxa" w:w="3526"/>
          </w:tcPr>
          <w:p>
            <w:pPr>
              <w:spacing w:after="0" w:line="252" w:lineRule="auto"/>
            </w:pPr>
            <w:r>
              <w:rPr>
                <w:sz w:val="17"/>
              </w:rPr>
              <w:t>last month</w:t>
            </w:r>
          </w:p>
        </w:tc>
      </w:tr>
      <w:tr>
        <w:trPr>
          <w:cantSplit/>
        </w:trPr>
        <w:tc>
          <w:tcPr>
            <w:tcW w:type="dxa" w:w="5487"/>
            <w:shd w:val="clear" w:color="auto" w:fill="F9FAFB"/>
          </w:tcPr>
          <w:p>
            <w:pPr>
              <w:spacing w:after="0" w:line="252" w:lineRule="auto"/>
            </w:pPr>
            <w:r>
              <w:rPr>
                <w:sz w:val="17"/>
                <w:rtl/>
                <w:rFonts w:cs="Arial"/>
                <w:szCs w:val="17"/>
              </w:rPr>
              <w:t>‫«تقرير الشهر الماضي»‬</w:t>
            </w:r>
            <w:r>
              <w:rPr>
                <w:sz w:val="17"/>
              </w:rPr>
              <w:t xml:space="preserve"> while the dashboard is already on last month</w:t>
            </w:r>
          </w:p>
        </w:tc>
        <w:tc>
          <w:tcPr>
            <w:tcW w:type="dxa" w:w="6010"/>
            <w:shd w:val="clear" w:color="auto" w:fill="F9FAFB"/>
          </w:tcPr>
          <w:p>
            <w:pPr>
              <w:spacing w:after="0" w:line="252" w:lineRule="auto"/>
            </w:pPr>
            <w:r>
              <w:rPr>
                <w:sz w:val="17"/>
              </w:rPr>
              <w:t>"I could not turn this request into a report"</w:t>
            </w:r>
          </w:p>
        </w:tc>
        <w:tc>
          <w:tcPr>
            <w:tcW w:type="dxa" w:w="3526"/>
            <w:shd w:val="clear" w:color="auto" w:fill="F9FAFB"/>
          </w:tcPr>
          <w:p>
            <w:pPr>
              <w:spacing w:after="0" w:line="252" w:lineRule="auto"/>
            </w:pPr>
            <w:r>
              <w:rPr>
                <w:sz w:val="17"/>
              </w:rPr>
              <w:t>the report</w:t>
            </w:r>
          </w:p>
        </w:tc>
      </w:tr>
      <w:tr>
        <w:trPr>
          <w:cantSplit/>
        </w:trPr>
        <w:tc>
          <w:tcPr>
            <w:tcW w:type="dxa" w:w="5487"/>
          </w:tcPr>
          <w:p>
            <w:pPr>
              <w:spacing w:after="0" w:line="252" w:lineRule="auto"/>
            </w:pPr>
            <w:r>
              <w:rPr>
                <w:sz w:val="17"/>
              </w:rPr>
              <w:t>«</w:t>
            </w:r>
            <w:r>
              <w:rPr>
                <w:sz w:val="17"/>
                <w:rtl/>
                <w:rFonts w:cs="Arial"/>
                <w:szCs w:val="17"/>
              </w:rPr>
              <w:t>‫أريد تقريراً عن أكبر 5‬</w:t>
            </w:r>
            <w:r>
              <w:rPr>
                <w:sz w:val="17"/>
              </w:rPr>
              <w:t xml:space="preserve"> </w:t>
            </w:r>
            <w:r>
              <w:rPr>
                <w:b/>
                <w:sz w:val="17"/>
                <w:rtl/>
                <w:rFonts w:cs="Arial"/>
                <w:szCs w:val="17"/>
                <w:bCs/>
              </w:rPr>
              <w:t>‫بلديات‬</w:t>
            </w:r>
            <w:r>
              <w:rPr>
                <w:sz w:val="17"/>
              </w:rPr>
              <w:t>»</w:t>
            </w:r>
          </w:p>
        </w:tc>
        <w:tc>
          <w:tcPr>
            <w:tcW w:type="dxa" w:w="6010"/>
          </w:tcPr>
          <w:p>
            <w:pPr>
              <w:spacing w:after="0" w:line="252" w:lineRule="auto"/>
            </w:pPr>
            <w:r>
              <w:rPr>
                <w:sz w:val="17"/>
              </w:rPr>
              <w:t>source = municipal fees</w:t>
            </w:r>
          </w:p>
        </w:tc>
        <w:tc>
          <w:tcPr>
            <w:tcW w:type="dxa" w:w="3526"/>
          </w:tcPr>
          <w:p>
            <w:pPr>
              <w:spacing w:after="0" w:line="252" w:lineRule="auto"/>
            </w:pPr>
            <w:r>
              <w:rPr>
                <w:sz w:val="17"/>
              </w:rPr>
              <w:t>municipalities table (top 5)</w:t>
            </w:r>
          </w:p>
        </w:tc>
      </w:tr>
      <w:tr>
        <w:trPr>
          <w:cantSplit/>
        </w:trPr>
        <w:tc>
          <w:tcPr>
            <w:tcW w:type="dxa" w:w="5487"/>
            <w:shd w:val="clear" w:color="auto" w:fill="F9FAFB"/>
          </w:tcPr>
          <w:p>
            <w:pPr>
              <w:spacing w:after="0" w:line="252" w:lineRule="auto"/>
            </w:pPr>
            <w:r>
              <w:rPr>
                <w:sz w:val="17"/>
              </w:rPr>
              <w:t>«</w:t>
            </w:r>
            <w:r>
              <w:rPr>
                <w:sz w:val="17"/>
                <w:rtl/>
                <w:rFonts w:cs="Arial"/>
                <w:szCs w:val="17"/>
              </w:rPr>
              <w:t>‫تقرير الاستبعادات‬</w:t>
            </w:r>
            <w:r>
              <w:rPr>
                <w:sz w:val="17"/>
              </w:rPr>
              <w:t xml:space="preserve"> </w:t>
            </w:r>
            <w:r>
              <w:rPr>
                <w:b/>
                <w:sz w:val="17"/>
                <w:rtl/>
                <w:rFonts w:cs="Arial"/>
                <w:szCs w:val="17"/>
                <w:bCs/>
              </w:rPr>
              <w:t>‫للأمانات الشرقية‬</w:t>
            </w:r>
            <w:r>
              <w:rPr>
                <w:sz w:val="17"/>
              </w:rPr>
              <w:t>»</w:t>
            </w:r>
          </w:p>
        </w:tc>
        <w:tc>
          <w:tcPr>
            <w:tcW w:type="dxa" w:w="6010"/>
            <w:shd w:val="clear" w:color="auto" w:fill="F9FAFB"/>
          </w:tcPr>
          <w:p>
            <w:pPr>
              <w:spacing w:after="0" w:line="252" w:lineRule="auto"/>
            </w:pPr>
            <w:r>
              <w:rPr>
                <w:sz w:val="17"/>
              </w:rPr>
              <w:t>Amanah ignored</w:t>
            </w:r>
          </w:p>
        </w:tc>
        <w:tc>
          <w:tcPr>
            <w:tcW w:type="dxa" w:w="3526"/>
            <w:shd w:val="clear" w:color="auto" w:fill="F9FAFB"/>
          </w:tcPr>
          <w:p>
            <w:pPr>
              <w:spacing w:after="0" w:line="252" w:lineRule="auto"/>
            </w:pPr>
            <w:r>
              <w:rPr>
                <w:sz w:val="17"/>
              </w:rPr>
              <w:t>Eastern Amanah</w:t>
            </w:r>
          </w:p>
        </w:tc>
      </w:tr>
      <w:tr>
        <w:trPr>
          <w:cantSplit/>
        </w:trPr>
        <w:tc>
          <w:tcPr>
            <w:tcW w:type="dxa" w:w="5487"/>
          </w:tcPr>
          <w:p>
            <w:pPr>
              <w:spacing w:after="0" w:line="252" w:lineRule="auto"/>
            </w:pPr>
            <w:r>
              <w:rPr>
                <w:sz w:val="17"/>
              </w:rPr>
              <w:t>«</w:t>
            </w:r>
            <w:r>
              <w:rPr>
                <w:sz w:val="17"/>
                <w:rtl/>
                <w:rFonts w:cs="Arial"/>
                <w:szCs w:val="17"/>
              </w:rPr>
              <w:t>‫تقرير الشهر الماضي‬</w:t>
            </w:r>
            <w:r>
              <w:rPr>
                <w:sz w:val="17"/>
              </w:rPr>
              <w:t xml:space="preserve"> </w:t>
            </w:r>
            <w:r>
              <w:rPr>
                <w:b/>
                <w:sz w:val="17"/>
                <w:rtl/>
                <w:rFonts w:cs="Arial"/>
                <w:szCs w:val="17"/>
                <w:bCs/>
              </w:rPr>
              <w:t>‫مقارنة بالعام الماضي‬</w:t>
            </w:r>
            <w:r>
              <w:rPr>
                <w:sz w:val="17"/>
              </w:rPr>
              <w:t>»</w:t>
            </w:r>
          </w:p>
        </w:tc>
        <w:tc>
          <w:tcPr>
            <w:tcW w:type="dxa" w:w="6010"/>
          </w:tcPr>
          <w:p>
            <w:pPr>
              <w:spacing w:after="0" w:line="252" w:lineRule="auto"/>
            </w:pPr>
            <w:r>
              <w:rPr>
                <w:sz w:val="17"/>
              </w:rPr>
              <w:t xml:space="preserve">comparison = </w:t>
            </w:r>
            <w:r>
              <w:rPr>
                <w:i/>
                <w:sz w:val="17"/>
              </w:rPr>
              <w:t>last month</w:t>
            </w:r>
            <w:r>
              <w:rPr>
                <w:sz w:val="17"/>
              </w:rPr>
              <w:t>, period unchanged</w:t>
            </w:r>
          </w:p>
        </w:tc>
        <w:tc>
          <w:tcPr>
            <w:tcW w:type="dxa" w:w="3526"/>
          </w:tcPr>
          <w:p>
            <w:pPr>
              <w:spacing w:after="0" w:line="252" w:lineRule="auto"/>
            </w:pPr>
            <w:r>
              <w:rPr>
                <w:sz w:val="17"/>
              </w:rPr>
              <w:t>last month vs last year</w:t>
            </w:r>
          </w:p>
        </w:tc>
      </w:tr>
      <w:tr>
        <w:trPr>
          <w:cantSplit/>
        </w:trPr>
        <w:tc>
          <w:tcPr>
            <w:tcW w:type="dxa" w:w="5487"/>
            <w:shd w:val="clear" w:color="auto" w:fill="F9FAFB"/>
          </w:tcPr>
          <w:p>
            <w:pPr>
              <w:spacing w:after="0" w:line="252" w:lineRule="auto"/>
            </w:pPr>
            <w:r>
              <w:rPr>
                <w:sz w:val="17"/>
              </w:rPr>
              <w:t>«</w:t>
            </w:r>
            <w:r>
              <w:rPr>
                <w:sz w:val="17"/>
                <w:rtl/>
                <w:rFonts w:cs="Arial"/>
                <w:szCs w:val="17"/>
              </w:rPr>
              <w:t>‫تقرير الاستبعادات شهر سبتمبر‬</w:t>
            </w:r>
            <w:r>
              <w:rPr>
                <w:sz w:val="17"/>
              </w:rPr>
              <w:t xml:space="preserve"> </w:t>
            </w:r>
            <w:r>
              <w:rPr>
                <w:b/>
                <w:sz w:val="17"/>
                <w:rtl/>
                <w:rFonts w:cs="Arial"/>
                <w:szCs w:val="17"/>
                <w:bCs/>
              </w:rPr>
              <w:t>‫مقارنة بأغسطس‬</w:t>
            </w:r>
            <w:r>
              <w:rPr>
                <w:sz w:val="17"/>
              </w:rPr>
              <w:t>»</w:t>
            </w:r>
          </w:p>
        </w:tc>
        <w:tc>
          <w:tcPr>
            <w:tcW w:type="dxa" w:w="6010"/>
            <w:shd w:val="clear" w:color="auto" w:fill="F9FAFB"/>
          </w:tcPr>
          <w:p>
            <w:pPr>
              <w:spacing w:after="0" w:line="252" w:lineRule="auto"/>
            </w:pPr>
            <w:r>
              <w:rPr>
                <w:sz w:val="17"/>
              </w:rPr>
              <w:t xml:space="preserve">period = </w:t>
            </w:r>
            <w:r>
              <w:rPr>
                <w:b/>
                <w:sz w:val="17"/>
              </w:rPr>
              <w:t>August</w:t>
            </w:r>
            <w:r>
              <w:rPr>
                <w:sz w:val="17"/>
              </w:rPr>
              <w:t>, no comparison</w:t>
            </w:r>
          </w:p>
        </w:tc>
        <w:tc>
          <w:tcPr>
            <w:tcW w:type="dxa" w:w="3526"/>
            <w:shd w:val="clear" w:color="auto" w:fill="F9FAFB"/>
          </w:tcPr>
          <w:p>
            <w:pPr>
              <w:spacing w:after="0" w:line="252" w:lineRule="auto"/>
            </w:pPr>
            <w:r>
              <w:rPr>
                <w:sz w:val="17"/>
              </w:rPr>
              <w:t>September vs August</w:t>
            </w:r>
          </w:p>
        </w:tc>
      </w:tr>
      <w:tr>
        <w:trPr>
          <w:cantSplit/>
        </w:trPr>
        <w:tc>
          <w:tcPr>
            <w:tcW w:type="dxa" w:w="5487"/>
          </w:tcPr>
          <w:p>
            <w:pPr>
              <w:spacing w:after="0" w:line="252" w:lineRule="auto"/>
            </w:pPr>
            <w:r>
              <w:rPr>
                <w:sz w:val="17"/>
              </w:rPr>
              <w:t>«</w:t>
            </w:r>
            <w:r>
              <w:rPr>
                <w:sz w:val="17"/>
                <w:rtl/>
                <w:rFonts w:cs="Arial"/>
                <w:szCs w:val="17"/>
              </w:rPr>
              <w:t>‫ما نسبة التحصيل في‬</w:t>
            </w:r>
            <w:r>
              <w:rPr>
                <w:sz w:val="17"/>
              </w:rPr>
              <w:t xml:space="preserve"> </w:t>
            </w:r>
            <w:r>
              <w:rPr>
                <w:b/>
                <w:sz w:val="17"/>
                <w:rtl/>
                <w:rFonts w:cs="Arial"/>
                <w:szCs w:val="17"/>
                <w:bCs/>
              </w:rPr>
              <w:t>‫جدة‬</w:t>
            </w:r>
            <w:r>
              <w:rPr>
                <w:sz w:val="17"/>
                <w:rtl/>
                <w:rFonts w:cs="Arial"/>
                <w:szCs w:val="17"/>
              </w:rPr>
              <w:t>‫؟‬</w:t>
            </w:r>
            <w:r>
              <w:rPr>
                <w:sz w:val="17"/>
              </w:rPr>
              <w:t>»</w:t>
            </w:r>
          </w:p>
        </w:tc>
        <w:tc>
          <w:tcPr>
            <w:tcW w:type="dxa" w:w="6010"/>
          </w:tcPr>
          <w:p>
            <w:pPr>
              <w:spacing w:after="0" w:line="252" w:lineRule="auto"/>
            </w:pPr>
            <w:r>
              <w:rPr>
                <w:sz w:val="17"/>
              </w:rPr>
              <w:t>national figures (Amanah not applied)</w:t>
            </w:r>
          </w:p>
        </w:tc>
        <w:tc>
          <w:tcPr>
            <w:tcW w:type="dxa" w:w="3526"/>
          </w:tcPr>
          <w:p>
            <w:pPr>
              <w:spacing w:after="0" w:line="252" w:lineRule="auto"/>
            </w:pPr>
            <w:r>
              <w:rPr>
                <w:sz w:val="17"/>
              </w:rPr>
              <w:t>Jeddah</w:t>
            </w:r>
          </w:p>
        </w:tc>
      </w:tr>
      <w:tr>
        <w:trPr>
          <w:cantSplit/>
        </w:trPr>
        <w:tc>
          <w:tcPr>
            <w:tcW w:type="dxa" w:w="5487"/>
            <w:shd w:val="clear" w:color="auto" w:fill="F9FAFB"/>
          </w:tcPr>
          <w:p>
            <w:pPr>
              <w:spacing w:after="0" w:line="252" w:lineRule="auto"/>
            </w:pPr>
            <w:r>
              <w:rPr>
                <w:sz w:val="17"/>
                <w:rtl/>
                <w:rFonts w:cs="Arial"/>
                <w:szCs w:val="17"/>
              </w:rPr>
              <w:t>‫«ما الميزانية المتبقية؟»‬</w:t>
            </w:r>
            <w:r>
              <w:rPr>
                <w:sz w:val="17"/>
              </w:rPr>
              <w:t xml:space="preserve"> / </w:t>
            </w:r>
            <w:r>
              <w:rPr>
                <w:sz w:val="17"/>
                <w:rtl/>
                <w:rFonts w:cs="Arial"/>
                <w:szCs w:val="17"/>
              </w:rPr>
              <w:t>‫«هل نغطي المصروفات؟»‬</w:t>
            </w:r>
          </w:p>
        </w:tc>
        <w:tc>
          <w:tcPr>
            <w:tcW w:type="dxa" w:w="6010"/>
            <w:shd w:val="clear" w:color="auto" w:fill="F9FAFB"/>
          </w:tcPr>
          <w:p>
            <w:pPr>
              <w:spacing w:after="0" w:line="252" w:lineRule="auto"/>
            </w:pPr>
            <w:r>
              <w:rPr>
                <w:sz w:val="17"/>
              </w:rPr>
              <w:t>labelled "answer computed from data" but returns the generic executive report</w:t>
            </w:r>
          </w:p>
        </w:tc>
        <w:tc>
          <w:tcPr>
            <w:tcW w:type="dxa" w:w="3526"/>
            <w:shd w:val="clear" w:color="auto" w:fill="F9FAFB"/>
          </w:tcPr>
          <w:p>
            <w:pPr>
              <w:spacing w:after="0" w:line="252" w:lineRule="auto"/>
            </w:pPr>
            <w:r>
              <w:rPr>
                <w:sz w:val="17"/>
              </w:rPr>
              <w:t>budget answer or a redirect to the budget report</w:t>
            </w:r>
          </w:p>
        </w:tc>
      </w:tr>
      <w:tr>
        <w:trPr>
          <w:cantSplit/>
        </w:trPr>
        <w:tc>
          <w:tcPr>
            <w:tcW w:type="dxa" w:w="5487"/>
          </w:tcPr>
          <w:p>
            <w:pPr>
              <w:spacing w:after="0" w:line="252" w:lineRule="auto"/>
            </w:pPr>
            <w:r>
              <w:rPr>
                <w:sz w:val="17"/>
                <w:rtl/>
                <w:rFonts w:cs="Arial"/>
                <w:szCs w:val="17"/>
              </w:rPr>
              <w:t>‫«قارن الرياض بجدة»‬</w:t>
            </w:r>
          </w:p>
        </w:tc>
        <w:tc>
          <w:tcPr>
            <w:tcW w:type="dxa" w:w="6010"/>
          </w:tcPr>
          <w:p>
            <w:pPr>
              <w:spacing w:after="0" w:line="252" w:lineRule="auto"/>
            </w:pPr>
            <w:r>
              <w:rPr>
                <w:sz w:val="17"/>
              </w:rPr>
              <w:t>"unsupported"</w:t>
            </w:r>
          </w:p>
        </w:tc>
        <w:tc>
          <w:tcPr>
            <w:tcW w:type="dxa" w:w="3526"/>
          </w:tcPr>
          <w:p>
            <w:pPr>
              <w:spacing w:after="0" w:line="252" w:lineRule="auto"/>
            </w:pPr>
            <w:r>
              <w:rPr>
                <w:sz w:val="17"/>
              </w:rPr>
              <w:t>comparison of two Amanahs</w:t>
            </w:r>
          </w:p>
        </w:tc>
      </w:tr>
      <w:tr>
        <w:trPr>
          <w:cantSplit/>
        </w:trPr>
        <w:tc>
          <w:tcPr>
            <w:tcW w:type="dxa" w:w="5487"/>
            <w:shd w:val="clear" w:color="auto" w:fill="F9FAFB"/>
          </w:tcPr>
          <w:p>
            <w:pPr>
              <w:spacing w:after="0" w:line="252" w:lineRule="auto"/>
            </w:pPr>
            <w:r>
              <w:rPr>
                <w:sz w:val="17"/>
              </w:rPr>
              <w:t>"compare with last month" (English)</w:t>
            </w:r>
          </w:p>
        </w:tc>
        <w:tc>
          <w:tcPr>
            <w:tcW w:type="dxa" w:w="6010"/>
            <w:shd w:val="clear" w:color="auto" w:fill="F9FAFB"/>
          </w:tcPr>
          <w:p>
            <w:pPr>
              <w:spacing w:after="0" w:line="252" w:lineRule="auto"/>
            </w:pPr>
            <w:r>
              <w:rPr>
                <w:sz w:val="17"/>
              </w:rPr>
              <w:t xml:space="preserve">sets the </w:t>
            </w:r>
            <w:r>
              <w:rPr>
                <w:i/>
                <w:sz w:val="17"/>
              </w:rPr>
              <w:t>period</w:t>
            </w:r>
            <w:r>
              <w:rPr>
                <w:sz w:val="17"/>
              </w:rPr>
              <w:t xml:space="preserve"> to last month</w:t>
            </w:r>
          </w:p>
        </w:tc>
        <w:tc>
          <w:tcPr>
            <w:tcW w:type="dxa" w:w="3526"/>
            <w:shd w:val="clear" w:color="auto" w:fill="F9FAFB"/>
          </w:tcPr>
          <w:p>
            <w:pPr>
              <w:spacing w:after="0" w:line="252" w:lineRule="auto"/>
            </w:pPr>
            <w:r>
              <w:rPr>
                <w:sz w:val="17"/>
              </w:rPr>
              <w:t>comparison</w:t>
            </w:r>
          </w:p>
        </w:tc>
      </w:tr>
    </w:tbl>
    <w:p>
      <w:pPr>
        <w:spacing w:after="40"/>
      </w:pPr>
    </w:p>
    <w:p>
      <w:pPr>
        <w:spacing w:after="40"/>
        <w:ind w:left="510" w:hanging="283"/>
      </w:pPr>
      <w:r>
        <w:t xml:space="preserve">•  </w:t>
      </w:r>
      <w:r>
        <w:rPr>
          <w:b/>
        </w:rPr>
        <w:t>Evidence:</w:t>
      </w:r>
      <w:r>
        <w:t xml:space="preserve"> </w:t>
      </w:r>
      <w:r>
        <w:rPr>
          <w:rFonts w:ascii="Consolas" w:hAnsi="Consolas" w:cs="Consolas"/>
          <w:color w:val="B42318"/>
          <w:sz w:val="19"/>
        </w:rPr>
        <w:t>src/data/reportIntents.js:80-84</w:t>
      </w:r>
      <w:r>
        <w:t xml:space="preserve"> (comparison extraction), </w:t>
      </w:r>
      <w:r>
        <w:rPr>
          <w:rFonts w:ascii="Consolas" w:hAnsi="Consolas" w:cs="Consolas"/>
          <w:color w:val="B42318"/>
          <w:sz w:val="19"/>
        </w:rPr>
        <w:t>:99</w:t>
      </w:r>
      <w:r>
        <w:t xml:space="preserve"> (Amanah needs a trigger word), </w:t>
      </w:r>
      <w:r>
        <w:rPr>
          <w:rFonts w:ascii="Consolas" w:hAnsi="Consolas" w:cs="Consolas"/>
          <w:color w:val="B42318"/>
          <w:sz w:val="19"/>
        </w:rPr>
        <w:t>:126-153</w:t>
      </w:r>
      <w:r>
        <w:t xml:space="preserve"> (any question is "recognised"; </w:t>
      </w:r>
      <w:r>
        <w:rPr>
          <w:rFonts w:ascii="Consolas" w:hAnsi="Consolas" w:cs="Consolas"/>
          <w:color w:val="B42318"/>
          <w:sz w:val="19"/>
        </w:rPr>
        <w:t>recognized</w:t>
      </w:r>
      <w:r>
        <w:t xml:space="preserve"> at </w:t>
      </w:r>
      <w:r>
        <w:rPr>
          <w:rFonts w:ascii="Consolas" w:hAnsi="Consolas" w:cs="Consolas"/>
          <w:color w:val="B42318"/>
          <w:sz w:val="19"/>
        </w:rPr>
        <w:t>:151</w:t>
      </w:r>
      <w:r>
        <w:t xml:space="preserve">), </w:t>
      </w:r>
      <w:r>
        <w:rPr>
          <w:rFonts w:ascii="Consolas" w:hAnsi="Consolas" w:cs="Consolas"/>
          <w:color w:val="B42318"/>
          <w:sz w:val="19"/>
        </w:rPr>
        <w:t>SECTION_WORDS</w:t>
      </w:r>
      <w:r>
        <w:t xml:space="preserve"> has no budget/expenditure; </w:t>
      </w:r>
      <w:r>
        <w:rPr>
          <w:rFonts w:ascii="Consolas" w:hAnsi="Consolas" w:cs="Consolas"/>
          <w:color w:val="B42318"/>
          <w:sz w:val="19"/>
        </w:rPr>
        <w:t>assistantRouter.parseSource</w:t>
      </w:r>
      <w:r>
        <w:t xml:space="preserve"> maps </w:t>
      </w:r>
      <w:r>
        <w:rPr>
          <w:rtl/>
          <w:rFonts w:cs="Arial"/>
        </w:rPr>
        <w:t>‫«بلديات»‬</w:t>
      </w:r>
      <w:r>
        <w:t xml:space="preserve"> to municipal fees.</w:t>
      </w:r>
    </w:p>
    <w:p>
      <w:pPr>
        <w:spacing w:after="40"/>
        <w:ind w:left="510" w:hanging="283"/>
      </w:pPr>
      <w:r>
        <w:t xml:space="preserve">•  </w:t>
      </w:r>
      <w:r>
        <w:rPr>
          <w:b/>
        </w:rPr>
        <w:t>Impact:</w:t>
      </w:r>
      <w:r>
        <w:t xml:space="preserve"> the user sees chips but the assistant text claims success; a wrong period or Amanah can go into an exported report.</w:t>
      </w:r>
    </w:p>
    <w:p>
      <w:pPr>
        <w:spacing w:after="40"/>
        <w:ind w:left="510" w:hanging="283"/>
      </w:pPr>
      <w:r>
        <w:t xml:space="preserve">•  </w:t>
      </w:r>
      <w:r>
        <w:rPr>
          <w:b/>
        </w:rPr>
        <w:t>Root cause (confirmed):</w:t>
      </w:r>
      <w:r>
        <w:t xml:space="preserve"> keyword rules without a "recognised but not applied" check, and no confirmation step.</w:t>
      </w:r>
    </w:p>
    <w:p>
      <w:pPr>
        <w:spacing w:after="40"/>
        <w:ind w:left="510" w:hanging="283"/>
      </w:pPr>
      <w:r>
        <w:t xml:space="preserve">•  </w:t>
      </w:r>
      <w:r>
        <w:rPr>
          <w:b/>
        </w:rPr>
        <w:t>Correction:</w:t>
      </w:r>
      <w:r>
        <w:t xml:space="preserve"> (1) fail loudly when a token that looks like a period/Amanah/comparison is present but unapplied; (2) show an editable "I will prepare: period · Amanah · source · comparison" line and require one click when confidence is low; (3) a golden phrase corpus (≥100 Arabic/English phrasings) as a regression test; (4) a clear redirect for budget/expenditure requests to the fixed report; (5) questions must produce an answer, not a generic report.</w:t>
      </w:r>
    </w:p>
    <w:p>
      <w:pPr>
        <w:pStyle w:val="Heading3"/>
      </w:pPr>
      <w:r>
        <w:t>P1 — integrity, governance and visibly wrong output</w:t>
      </w:r>
    </w:p>
    <w:p>
      <w:pPr>
        <w:pStyle w:val="Heading4"/>
      </w:pPr>
      <w:r>
        <w:t>F-06 · "Propose an action from this scenario" creates an approved action</w:t>
      </w:r>
    </w:p>
    <w:p>
      <w:pPr>
        <w:spacing w:after="40"/>
        <w:ind w:left="510" w:hanging="283"/>
      </w:pPr>
      <w:r>
        <w:t xml:space="preserve">•  </w:t>
      </w:r>
      <w:r>
        <w:rPr>
          <w:b/>
        </w:rPr>
        <w:t>Reproduce (Verified code):</w:t>
      </w:r>
      <w:r>
        <w:t xml:space="preserve"> Planning → Scenarios → change a lever → </w:t>
      </w:r>
      <w:r>
        <w:rPr>
          <w:rtl/>
          <w:rFonts w:cs="Arial"/>
        </w:rPr>
        <w:t>‫«اقتراح إجراء من هذا السيناريو»‬</w:t>
      </w:r>
      <w:r>
        <w:t>.</w:t>
      </w:r>
    </w:p>
    <w:p>
      <w:pPr>
        <w:spacing w:after="40"/>
        <w:ind w:left="510" w:hanging="283"/>
      </w:pPr>
      <w:r>
        <w:t xml:space="preserve">•  </w:t>
      </w:r>
      <w:r>
        <w:rPr>
          <w:b/>
        </w:rPr>
        <w:t>Actual:</w:t>
      </w:r>
      <w:r>
        <w:t xml:space="preserve"> the toast says </w:t>
      </w:r>
      <w:r>
        <w:rPr>
          <w:rtl/>
          <w:rFonts w:cs="Arial"/>
        </w:rPr>
        <w:t>‫«معتمد — بانتظار البدء»‬</w:t>
      </w:r>
      <w:r>
        <w:t xml:space="preserve"> and the item enters the register with status </w:t>
      </w:r>
      <w:r>
        <w:rPr>
          <w:rFonts w:ascii="Consolas" w:hAnsi="Consolas" w:cs="Consolas"/>
          <w:color w:val="B42318"/>
          <w:sz w:val="19"/>
        </w:rPr>
        <w:t>approved</w:t>
      </w:r>
      <w:r>
        <w:t xml:space="preserve">, no approver, no owner. </w:t>
      </w:r>
      <w:r>
        <w:rPr>
          <w:rFonts w:ascii="Consolas" w:hAnsi="Consolas" w:cs="Consolas"/>
          <w:color w:val="B42318"/>
          <w:sz w:val="19"/>
        </w:rPr>
        <w:t>createAction</w:t>
      </w:r>
      <w:r>
        <w:t xml:space="preserve"> always sets </w:t>
      </w:r>
      <w:r>
        <w:rPr>
          <w:rFonts w:ascii="Consolas" w:hAnsi="Consolas" w:cs="Consolas"/>
          <w:color w:val="B42318"/>
          <w:sz w:val="19"/>
        </w:rPr>
        <w:t>status: 'approved'</w:t>
      </w:r>
      <w:r>
        <w:t xml:space="preserve"> (</w:t>
      </w:r>
      <w:r>
        <w:rPr>
          <w:rFonts w:ascii="Consolas" w:hAnsi="Consolas" w:cs="Consolas"/>
          <w:color w:val="B42318"/>
          <w:sz w:val="19"/>
        </w:rPr>
        <w:t>src/data/actionRegister.js:32</w:t>
      </w:r>
      <w:r>
        <w:t>) and the same user proposes and approves (</w:t>
      </w:r>
      <w:r>
        <w:rPr>
          <w:rFonts w:ascii="Consolas" w:hAnsi="Consolas" w:cs="Consolas"/>
          <w:color w:val="B42318"/>
          <w:sz w:val="19"/>
        </w:rPr>
        <w:t>ActionRegister.jsx:37</w:t>
      </w:r>
      <w:r>
        <w:t xml:space="preserve">); </w:t>
      </w:r>
      <w:r>
        <w:rPr>
          <w:rFonts w:ascii="Consolas" w:hAnsi="Consolas" w:cs="Consolas"/>
          <w:color w:val="B42318"/>
          <w:sz w:val="19"/>
        </w:rPr>
        <w:t>PlanningArea.jsx:118-122</w:t>
      </w:r>
      <w:r>
        <w:t xml:space="preserve"> bypasses the proposal queue.</w:t>
      </w:r>
    </w:p>
    <w:p>
      <w:pPr>
        <w:spacing w:after="40"/>
        <w:ind w:left="510" w:hanging="283"/>
      </w:pPr>
      <w:r>
        <w:t xml:space="preserve">•  </w:t>
      </w:r>
      <w:r>
        <w:rPr>
          <w:b/>
        </w:rPr>
        <w:t>Impact:</w:t>
      </w:r>
      <w:r>
        <w:t xml:space="preserve"> recommendations are presented as approved decisions (explicitly forbidden by the requirements); the register cannot distinguish "proposed", "approved" and "approver".</w:t>
      </w:r>
    </w:p>
    <w:p>
      <w:pPr>
        <w:spacing w:after="40"/>
        <w:ind w:left="510" w:hanging="283"/>
      </w:pPr>
      <w:r>
        <w:t xml:space="preserve">•  </w:t>
      </w:r>
      <w:r>
        <w:rPr>
          <w:b/>
        </w:rPr>
        <w:t>Correction:</w:t>
      </w:r>
      <w:r>
        <w:t xml:space="preserve"> status model </w:t>
      </w:r>
      <w:r>
        <w:rPr>
          <w:rFonts w:ascii="Consolas" w:hAnsi="Consolas" w:cs="Consolas"/>
          <w:color w:val="B42318"/>
          <w:sz w:val="19"/>
        </w:rPr>
        <w:t>proposed → approved (by, at) → in progress → done / cancelled</w:t>
      </w:r>
      <w:r>
        <w:t xml:space="preserve">; scenario button creates </w:t>
      </w:r>
      <w:r>
        <w:rPr>
          <w:rFonts w:ascii="Consolas" w:hAnsi="Consolas" w:cs="Consolas"/>
          <w:color w:val="B42318"/>
          <w:sz w:val="19"/>
        </w:rPr>
        <w:t>proposed</w:t>
      </w:r>
      <w:r>
        <w:t xml:space="preserve">; approval requires a different identity/role (see Q4). Record </w:t>
      </w:r>
      <w:r>
        <w:rPr>
          <w:rFonts w:ascii="Consolas" w:hAnsi="Consolas" w:cs="Consolas"/>
          <w:color w:val="B42318"/>
          <w:sz w:val="19"/>
        </w:rPr>
        <w:t>approvedBy</w:t>
      </w:r>
      <w:r>
        <w:t xml:space="preserve">, </w:t>
      </w:r>
      <w:r>
        <w:rPr>
          <w:rFonts w:ascii="Consolas" w:hAnsi="Consolas" w:cs="Consolas"/>
          <w:color w:val="B42318"/>
          <w:sz w:val="19"/>
        </w:rPr>
        <w:t>approvedAt</w:t>
      </w:r>
      <w:r>
        <w:t>, plan id/version and objective id on every action.</w:t>
      </w:r>
    </w:p>
    <w:p>
      <w:pPr>
        <w:pStyle w:val="Heading4"/>
      </w:pPr>
      <w:r>
        <w:t>F-07 · An approved plan can be changed without losing approval; labels and author are wrong</w:t>
      </w:r>
    </w:p>
    <w:p>
      <w:pPr>
        <w:spacing w:after="40"/>
        <w:ind w:left="510" w:hanging="283"/>
      </w:pPr>
      <w:r>
        <w:t xml:space="preserve">•  </w:t>
      </w:r>
      <w:r>
        <w:rPr>
          <w:b/>
        </w:rPr>
        <w:t>Verified (data + side-effect):</w:t>
      </w:r>
      <w:r>
        <w:t xml:space="preserve"> the stored plan was </w:t>
      </w:r>
      <w:r>
        <w:rPr>
          <w:rFonts w:ascii="Consolas" w:hAnsi="Consolas" w:cs="Consolas"/>
          <w:color w:val="B42318"/>
          <w:sz w:val="19"/>
        </w:rPr>
        <w:t>v1 · معتمدة</w:t>
      </w:r>
      <w:r>
        <w:t xml:space="preserve"> with a saved scenario of +3 pp. One edit through the scenario input changed the live scenario to +8 pp; a field-by-field diff of the stored record showed </w:t>
      </w:r>
      <w:r>
        <w:rPr>
          <w:b/>
        </w:rPr>
        <w:t>only</w:t>
      </w:r>
      <w:r>
        <w:t xml:space="preserve"> </w:t>
      </w:r>
      <w:r>
        <w:rPr>
          <w:rFonts w:ascii="Consolas" w:hAnsi="Consolas" w:cs="Consolas"/>
          <w:color w:val="B42318"/>
          <w:sz w:val="19"/>
        </w:rPr>
        <w:t>scenario.dRate</w:t>
      </w:r>
      <w:r>
        <w:t xml:space="preserve"> changed — status stayed </w:t>
      </w:r>
      <w:r>
        <w:rPr>
          <w:i/>
        </w:rPr>
        <w:t>approved</w:t>
      </w:r>
      <w:r>
        <w:t>, version stayed 1, no history entry, the saved v1 still held +3 pp.</w:t>
      </w:r>
    </w:p>
    <w:p>
      <w:pPr>
        <w:spacing w:after="40"/>
        <w:ind w:left="510" w:hanging="283"/>
      </w:pPr>
      <w:r>
        <w:t xml:space="preserve">•  </w:t>
      </w:r>
      <w:r>
        <w:rPr>
          <w:b/>
        </w:rPr>
        <w:t>Also verified:</w:t>
      </w:r>
      <w:r>
        <w:t xml:space="preserve"> plan name «</w:t>
      </w:r>
      <w:r>
        <w:rPr>
          <w:rtl/>
          <w:rFonts w:cs="Arial"/>
        </w:rPr>
        <w:t>‫خطة السنة المالية 2026‬</w:t>
      </w:r>
      <w:r>
        <w:t xml:space="preserve"> </w:t>
      </w:r>
      <w:r>
        <w:rPr>
          <w:b/>
        </w:rPr>
        <w:t>(</w:t>
      </w:r>
      <w:r>
        <w:rPr>
          <w:b/>
          <w:rtl/>
          <w:rFonts w:cs="Arial"/>
          <w:bCs/>
        </w:rPr>
        <w:t>‫مسودة)‬</w:t>
      </w:r>
      <w:r>
        <w:t xml:space="preserve">» while approved; </w:t>
      </w:r>
      <w:r>
        <w:rPr>
          <w:rFonts w:ascii="Consolas" w:hAnsi="Consolas" w:cs="Consolas"/>
          <w:color w:val="B42318"/>
          <w:sz w:val="19"/>
        </w:rPr>
        <w:t>approvedBy</w:t>
      </w:r>
      <w:r>
        <w:t xml:space="preserve"> = </w:t>
      </w:r>
      <w:r>
        <w:rPr>
          <w:rFonts w:ascii="Consolas" w:hAnsi="Consolas" w:cs="Consolas"/>
          <w:color w:val="B42318"/>
          <w:sz w:val="19"/>
        </w:rPr>
        <w:t>createdBy</w:t>
      </w:r>
      <w:r>
        <w:t xml:space="preserve"> = «</w:t>
      </w:r>
      <w:r>
        <w:rPr>
          <w:b/>
        </w:rPr>
        <w:t>李芳军</w:t>
      </w:r>
      <w:r>
        <w:t xml:space="preserve">» (Chinese display name taken from </w:t>
      </w:r>
      <w:r>
        <w:rPr>
          <w:rFonts w:ascii="Consolas" w:hAnsi="Consolas" w:cs="Consolas"/>
          <w:color w:val="B42318"/>
          <w:sz w:val="19"/>
        </w:rPr>
        <w:t>user.name</w:t>
      </w:r>
      <w:r>
        <w:t xml:space="preserve">; the Arabic name </w:t>
      </w:r>
      <w:r>
        <w:rPr>
          <w:rtl/>
          <w:rFonts w:cs="Arial"/>
        </w:rPr>
        <w:t>‫«طارق»‬</w:t>
      </w:r>
      <w:r>
        <w:t xml:space="preserve"> exists in </w:t>
      </w:r>
      <w:r>
        <w:rPr>
          <w:rFonts w:ascii="Consolas" w:hAnsi="Consolas" w:cs="Consolas"/>
          <w:color w:val="B42318"/>
          <w:sz w:val="19"/>
        </w:rPr>
        <w:t>user.nameAr</w:t>
      </w:r>
      <w:r>
        <w:t xml:space="preserve">); </w:t>
      </w:r>
      <w:r>
        <w:rPr>
          <w:rFonts w:ascii="Consolas" w:hAnsi="Consolas" w:cs="Consolas"/>
          <w:color w:val="B42318"/>
          <w:sz w:val="19"/>
        </w:rPr>
        <w:t>approvePlan</w:t>
      </w:r>
      <w:r>
        <w:t xml:space="preserve"> allows self-approval.</w:t>
      </w:r>
    </w:p>
    <w:p>
      <w:pPr>
        <w:spacing w:after="40"/>
        <w:ind w:left="510" w:hanging="283"/>
      </w:pPr>
      <w:r>
        <w:t xml:space="preserve">•  </w:t>
      </w:r>
      <w:r>
        <w:rPr>
          <w:b/>
        </w:rPr>
        <w:t>Evidence:</w:t>
      </w:r>
      <w:r>
        <w:t xml:space="preserve"> </w:t>
      </w:r>
      <w:r>
        <w:rPr>
          <w:rFonts w:ascii="Consolas" w:hAnsi="Consolas" w:cs="Consolas"/>
          <w:color w:val="B42318"/>
          <w:sz w:val="19"/>
        </w:rPr>
        <w:t>PlanningArea.jsx:56</w:t>
      </w:r>
      <w:r>
        <w:t xml:space="preserve"> (</w:t>
      </w:r>
      <w:r>
        <w:rPr>
          <w:rFonts w:ascii="Consolas" w:hAnsi="Consolas" w:cs="Consolas"/>
          <w:color w:val="B42318"/>
          <w:sz w:val="19"/>
        </w:rPr>
        <w:t>setScenario</w:t>
      </w:r>
      <w:r>
        <w:t xml:space="preserve"> writes </w:t>
      </w:r>
      <w:r>
        <w:rPr>
          <w:rFonts w:ascii="Consolas" w:hAnsi="Consolas" w:cs="Consolas"/>
          <w:color w:val="B42318"/>
          <w:sz w:val="19"/>
        </w:rPr>
        <w:t>{...p, scenario}</w:t>
      </w:r>
      <w:r>
        <w:t xml:space="preserve"> directly), </w:t>
      </w:r>
      <w:r>
        <w:rPr>
          <w:rFonts w:ascii="Consolas" w:hAnsi="Consolas" w:cs="Consolas"/>
          <w:color w:val="B42318"/>
          <w:sz w:val="19"/>
        </w:rPr>
        <w:t>PlanBar.jsx:19-20,24</w:t>
      </w:r>
      <w:r>
        <w:t xml:space="preserve"> (name/owner/assumptions written without </w:t>
      </w:r>
      <w:r>
        <w:rPr>
          <w:rFonts w:ascii="Consolas" w:hAnsi="Consolas" w:cs="Consolas"/>
          <w:color w:val="B42318"/>
          <w:sz w:val="19"/>
        </w:rPr>
        <w:t>patchPlan</w:t>
      </w:r>
      <w:r>
        <w:t xml:space="preserve">, no history), </w:t>
      </w:r>
      <w:r>
        <w:rPr>
          <w:rFonts w:ascii="Consolas" w:hAnsi="Consolas" w:cs="Consolas"/>
          <w:color w:val="B42318"/>
          <w:sz w:val="19"/>
        </w:rPr>
        <w:t>planStore.js:31-38</w:t>
      </w:r>
      <w:r>
        <w:t xml:space="preserve">, </w:t>
      </w:r>
      <w:r>
        <w:rPr>
          <w:rFonts w:ascii="Consolas" w:hAnsi="Consolas" w:cs="Consolas"/>
          <w:color w:val="B42318"/>
          <w:sz w:val="19"/>
        </w:rPr>
        <w:t>PlanBar.jsx:34</w:t>
      </w:r>
      <w:r>
        <w:t xml:space="preserve"> (restore-as-draft changes content but keeps </w:t>
      </w:r>
      <w:r>
        <w:rPr>
          <w:rFonts w:ascii="Consolas" w:hAnsi="Consolas" w:cs="Consolas"/>
          <w:color w:val="B42318"/>
          <w:sz w:val="19"/>
        </w:rPr>
        <w:t>version</w:t>
      </w:r>
      <w:r>
        <w:t>).</w:t>
      </w:r>
    </w:p>
    <w:p>
      <w:pPr>
        <w:spacing w:after="40"/>
        <w:ind w:left="510" w:hanging="283"/>
      </w:pPr>
      <w:r>
        <w:t xml:space="preserve">•  </w:t>
      </w:r>
      <w:r>
        <w:rPr>
          <w:b/>
        </w:rPr>
        <w:t>Impact:</w:t>
      </w:r>
      <w:r>
        <w:t xml:space="preserve"> "approved v1" no longer equals what was approved; audit trail shows a name in the wrong language/script.</w:t>
      </w:r>
    </w:p>
    <w:p>
      <w:pPr>
        <w:spacing w:after="40"/>
        <w:ind w:left="510" w:hanging="283"/>
      </w:pPr>
      <w:r>
        <w:t xml:space="preserve">•  </w:t>
      </w:r>
      <w:r>
        <w:rPr>
          <w:b/>
        </w:rPr>
        <w:t>Correction:</w:t>
      </w:r>
      <w:r>
        <w:t xml:space="preserve"> edits to an approved plan create a draft revision automatically (or are blocked); every field edit goes through </w:t>
      </w:r>
      <w:r>
        <w:rPr>
          <w:rFonts w:ascii="Consolas" w:hAnsi="Consolas" w:cs="Consolas"/>
          <w:color w:val="B42318"/>
          <w:sz w:val="19"/>
        </w:rPr>
        <w:t>patchPlan</w:t>
      </w:r>
      <w:r>
        <w:t>; show "unsaved changes" state; use a display-name resolver by language; remove "(</w:t>
      </w:r>
      <w:r>
        <w:rPr>
          <w:rtl/>
          <w:rFonts w:cs="Arial"/>
        </w:rPr>
        <w:t>‫مسودة)‬</w:t>
      </w:r>
      <w:r>
        <w:t>" from generated names or derive it from status.</w:t>
      </w:r>
    </w:p>
    <w:p>
      <w:pPr>
        <w:pStyle w:val="Heading4"/>
      </w:pPr>
      <w:r>
        <w:t>F-08 · "Approved" means two different things for exclusions</w:t>
      </w:r>
    </w:p>
    <w:p>
      <w:pPr>
        <w:spacing w:after="40"/>
        <w:ind w:left="510" w:hanging="283"/>
      </w:pPr>
      <w:r>
        <w:t xml:space="preserve">•  </w:t>
      </w:r>
      <w:r>
        <w:rPr>
          <w:b/>
        </w:rPr>
        <w:t>Verified (UI + data):</w:t>
      </w:r>
      <w:r>
        <w:t xml:space="preserve"> Exclusions callout: </w:t>
      </w:r>
      <w:r>
        <w:rPr>
          <w:i/>
        </w:rPr>
        <w:t>approved rules 2.41 M, unapproved rules 811.02 M</w:t>
      </w:r>
      <w:r>
        <w:t xml:space="preserve"> (of 1.36 bn total; the rest is cancellations). Yet the relations bar labels the whole non-cancelled part «</w:t>
      </w:r>
      <w:r>
        <w:rPr>
          <w:b/>
          <w:rtl/>
          <w:rFonts w:cs="Arial"/>
          <w:bCs/>
        </w:rPr>
        <w:t>‫قواعد معتمدة‬</w:t>
      </w:r>
      <w:r>
        <w:t>» (</w:t>
      </w:r>
      <w:r>
        <w:rPr>
          <w:rFonts w:ascii="Consolas" w:hAnsi="Consolas" w:cs="Consolas"/>
          <w:color w:val="B42318"/>
          <w:sz w:val="19"/>
        </w:rPr>
        <w:t>FinancialRelations.jsx:19</w:t>
      </w:r>
      <w:r>
        <w:t xml:space="preserve">), the Dashboard status table says </w:t>
      </w:r>
      <w:r>
        <w:rPr>
          <w:rtl/>
          <w:rFonts w:cs="Arial"/>
        </w:rPr>
        <w:t>‫«مستبعدة وفق قاعدة معتمدة»‬</w:t>
      </w:r>
      <w:r>
        <w:t xml:space="preserve"> for those 16 invoices, and the report assumption says </w:t>
      </w:r>
      <w:r>
        <w:rPr>
          <w:rtl/>
          <w:rFonts w:cs="Arial"/>
        </w:rPr>
        <w:t>‫«فقط الاستبعادات المعتمدة… تخفض صافي المفوتر»‬</w:t>
      </w:r>
      <w:r>
        <w:t>.</w:t>
      </w:r>
    </w:p>
    <w:p>
      <w:pPr>
        <w:spacing w:after="40"/>
        <w:ind w:left="510" w:hanging="283"/>
      </w:pPr>
      <w:r>
        <w:t xml:space="preserve">•  </w:t>
      </w:r>
      <w:r>
        <w:rPr>
          <w:b/>
        </w:rPr>
        <w:t>Evidence:</w:t>
      </w:r>
      <w:r>
        <w:t xml:space="preserve"> </w:t>
      </w:r>
      <w:r>
        <w:rPr>
          <w:rFonts w:ascii="Consolas" w:hAnsi="Consolas" w:cs="Consolas"/>
          <w:color w:val="B42318"/>
          <w:sz w:val="19"/>
        </w:rPr>
        <w:t>src/data/revenueMetrics.js:60-88</w:t>
      </w:r>
      <w:r>
        <w:t xml:space="preserve"> (rule definitions: </w:t>
      </w:r>
      <w:r>
        <w:rPr>
          <w:rFonts w:ascii="Consolas" w:hAnsi="Consolas" w:cs="Consolas"/>
          <w:color w:val="B42318"/>
          <w:sz w:val="19"/>
        </w:rPr>
        <w:t>approval: 'approved' | 'unapproved'</w:t>
      </w:r>
      <w:r>
        <w:t xml:space="preserve">) vs </w:t>
      </w:r>
      <w:r>
        <w:rPr>
          <w:rFonts w:ascii="Consolas" w:hAnsi="Consolas" w:cs="Consolas"/>
          <w:color w:val="B42318"/>
          <w:sz w:val="19"/>
        </w:rPr>
        <w:t>:149</w:t>
      </w:r>
      <w:r>
        <w:t xml:space="preserve"> (an exclusion counts only when the </w:t>
      </w:r>
      <w:r>
        <w:rPr>
          <w:i/>
        </w:rPr>
        <w:t>review</w:t>
      </w:r>
      <w:r>
        <w:t xml:space="preserve"> is approved) — two approval concepts under one word. ≈ 99.7 % of the rule-based exclusion amount rests on rule definitions marked unapproved.</w:t>
      </w:r>
    </w:p>
    <w:p>
      <w:pPr>
        <w:spacing w:after="40"/>
        <w:ind w:left="510" w:hanging="283"/>
      </w:pPr>
      <w:r>
        <w:t xml:space="preserve">•  </w:t>
      </w:r>
      <w:r>
        <w:rPr>
          <w:b/>
        </w:rPr>
        <w:t>Impact:</w:t>
      </w:r>
      <w:r>
        <w:t xml:space="preserve"> the headline net billed and collection rate depend mostly on unapproved exclusion rules but the main screens say "approved".</w:t>
      </w:r>
    </w:p>
    <w:p>
      <w:pPr>
        <w:spacing w:after="40"/>
        <w:ind w:left="510" w:hanging="283"/>
      </w:pPr>
      <w:r>
        <w:t xml:space="preserve">•  </w:t>
      </w:r>
      <w:r>
        <w:rPr>
          <w:b/>
        </w:rPr>
        <w:t>Correction:</w:t>
      </w:r>
      <w:r>
        <w:t xml:space="preserve"> two distinct terms ("review decision approved" vs "rule definition approved"); the Dashboard exclusions tile should carry the unapproved share; see Q5.</w:t>
      </w:r>
    </w:p>
    <w:p>
      <w:pPr>
        <w:pStyle w:val="Heading4"/>
      </w:pPr>
      <w:r>
        <w:t>F-09 · Proposals appear in the wrong language (regression)</w:t>
      </w:r>
    </w:p>
    <w:p>
      <w:pPr>
        <w:spacing w:after="40"/>
        <w:ind w:left="510" w:hanging="283"/>
      </w:pPr>
      <w:r>
        <w:t xml:space="preserve">•  </w:t>
      </w:r>
      <w:r>
        <w:rPr>
          <w:b/>
        </w:rPr>
        <w:t>Verified (UI):</w:t>
      </w:r>
      <w:r>
        <w:t xml:space="preserve"> in the Arabic UI the Planning proposals read «Rate 26.4% vs a demo target of 60%…», </w:t>
      </w:r>
      <w:r>
        <w:rPr>
          <w:rtl/>
          <w:rFonts w:cs="Arial"/>
        </w:rPr>
        <w:t>‫«الإجراء المقترح: Follow up this cell…»‬</w:t>
      </w:r>
      <w:r>
        <w:t>, «Amount concerned», «Max days overdue», «The Amanah revenue unit concerned (proposed)», «Within 30 days (proposed)».</w:t>
      </w:r>
    </w:p>
    <w:p>
      <w:pPr>
        <w:spacing w:after="40"/>
        <w:ind w:left="510" w:hanging="283"/>
      </w:pPr>
      <w:r>
        <w:t xml:space="preserve">•  </w:t>
      </w:r>
      <w:r>
        <w:rPr>
          <w:b/>
        </w:rPr>
        <w:t>Root cause (confirmed):</w:t>
      </w:r>
      <w:r>
        <w:t xml:space="preserve"> </w:t>
      </w:r>
      <w:r>
        <w:rPr>
          <w:rFonts w:ascii="Consolas" w:hAnsi="Consolas" w:cs="Consolas"/>
          <w:color w:val="B42318"/>
          <w:sz w:val="19"/>
        </w:rPr>
        <w:t>src/data/proposals.js:3</w:t>
      </w:r>
      <w:r>
        <w:t xml:space="preserve"> imports </w:t>
      </w:r>
      <w:r>
        <w:rPr>
          <w:rFonts w:ascii="Consolas" w:hAnsi="Consolas" w:cs="Consolas"/>
          <w:color w:val="B42318"/>
          <w:sz w:val="19"/>
        </w:rPr>
        <w:t>bi</w:t>
      </w:r>
      <w:r>
        <w:t xml:space="preserve"> from </w:t>
      </w:r>
      <w:r>
        <w:rPr>
          <w:rFonts w:ascii="Consolas" w:hAnsi="Consolas" w:cs="Consolas"/>
          <w:color w:val="B42318"/>
          <w:sz w:val="19"/>
        </w:rPr>
        <w:t>revenueInsights.js</w:t>
      </w:r>
      <w:r>
        <w:t xml:space="preserve"> where the signature is </w:t>
      </w:r>
      <w:r>
        <w:rPr>
          <w:rFonts w:ascii="Consolas" w:hAnsi="Consolas" w:cs="Consolas"/>
          <w:color w:val="B42318"/>
          <w:sz w:val="19"/>
        </w:rPr>
        <w:t>bi(en, ar)</w:t>
      </w:r>
      <w:r>
        <w:t xml:space="preserve"> (</w:t>
      </w:r>
      <w:r>
        <w:rPr>
          <w:rFonts w:ascii="Consolas" w:hAnsi="Consolas" w:cs="Consolas"/>
          <w:color w:val="B42318"/>
          <w:sz w:val="19"/>
        </w:rPr>
        <w:t>revenueInsights.js:20</w:t>
      </w:r>
      <w:r>
        <w:t xml:space="preserve">), but </w:t>
      </w:r>
      <w:r>
        <w:rPr>
          <w:rFonts w:ascii="Consolas" w:hAnsi="Consolas" w:cs="Consolas"/>
          <w:color w:val="B42318"/>
          <w:sz w:val="19"/>
        </w:rPr>
        <w:t>proposals.js:14-16,24-29</w:t>
      </w:r>
      <w:r>
        <w:t xml:space="preserve"> calls it Arabic-first. Every bilingual field in proposals is swapped (English users would get Arabic).</w:t>
      </w:r>
    </w:p>
    <w:p>
      <w:pPr>
        <w:spacing w:after="40"/>
        <w:ind w:left="510" w:hanging="283"/>
      </w:pPr>
      <w:r>
        <w:t xml:space="preserve">•  </w:t>
      </w:r>
      <w:r>
        <w:rPr>
          <w:b/>
        </w:rPr>
        <w:t>Correction:</w:t>
      </w:r>
      <w:r>
        <w:t xml:space="preserve"> use the Arabic-first helper (</w:t>
      </w:r>
      <w:r>
        <w:rPr>
          <w:rFonts w:ascii="Consolas" w:hAnsi="Consolas" w:cs="Consolas"/>
          <w:color w:val="B42318"/>
          <w:sz w:val="19"/>
        </w:rPr>
        <w:t>insightsEngine.bi</w:t>
      </w:r>
      <w:r>
        <w:t xml:space="preserve">) in </w:t>
      </w:r>
      <w:r>
        <w:rPr>
          <w:rFonts w:ascii="Consolas" w:hAnsi="Consolas" w:cs="Consolas"/>
          <w:color w:val="B42318"/>
          <w:sz w:val="19"/>
        </w:rPr>
        <w:t>proposals.js</w:t>
      </w:r>
      <w:r>
        <w:t>; one bilingual helper project-wide; a test that every user-visible string has the expected script per language.</w:t>
      </w:r>
    </w:p>
    <w:p>
      <w:pPr>
        <w:pStyle w:val="Heading4"/>
      </w:pPr>
      <w:r>
        <w:t>F-10 · Exports differ from the screen</w:t>
      </w:r>
    </w:p>
    <w:p>
      <w:pPr>
        <w:spacing w:after="40"/>
        <w:ind w:left="510" w:hanging="283"/>
      </w:pPr>
      <w:r>
        <w:t xml:space="preserve">•  </w:t>
      </w:r>
      <w:r>
        <w:rPr>
          <w:b/>
        </w:rPr>
        <w:t>Verified (UI + parsed files):</w:t>
      </w:r>
    </w:p>
    <w:p>
      <w:pPr>
        <w:spacing w:after="40"/>
        <w:ind w:left="850" w:hanging="283"/>
      </w:pPr>
      <w:r>
        <w:t xml:space="preserve">•  </w:t>
      </w:r>
      <w:r>
        <w:rPr>
          <w:b/>
        </w:rPr>
        <w:t>PowerPoint</w:t>
      </w:r>
      <w:r>
        <w:t>: tables are cut to 11 rows and the total row is dropped without notice. The Amanah table (19 Amanahs + total on screen) has 11 body rows and no total in the .pptx (</w:t>
      </w:r>
      <w:r>
        <w:rPr>
          <w:rFonts w:ascii="Consolas" w:hAnsi="Consolas" w:cs="Consolas"/>
          <w:color w:val="B42318"/>
          <w:sz w:val="19"/>
        </w:rPr>
        <w:t>src/utils/exportReportModel.js:110</w:t>
      </w:r>
      <w:r>
        <w:t xml:space="preserve"> </w:t>
      </w:r>
      <w:r>
        <w:rPr>
          <w:rFonts w:ascii="Consolas" w:hAnsi="Consolas" w:cs="Consolas"/>
          <w:color w:val="B42318"/>
          <w:sz w:val="19"/>
        </w:rPr>
        <w:t>rows.slice(0, 11)</w:t>
      </w:r>
      <w:r>
        <w:t>); the municipality table (&gt; 50 rows) likewise.</w:t>
      </w:r>
    </w:p>
    <w:p>
      <w:pPr>
        <w:spacing w:after="40"/>
        <w:ind w:left="850" w:hanging="283"/>
      </w:pPr>
      <w:r>
        <w:t xml:space="preserve">•  </w:t>
      </w:r>
      <w:r>
        <w:rPr>
          <w:b/>
        </w:rPr>
        <w:t>Excel</w:t>
      </w:r>
      <w:r>
        <w:t xml:space="preserve">: callouts, notes, the relations block and the narrative text are not exported (only tables, charts, insights, lists — </w:t>
      </w:r>
      <w:r>
        <w:rPr>
          <w:rFonts w:ascii="Consolas" w:hAnsi="Consolas" w:cs="Consolas"/>
          <w:color w:val="B42318"/>
          <w:sz w:val="19"/>
        </w:rPr>
        <w:t>exportReportModel.js:72</w:t>
      </w:r>
      <w:r>
        <w:t>); percentage columns are plain numbers (51.6) with no "%" in header or number format while money columns state their unit; sheet names are cut at 28 characters and mid-word (</w:t>
      </w:r>
      <w:r>
        <w:rPr>
          <w:rtl/>
          <w:rFonts w:cs="Arial"/>
        </w:rPr>
        <w:t>‫«صافي المفوتر والمحصّل حسب ال»‬</w:t>
      </w:r>
      <w:r>
        <w:t>).</w:t>
      </w:r>
    </w:p>
    <w:p>
      <w:pPr>
        <w:spacing w:after="40"/>
        <w:ind w:left="850" w:hanging="283"/>
      </w:pPr>
      <w:r>
        <w:t xml:space="preserve">•  </w:t>
      </w:r>
      <w:r>
        <w:rPr>
          <w:b/>
        </w:rPr>
        <w:t>Word/PowerPoint (Planning summary)</w:t>
      </w:r>
      <w:r>
        <w:t xml:space="preserve">: the </w:t>
      </w:r>
      <w:r>
        <w:rPr>
          <w:i/>
        </w:rPr>
        <w:t>targets</w:t>
      </w:r>
      <w:r>
        <w:t xml:space="preserve"> section always appends </w:t>
      </w:r>
      <w:r>
        <w:rPr>
          <w:rtl/>
          <w:rFonts w:cs="Arial"/>
        </w:rPr>
        <w:t>‫«تغطية النفقات التشغيلية: البيانات غير متاحة»‬</w:t>
      </w:r>
      <w:r>
        <w:t xml:space="preserve"> (</w:t>
      </w:r>
      <w:r>
        <w:rPr>
          <w:rFonts w:ascii="Consolas" w:hAnsi="Consolas" w:cs="Consolas"/>
          <w:color w:val="B42318"/>
          <w:sz w:val="19"/>
        </w:rPr>
        <w:t>src/data/commandModel.js:35</w:t>
      </w:r>
      <w:r>
        <w:t xml:space="preserve">) although the same file contains the computed coverage table (the Excel has the sheet </w:t>
      </w:r>
      <w:r>
        <w:rPr>
          <w:rtl/>
          <w:rFonts w:cs="Arial"/>
        </w:rPr>
        <w:t>‫«تغطية الإنفاق التشغيلي…»‬</w:t>
      </w:r>
      <w:r>
        <w:t>). Word was not opened visually (Not tested).</w:t>
      </w:r>
    </w:p>
    <w:p>
      <w:pPr>
        <w:spacing w:after="40"/>
        <w:ind w:left="850" w:hanging="283"/>
      </w:pPr>
      <w:r>
        <w:t xml:space="preserve">•  </w:t>
      </w:r>
      <w:r>
        <w:rPr>
          <w:b/>
        </w:rPr>
        <w:t>Excel summary vs screen</w:t>
      </w:r>
      <w:r>
        <w:t xml:space="preserve"> disagree on collection rate because of F-02.</w:t>
      </w:r>
    </w:p>
    <w:p>
      <w:pPr>
        <w:spacing w:after="40"/>
        <w:ind w:left="510" w:hanging="283"/>
      </w:pPr>
      <w:r>
        <w:t xml:space="preserve">•  </w:t>
      </w:r>
      <w:r>
        <w:rPr>
          <w:b/>
        </w:rPr>
        <w:t>Correction:</w:t>
      </w:r>
      <w:r>
        <w:t xml:space="preserve"> paginate tables across slides with a "page n of m" note and always keep the total row; export callouts as a "Notes" sheet; add </w:t>
      </w:r>
      <w:r>
        <w:rPr>
          <w:rFonts w:ascii="Consolas" w:hAnsi="Consolas" w:cs="Consolas"/>
          <w:color w:val="B42318"/>
          <w:sz w:val="19"/>
        </w:rPr>
        <w:t>%</w:t>
      </w:r>
      <w:r>
        <w:t xml:space="preserve"> to header or number format; unit-test export parity: every on-screen number/label has a counterpart in each format.</w:t>
      </w:r>
    </w:p>
    <w:p>
      <w:pPr>
        <w:pStyle w:val="Heading4"/>
      </w:pPr>
      <w:r>
        <w:t>F-11 · A Smart report with no invoices shows zeros and can be exported</w:t>
      </w:r>
    </w:p>
    <w:p>
      <w:pPr>
        <w:spacing w:after="40"/>
        <w:ind w:left="510" w:hanging="283"/>
      </w:pPr>
      <w:r>
        <w:t xml:space="preserve">•  </w:t>
      </w:r>
      <w:r>
        <w:rPr>
          <w:b/>
        </w:rPr>
        <w:t>Verified (UI):</w:t>
      </w:r>
      <w:r>
        <w:t xml:space="preserve"> </w:t>
      </w:r>
      <w:r>
        <w:rPr>
          <w:rtl/>
          <w:rFonts w:cs="Arial"/>
        </w:rPr>
        <w:t>‫«أنشئ تقرير الإيرادات لهذا الشهر لمصدر مبيعات الإسكان»‬</w:t>
      </w:r>
      <w:r>
        <w:t xml:space="preserve"> → gross/net/collected/uncollected "</w:t>
      </w:r>
      <w:r>
        <w:rPr>
          <w:b/>
        </w:rPr>
        <w:t>0 SAR</w:t>
      </w:r>
      <w:r>
        <w:t xml:space="preserve">", "0 </w:t>
      </w:r>
      <w:r>
        <w:rPr>
          <w:rtl/>
          <w:rFonts w:cs="Arial"/>
        </w:rPr>
        <w:t>‫فاتورة‬</w:t>
      </w:r>
      <w:r>
        <w:t>", export buttons enabled; the same selection on the Dashboard/Fixed reports shows an explicit empty state and disables export.</w:t>
      </w:r>
    </w:p>
    <w:p>
      <w:pPr>
        <w:spacing w:after="40"/>
        <w:ind w:left="510" w:hanging="283"/>
      </w:pPr>
      <w:r>
        <w:t xml:space="preserve">•  </w:t>
      </w:r>
      <w:r>
        <w:rPr>
          <w:b/>
        </w:rPr>
        <w:t>Correction:</w:t>
      </w:r>
      <w:r>
        <w:t xml:space="preserve"> one shared empty-state rule in </w:t>
      </w:r>
      <w:r>
        <w:rPr>
          <w:rFonts w:ascii="Consolas" w:hAnsi="Consolas" w:cs="Consolas"/>
          <w:color w:val="B42318"/>
          <w:sz w:val="19"/>
        </w:rPr>
        <w:t>buildReportModel</w:t>
      </w:r>
      <w:r>
        <w:t>/</w:t>
      </w:r>
      <w:r>
        <w:rPr>
          <w:rFonts w:ascii="Consolas" w:hAnsi="Consolas" w:cs="Consolas"/>
          <w:color w:val="B42318"/>
          <w:sz w:val="19"/>
        </w:rPr>
        <w:t>ReportView</w:t>
      </w:r>
      <w:r>
        <w:t xml:space="preserve">. Also: the assistant message prints the raw key </w:t>
      </w:r>
      <w:r>
        <w:rPr>
          <w:rtl/>
          <w:rFonts w:cs="Arial"/>
        </w:rPr>
        <w:t>‫«المصدر: housing_sales»‬</w:t>
      </w:r>
      <w:r>
        <w:t xml:space="preserve"> (</w:t>
      </w:r>
      <w:r>
        <w:rPr>
          <w:rFonts w:ascii="Consolas" w:hAnsi="Consolas" w:cs="Consolas"/>
          <w:color w:val="B42318"/>
          <w:sz w:val="19"/>
        </w:rPr>
        <w:t>describeChange</w:t>
      </w:r>
      <w:r>
        <w:t xml:space="preserve"> prints </w:t>
      </w:r>
      <w:r>
        <w:rPr>
          <w:rFonts w:ascii="Consolas" w:hAnsi="Consolas" w:cs="Consolas"/>
          <w:color w:val="B42318"/>
          <w:sz w:val="19"/>
        </w:rPr>
        <w:t>c.value</w:t>
      </w:r>
      <w:r>
        <w:t>).</w:t>
      </w:r>
    </w:p>
    <w:p>
      <w:pPr>
        <w:pStyle w:val="Heading4"/>
      </w:pPr>
      <w:r>
        <w:t>F-12 · Stale figures under new filters; failures are silent</w:t>
      </w:r>
    </w:p>
    <w:p>
      <w:pPr>
        <w:spacing w:after="40"/>
        <w:ind w:left="510" w:hanging="283"/>
      </w:pPr>
      <w:r>
        <w:t xml:space="preserve">•  </w:t>
      </w:r>
      <w:r>
        <w:rPr>
          <w:b/>
        </w:rPr>
        <w:t>Verified (UI sampling):</w:t>
      </w:r>
      <w:r>
        <w:t xml:space="preserve"> after clicking </w:t>
      </w:r>
      <w:r>
        <w:rPr>
          <w:rtl/>
          <w:rFonts w:cs="Arial"/>
        </w:rPr>
        <w:t>‫«الشهر الماضي»‬</w:t>
      </w:r>
      <w:r>
        <w:t xml:space="preserve"> the chip showed the new period immediately while the KPI still showed the previous value ("332.31 M") for ~60 ms more; no loading state exists on the Dashboard or Fixed reports (</w:t>
      </w:r>
      <w:r>
        <w:rPr>
          <w:rFonts w:ascii="Consolas" w:hAnsi="Consolas" w:cs="Consolas"/>
          <w:color w:val="B42318"/>
          <w:sz w:val="19"/>
        </w:rPr>
        <w:t>rev.loading</w:t>
      </w:r>
      <w:r>
        <w:t xml:space="preserve"> is read only by Planning, </w:t>
      </w:r>
      <w:r>
        <w:rPr>
          <w:rFonts w:ascii="Consolas" w:hAnsi="Consolas" w:cs="Consolas"/>
          <w:color w:val="B42318"/>
          <w:sz w:val="19"/>
        </w:rPr>
        <w:t>PlanningArea.jsx:149</w:t>
      </w:r>
      <w:r>
        <w:t>). With the full demo (~1.65 M invoices) the window is seconds.</w:t>
      </w:r>
    </w:p>
    <w:p>
      <w:pPr>
        <w:spacing w:after="40"/>
        <w:ind w:left="510" w:hanging="283"/>
      </w:pPr>
      <w:r>
        <w:t xml:space="preserve">•  </w:t>
      </w:r>
      <w:r>
        <w:rPr>
          <w:b/>
        </w:rPr>
        <w:t>Verified (code):</w:t>
      </w:r>
      <w:r>
        <w:t xml:space="preserve"> if the snapshot request fails after the first load, </w:t>
      </w:r>
      <w:r>
        <w:rPr>
          <w:rFonts w:ascii="Consolas" w:hAnsi="Consolas" w:cs="Consolas"/>
          <w:color w:val="B42318"/>
          <w:sz w:val="19"/>
        </w:rPr>
        <w:t>loadError</w:t>
      </w:r>
      <w:r>
        <w:t xml:space="preserve"> is stored but nothing displays it (</w:t>
      </w:r>
      <w:r>
        <w:rPr>
          <w:rFonts w:ascii="Consolas" w:hAnsi="Consolas" w:cs="Consolas"/>
          <w:color w:val="B42318"/>
          <w:sz w:val="19"/>
        </w:rPr>
        <w:t>RevenueContext.jsx:123,307</w:t>
      </w:r>
      <w:r>
        <w:t>): old figures remain under the new chips.</w:t>
      </w:r>
    </w:p>
    <w:p>
      <w:pPr>
        <w:spacing w:after="40"/>
        <w:ind w:left="510" w:hanging="283"/>
      </w:pPr>
      <w:r>
        <w:t xml:space="preserve">•  </w:t>
      </w:r>
      <w:r>
        <w:rPr>
          <w:b/>
        </w:rPr>
        <w:t>Correction:</w:t>
      </w:r>
      <w:r>
        <w:t xml:space="preserve"> expose </w:t>
      </w:r>
      <w:r>
        <w:rPr>
          <w:rFonts w:ascii="Consolas" w:hAnsi="Consolas" w:cs="Consolas"/>
          <w:color w:val="B42318"/>
          <w:sz w:val="19"/>
        </w:rPr>
        <w:t>loading/error</w:t>
      </w:r>
      <w:r>
        <w:t xml:space="preserve"> through context and show a header status + dimmed figures + retry on every view.</w:t>
      </w:r>
    </w:p>
    <w:p>
      <w:pPr>
        <w:pStyle w:val="Heading4"/>
      </w:pPr>
      <w:r>
        <w:t>F-13 · Drill-down to the invoice ledger applies a hidden filter</w:t>
      </w:r>
    </w:p>
    <w:p>
      <w:pPr>
        <w:spacing w:after="40"/>
        <w:ind w:left="510" w:hanging="283"/>
      </w:pPr>
      <w:r>
        <w:t xml:space="preserve">•  </w:t>
      </w:r>
      <w:r>
        <w:rPr>
          <w:b/>
        </w:rPr>
        <w:t>Verified (UI):</w:t>
      </w:r>
      <w:r>
        <w:t xml:space="preserve"> Dashboard → </w:t>
      </w:r>
      <w:r>
        <w:rPr>
          <w:rtl/>
          <w:rFonts w:cs="Arial"/>
        </w:rPr>
        <w:t>‫«الاستثمار/الغرامات»‬</w:t>
      </w:r>
      <w:r>
        <w:t xml:space="preserve"> source link → </w:t>
      </w:r>
      <w:r>
        <w:rPr>
          <w:rFonts w:ascii="Consolas" w:hAnsi="Consolas" w:cs="Consolas"/>
          <w:color w:val="B42318"/>
          <w:sz w:val="19"/>
        </w:rPr>
        <w:t>/invoices?src=fines</w:t>
      </w:r>
      <w:r>
        <w:t xml:space="preserve">: the source selector reads </w:t>
      </w:r>
      <w:r>
        <w:rPr>
          <w:rtl/>
          <w:rFonts w:cs="Arial"/>
        </w:rPr>
        <w:t>‫«جميع مصادر الإيراد»‬</w:t>
      </w:r>
      <w:r>
        <w:t xml:space="preserve">, the KPI strip shows the national totals (386 invoices, 14.92 bn), but the list contains only fines. </w:t>
      </w:r>
      <w:r>
        <w:rPr>
          <w:rFonts w:ascii="Consolas" w:hAnsi="Consolas" w:cs="Consolas"/>
          <w:color w:val="B42318"/>
          <w:sz w:val="19"/>
        </w:rPr>
        <w:t>Invoices.jsx:79</w:t>
      </w:r>
      <w:r>
        <w:t xml:space="preserve"> </w:t>
      </w:r>
      <w:r>
        <w:rPr>
          <w:rFonts w:ascii="Consolas" w:hAnsi="Consolas" w:cs="Consolas"/>
          <w:color w:val="B42318"/>
          <w:sz w:val="19"/>
        </w:rPr>
        <w:t>source: srcParam || sc.source</w:t>
      </w:r>
      <w:r>
        <w:t>.</w:t>
      </w:r>
    </w:p>
    <w:p>
      <w:pPr>
        <w:spacing w:after="40"/>
        <w:ind w:left="510" w:hanging="283"/>
      </w:pPr>
      <w:r>
        <w:t xml:space="preserve">•  </w:t>
      </w:r>
      <w:r>
        <w:rPr>
          <w:b/>
        </w:rPr>
        <w:t>Correction:</w:t>
      </w:r>
      <w:r>
        <w:t xml:space="preserve"> write </w:t>
      </w:r>
      <w:r>
        <w:rPr>
          <w:rFonts w:ascii="Consolas" w:hAnsi="Consolas" w:cs="Consolas"/>
          <w:color w:val="B42318"/>
          <w:sz w:val="19"/>
        </w:rPr>
        <w:t>src</w:t>
      </w:r>
      <w:r>
        <w:t xml:space="preserve"> into the shared scope (or show a removable chip), and make the KPI strip use the same scope as the list.</w:t>
      </w:r>
    </w:p>
    <w:p>
      <w:pPr>
        <w:pStyle w:val="Heading4"/>
      </w:pPr>
      <w:r>
        <w:t>F-14 · Planning disappears completely on an empty selection</w:t>
      </w:r>
    </w:p>
    <w:p>
      <w:pPr>
        <w:spacing w:after="40"/>
        <w:ind w:left="510" w:hanging="283"/>
      </w:pPr>
      <w:r>
        <w:t xml:space="preserve">•  </w:t>
      </w:r>
      <w:r>
        <w:rPr>
          <w:b/>
        </w:rPr>
        <w:t>Verified (UI):</w:t>
      </w:r>
      <w:r>
        <w:t xml:space="preserve"> with a selection that has no invoices, Planning shows only the empty message — the plan bar, objectives, register and scenarios are not rendered (all six section ids absent) although they do not depend on the filter. A user cannot reach existing decisions without first widening the filter. </w:t>
      </w:r>
      <w:r>
        <w:rPr>
          <w:rFonts w:ascii="Consolas" w:hAnsi="Consolas" w:cs="Consolas"/>
          <w:color w:val="B42318"/>
          <w:sz w:val="19"/>
        </w:rPr>
        <w:t>PlanningArea.jsx:163</w:t>
      </w:r>
      <w:r>
        <w:t>.</w:t>
      </w:r>
    </w:p>
    <w:p>
      <w:pPr>
        <w:pStyle w:val="Heading4"/>
      </w:pPr>
      <w:r>
        <w:t>F-15 · A proposal, once approved or rejected, disappears for every scope and period</w:t>
      </w:r>
    </w:p>
    <w:p>
      <w:pPr>
        <w:spacing w:after="40"/>
        <w:ind w:left="510" w:hanging="283"/>
      </w:pPr>
      <w:r>
        <w:t xml:space="preserve">•  </w:t>
      </w:r>
      <w:r>
        <w:rPr>
          <w:b/>
        </w:rPr>
        <w:t>Verified (UI + code):</w:t>
      </w:r>
      <w:r>
        <w:t xml:space="preserve"> the approved item </w:t>
      </w:r>
      <w:r>
        <w:rPr>
          <w:rtl/>
          <w:rFonts w:cs="Arial"/>
        </w:rPr>
        <w:t>‫«فواتير متأخرة أو محصّلة جزئياً»‬</w:t>
      </w:r>
      <w:r>
        <w:t xml:space="preserve"> (</w:t>
      </w:r>
      <w:r>
        <w:rPr>
          <w:rFonts w:ascii="Consolas" w:hAnsi="Consolas" w:cs="Consolas"/>
          <w:color w:val="B42318"/>
          <w:sz w:val="19"/>
        </w:rPr>
        <w:t>card:overdue_followup</w:t>
      </w:r>
      <w:r>
        <w:t>) is absent from the 7 pending proposals although overdue/partial is the largest standing risk (82 % of the standing balance &gt; 90 days). Proposal ids contain no scope or period (</w:t>
      </w:r>
      <w:r>
        <w:rPr>
          <w:rFonts w:ascii="Consolas" w:hAnsi="Consolas" w:cs="Consolas"/>
          <w:color w:val="B42318"/>
          <w:sz w:val="19"/>
        </w:rPr>
        <w:t>src/data/proposals.js:13,24</w:t>
      </w:r>
      <w:r>
        <w:t xml:space="preserve">), and </w:t>
      </w:r>
      <w:r>
        <w:rPr>
          <w:rFonts w:ascii="Consolas" w:hAnsi="Consolas" w:cs="Consolas"/>
          <w:color w:val="B42318"/>
          <w:sz w:val="19"/>
        </w:rPr>
        <w:t>pendingProposals</w:t>
      </w:r>
      <w:r>
        <w:t xml:space="preserve"> filters by id (</w:t>
      </w:r>
      <w:r>
        <w:rPr>
          <w:rFonts w:ascii="Consolas" w:hAnsi="Consolas" w:cs="Consolas"/>
          <w:color w:val="B42318"/>
          <w:sz w:val="19"/>
        </w:rPr>
        <w:t>actionRegister.js:52</w:t>
      </w:r>
      <w:r>
        <w:t>).</w:t>
      </w:r>
    </w:p>
    <w:p>
      <w:pPr>
        <w:spacing w:after="40"/>
        <w:ind w:left="510" w:hanging="283"/>
      </w:pPr>
      <w:r>
        <w:t xml:space="preserve">•  </w:t>
      </w:r>
      <w:r>
        <w:rPr>
          <w:b/>
        </w:rPr>
        <w:t>Correction:</w:t>
      </w:r>
      <w:r>
        <w:t xml:space="preserve"> include scope key and period in the id, or expire approvals; show "approved earlier under scope X" instead of hiding.</w:t>
      </w:r>
    </w:p>
    <w:p>
      <w:pPr>
        <w:pStyle w:val="Heading3"/>
      </w:pPr>
      <w:r>
        <w:t>P2 — consistency and UX</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46"/>
        <w:gridCol w:w="8607"/>
        <w:gridCol w:w="5171"/>
      </w:tblGrid>
      <w:tr>
        <w:trPr>
          <w:tblHeader w:val="true"/>
          <w:cantSplit/>
        </w:trPr>
        <w:tc>
          <w:tcPr>
            <w:tcW w:type="dxa" w:w="1246"/>
            <w:shd w:val="clear" w:color="auto" w:fill="1B8354"/>
          </w:tcPr>
          <w:p>
            <w:pPr>
              <w:spacing w:after="0" w:line="252" w:lineRule="auto"/>
            </w:pPr>
            <w:r>
              <w:rPr>
                <w:b/>
                <w:color w:val="FFFFFF"/>
                <w:sz w:val="17"/>
              </w:rPr>
              <w:t>ID</w:t>
            </w:r>
          </w:p>
        </w:tc>
        <w:tc>
          <w:tcPr>
            <w:tcW w:type="dxa" w:w="8607"/>
            <w:shd w:val="clear" w:color="auto" w:fill="1B8354"/>
          </w:tcPr>
          <w:p>
            <w:pPr>
              <w:spacing w:after="0" w:line="252" w:lineRule="auto"/>
            </w:pPr>
            <w:r>
              <w:rPr>
                <w:b/>
                <w:color w:val="FFFFFF"/>
                <w:sz w:val="17"/>
              </w:rPr>
              <w:t>Finding</w:t>
            </w:r>
          </w:p>
        </w:tc>
        <w:tc>
          <w:tcPr>
            <w:tcW w:type="dxa" w:w="5171"/>
            <w:shd w:val="clear" w:color="auto" w:fill="1B8354"/>
          </w:tcPr>
          <w:p>
            <w:pPr>
              <w:spacing w:after="0" w:line="252" w:lineRule="auto"/>
            </w:pPr>
            <w:r>
              <w:rPr>
                <w:b/>
                <w:color w:val="FFFFFF"/>
                <w:sz w:val="17"/>
              </w:rPr>
              <w:t>Evidence / status</w:t>
            </w:r>
          </w:p>
        </w:tc>
      </w:tr>
      <w:tr>
        <w:trPr>
          <w:cantSplit/>
        </w:trPr>
        <w:tc>
          <w:tcPr>
            <w:tcW w:type="dxa" w:w="1246"/>
          </w:tcPr>
          <w:p>
            <w:pPr>
              <w:spacing w:after="0" w:line="252" w:lineRule="auto"/>
            </w:pPr>
            <w:r>
              <w:rPr>
                <w:b/>
                <w:sz w:val="17"/>
              </w:rPr>
              <w:t>F-16</w:t>
            </w:r>
          </w:p>
        </w:tc>
        <w:tc>
          <w:tcPr>
            <w:tcW w:type="dxa" w:w="8607"/>
          </w:tcPr>
          <w:p>
            <w:pPr>
              <w:spacing w:after="0" w:line="252" w:lineRule="auto"/>
            </w:pPr>
            <w:r>
              <w:rPr>
                <w:b/>
                <w:sz w:val="17"/>
              </w:rPr>
              <w:t>Smart-report conversation UX.</w:t>
            </w:r>
            <w:r>
              <w:rPr>
                <w:sz w:val="17"/>
              </w:rPr>
              <w:t xml:space="preserve"> (a) Reopening/arriving jumps the page to the bottom (observed scrollY 3 043 to 12 964 px on a long page) because </w:t>
            </w:r>
            <w:r>
              <w:rPr>
                <w:rFonts w:ascii="Consolas" w:hAnsi="Consolas" w:cs="Consolas"/>
                <w:color w:val="B42318"/>
                <w:sz w:val="16"/>
              </w:rPr>
              <w:t>scrollIntoView</w:t>
            </w:r>
            <w:r>
              <w:rPr>
                <w:sz w:val="17"/>
              </w:rPr>
              <w:t xml:space="preserve"> runs on every message/step (</w:t>
            </w:r>
            <w:r>
              <w:rPr>
                <w:rFonts w:ascii="Consolas" w:hAnsi="Consolas" w:cs="Consolas"/>
                <w:color w:val="B42318"/>
                <w:sz w:val="16"/>
              </w:rPr>
              <w:t>SmartReports.jsx:98</w:t>
            </w:r>
            <w:r>
              <w:rPr>
                <w:sz w:val="17"/>
              </w:rPr>
              <w:t xml:space="preserve">). (b) </w:t>
            </w:r>
            <w:r>
              <w:rPr>
                <w:rFonts w:ascii="Consolas" w:hAnsi="Consolas" w:cs="Consolas"/>
                <w:color w:val="B42318"/>
                <w:sz w:val="16"/>
              </w:rPr>
              <w:t>?q=</w:t>
            </w:r>
            <w:r>
              <w:rPr>
                <w:sz w:val="17"/>
              </w:rPr>
              <w:t xml:space="preserve"> is re-sent on every reload and appended to the most recent conversation (a duplicate user message was created on reload) (</w:t>
            </w:r>
            <w:r>
              <w:rPr>
                <w:rFonts w:ascii="Consolas" w:hAnsi="Consolas" w:cs="Consolas"/>
                <w:color w:val="B42318"/>
                <w:sz w:val="16"/>
              </w:rPr>
              <w:t>:196-201</w:t>
            </w:r>
            <w:r>
              <w:rPr>
                <w:sz w:val="17"/>
              </w:rPr>
              <w:t xml:space="preserve">). (c) A clarification question is followed by </w:t>
            </w:r>
            <w:r>
              <w:rPr>
                <w:sz w:val="17"/>
                <w:rtl/>
                <w:rFonts w:cs="Arial"/>
                <w:szCs w:val="17"/>
              </w:rPr>
              <w:t>‫«أعددتُ التقرير من بيانات النظام»‬</w:t>
            </w:r>
            <w:r>
              <w:rPr>
                <w:sz w:val="17"/>
              </w:rPr>
              <w:t xml:space="preserve"> because the "prepared" bubble is rendered for every non-"unsupported" kind (</w:t>
            </w:r>
            <w:r>
              <w:rPr>
                <w:rFonts w:ascii="Consolas" w:hAnsi="Consolas" w:cs="Consolas"/>
                <w:color w:val="B42318"/>
                <w:sz w:val="16"/>
              </w:rPr>
              <w:t>:271</w:t>
            </w:r>
            <w:r>
              <w:rPr>
                <w:sz w:val="17"/>
              </w:rPr>
              <w:t>). (d) Conversation title = first message (</w:t>
            </w:r>
            <w:r>
              <w:rPr>
                <w:sz w:val="17"/>
                <w:rtl/>
                <w:rFonts w:cs="Arial"/>
                <w:szCs w:val="17"/>
              </w:rPr>
              <w:t>‫«قارن»‬</w:t>
            </w:r>
            <w:r>
              <w:rPr>
                <w:sz w:val="17"/>
              </w:rPr>
              <w:t>). (e) Reopening re-runs the analysis: figures can differ from when the conversation was written and no "generated at / data as of" stamp is kept. (f) The conversation keeps its own scope; the shared filter chips are hidden on this tab (</w:t>
            </w:r>
            <w:r>
              <w:rPr>
                <w:rFonts w:ascii="Consolas" w:hAnsi="Consolas" w:cs="Consolas"/>
                <w:color w:val="B42318"/>
                <w:sz w:val="16"/>
              </w:rPr>
              <w:t>InsightsHub.jsx:39</w:t>
            </w:r>
            <w:r>
              <w:rPr>
                <w:sz w:val="17"/>
              </w:rPr>
              <w:t xml:space="preserve">) with no notice that Smart's scope differs from the Dashboard's. (g) Leaving the tab loses the draft and in-memory reports; interrupting a long generation may leave a message in </w:t>
            </w:r>
            <w:r>
              <w:rPr>
                <w:rFonts w:ascii="Consolas" w:hAnsi="Consolas" w:cs="Consolas"/>
                <w:color w:val="B42318"/>
                <w:sz w:val="16"/>
              </w:rPr>
              <w:t>working</w:t>
            </w:r>
            <w:r>
              <w:rPr>
                <w:sz w:val="17"/>
              </w:rPr>
              <w:t xml:space="preserve"> state — </w:t>
            </w:r>
            <w:r>
              <w:rPr>
                <w:i/>
                <w:sz w:val="17"/>
              </w:rPr>
              <w:t>not reproduced: the compact demo answers in &lt; 150 ms</w:t>
            </w:r>
            <w:r>
              <w:rPr>
                <w:sz w:val="17"/>
              </w:rPr>
              <w:t>.</w:t>
            </w:r>
          </w:p>
        </w:tc>
        <w:tc>
          <w:tcPr>
            <w:tcW w:type="dxa" w:w="5171"/>
          </w:tcPr>
          <w:p>
            <w:pPr>
              <w:spacing w:after="0" w:line="252" w:lineRule="auto"/>
            </w:pPr>
            <w:r>
              <w:rPr>
                <w:sz w:val="17"/>
              </w:rPr>
              <w:t>Verified (UI) a–f; (g) Hypothesis</w:t>
            </w:r>
          </w:p>
        </w:tc>
      </w:tr>
      <w:tr>
        <w:trPr>
          <w:cantSplit/>
        </w:trPr>
        <w:tc>
          <w:tcPr>
            <w:tcW w:type="dxa" w:w="1246"/>
            <w:shd w:val="clear" w:color="auto" w:fill="F9FAFB"/>
          </w:tcPr>
          <w:p>
            <w:pPr>
              <w:spacing w:after="0" w:line="252" w:lineRule="auto"/>
            </w:pPr>
            <w:r>
              <w:rPr>
                <w:b/>
                <w:sz w:val="17"/>
              </w:rPr>
              <w:t>F-17</w:t>
            </w:r>
          </w:p>
        </w:tc>
        <w:tc>
          <w:tcPr>
            <w:tcW w:type="dxa" w:w="8607"/>
            <w:shd w:val="clear" w:color="auto" w:fill="F9FAFB"/>
          </w:tcPr>
          <w:p>
            <w:pPr>
              <w:spacing w:after="0" w:line="252" w:lineRule="auto"/>
            </w:pPr>
            <w:r>
              <w:rPr>
                <w:b/>
                <w:sz w:val="17"/>
              </w:rPr>
              <w:t>Broken/misdirecting navigation.</w:t>
            </w:r>
            <w:r>
              <w:rPr>
                <w:sz w:val="17"/>
              </w:rPr>
              <w:t xml:space="preserve"> Collection → </w:t>
            </w:r>
            <w:r>
              <w:rPr>
                <w:sz w:val="17"/>
                <w:rtl/>
                <w:rFonts w:cs="Arial"/>
                <w:szCs w:val="17"/>
              </w:rPr>
              <w:t>‫«التنبؤ والمستهدف»‬</w:t>
            </w:r>
            <w:r>
              <w:rPr>
                <w:sz w:val="17"/>
              </w:rPr>
              <w:t xml:space="preserve"> goes to </w:t>
            </w:r>
            <w:r>
              <w:rPr>
                <w:rFonts w:ascii="Consolas" w:hAnsi="Consolas" w:cs="Consolas"/>
                <w:color w:val="B42318"/>
                <w:sz w:val="16"/>
              </w:rPr>
              <w:t>/executive#exec-q1</w:t>
            </w:r>
            <w:r>
              <w:rPr>
                <w:sz w:val="17"/>
              </w:rPr>
              <w:t xml:space="preserve"> → the Dashboard top (forecast/target now live in Planning </w:t>
            </w:r>
            <w:r>
              <w:rPr>
                <w:rFonts w:ascii="Consolas" w:hAnsi="Consolas" w:cs="Consolas"/>
                <w:color w:val="B42318"/>
                <w:sz w:val="16"/>
              </w:rPr>
              <w:t>#outlook</w:t>
            </w:r>
            <w:r>
              <w:rPr>
                <w:sz w:val="17"/>
              </w:rPr>
              <w:t>) (</w:t>
            </w:r>
            <w:r>
              <w:rPr>
                <w:rFonts w:ascii="Consolas" w:hAnsi="Consolas" w:cs="Consolas"/>
                <w:color w:val="B42318"/>
                <w:sz w:val="16"/>
              </w:rPr>
              <w:t>Collection.jsx:44</w:t>
            </w:r>
            <w:r>
              <w:rPr>
                <w:sz w:val="17"/>
              </w:rPr>
              <w:t xml:space="preserve">); the anchor is dropped. </w:t>
            </w:r>
            <w:r>
              <w:rPr>
                <w:rFonts w:ascii="Consolas" w:hAnsi="Consolas" w:cs="Consolas"/>
                <w:color w:val="B42318"/>
                <w:sz w:val="16"/>
              </w:rPr>
              <w:t>/reports?r=aging</w:t>
            </w:r>
            <w:r>
              <w:rPr>
                <w:sz w:val="17"/>
              </w:rPr>
              <w:t xml:space="preserve"> is not normalised; unknown path → dashboard with no 404; </w:t>
            </w:r>
            <w:r>
              <w:rPr>
                <w:rFonts w:ascii="Consolas" w:hAnsi="Consolas" w:cs="Consolas"/>
                <w:color w:val="B42318"/>
                <w:sz w:val="16"/>
              </w:rPr>
              <w:t>report=bad</w:t>
            </w:r>
            <w:r>
              <w:rPr>
                <w:sz w:val="17"/>
              </w:rPr>
              <w:t xml:space="preserve"> → list silently; </w:t>
            </w:r>
            <w:r>
              <w:rPr>
                <w:rFonts w:ascii="Consolas" w:hAnsi="Consolas" w:cs="Consolas"/>
                <w:color w:val="B42318"/>
                <w:sz w:val="16"/>
              </w:rPr>
              <w:t>/sanad-orders</w:t>
            </w:r>
            <w:r>
              <w:rPr>
                <w:sz w:val="17"/>
              </w:rPr>
              <w:t xml:space="preserve"> and </w:t>
            </w:r>
            <w:r>
              <w:rPr>
                <w:rFonts w:ascii="Consolas" w:hAnsi="Consolas" w:cs="Consolas"/>
                <w:color w:val="B42318"/>
                <w:sz w:val="16"/>
              </w:rPr>
              <w:t>/investment-invoices</w:t>
            </w:r>
            <w:r>
              <w:rPr>
                <w:sz w:val="17"/>
              </w:rPr>
              <w:t xml:space="preserve"> have no nav entry or active state and their page title falls back to "INTELLIBILL" (</w:t>
            </w:r>
            <w:r>
              <w:rPr>
                <w:rFonts w:ascii="Consolas" w:hAnsi="Consolas" w:cs="Consolas"/>
                <w:color w:val="B42318"/>
                <w:sz w:val="16"/>
              </w:rPr>
              <w:t>Layout.jsx:133-146</w:t>
            </w:r>
            <w:r>
              <w:rPr>
                <w:sz w:val="17"/>
              </w:rPr>
              <w:t>).</w:t>
            </w:r>
          </w:p>
        </w:tc>
        <w:tc>
          <w:tcPr>
            <w:tcW w:type="dxa" w:w="5171"/>
            <w:shd w:val="clear" w:color="auto" w:fill="F9FAFB"/>
          </w:tcPr>
          <w:p>
            <w:pPr>
              <w:spacing w:after="0" w:line="252" w:lineRule="auto"/>
            </w:pPr>
            <w:r>
              <w:rPr>
                <w:sz w:val="17"/>
              </w:rPr>
              <w:t>Verified (UI + code)</w:t>
            </w:r>
          </w:p>
        </w:tc>
      </w:tr>
      <w:tr>
        <w:trPr>
          <w:cantSplit/>
        </w:trPr>
        <w:tc>
          <w:tcPr>
            <w:tcW w:type="dxa" w:w="1246"/>
          </w:tcPr>
          <w:p>
            <w:pPr>
              <w:spacing w:after="0" w:line="252" w:lineRule="auto"/>
            </w:pPr>
            <w:r>
              <w:rPr>
                <w:b/>
                <w:sz w:val="17"/>
              </w:rPr>
              <w:t>F-18</w:t>
            </w:r>
          </w:p>
        </w:tc>
        <w:tc>
          <w:tcPr>
            <w:tcW w:type="dxa" w:w="8607"/>
          </w:tcPr>
          <w:p>
            <w:pPr>
              <w:spacing w:after="0" w:line="252" w:lineRule="auto"/>
            </w:pPr>
            <w:r>
              <w:rPr>
                <w:b/>
                <w:sz w:val="17"/>
              </w:rPr>
              <w:t>Navigation and chrome.</w:t>
            </w:r>
            <w:r>
              <w:rPr>
                <w:sz w:val="17"/>
              </w:rPr>
              <w:t xml:space="preserve"> 9 flat items; at 1280 px </w:t>
            </w:r>
            <w:r>
              <w:rPr>
                <w:sz w:val="17"/>
                <w:rtl/>
                <w:rFonts w:cs="Arial"/>
                <w:szCs w:val="17"/>
              </w:rPr>
              <w:t>‫«مصادر البيانات»‬</w:t>
            </w:r>
            <w:r>
              <w:rPr>
                <w:sz w:val="17"/>
              </w:rPr>
              <w:t xml:space="preserve"> and </w:t>
            </w:r>
            <w:r>
              <w:rPr>
                <w:sz w:val="17"/>
                <w:rtl/>
                <w:rFonts w:cs="Arial"/>
                <w:szCs w:val="17"/>
              </w:rPr>
              <w:t>‫«قاموس المقاييس»‬</w:t>
            </w:r>
            <w:r>
              <w:rPr>
                <w:sz w:val="17"/>
              </w:rPr>
              <w:t xml:space="preserve"> are outside the visible area (scrollWidth 1495 &gt; 1270). Brand and tab title are </w:t>
            </w:r>
            <w:r>
              <w:rPr>
                <w:sz w:val="17"/>
                <w:rtl/>
                <w:rFonts w:cs="Arial"/>
                <w:szCs w:val="17"/>
              </w:rPr>
              <w:t>‫«منصة الفواتير الذكية · INTELLIBILL · AI SUITE»‬</w:t>
            </w:r>
            <w:r>
              <w:rPr>
                <w:sz w:val="17"/>
              </w:rPr>
              <w:t xml:space="preserve"> (</w:t>
            </w:r>
            <w:r>
              <w:rPr>
                <w:rFonts w:ascii="Consolas" w:hAnsi="Consolas" w:cs="Consolas"/>
                <w:color w:val="B42318"/>
                <w:sz w:val="16"/>
              </w:rPr>
              <w:t>index.html:6</w:t>
            </w:r>
            <w:r>
              <w:rPr>
                <w:sz w:val="17"/>
              </w:rPr>
              <w:t xml:space="preserve">) — not the MoMAH revenue-intelligence product. At 390 px the header + tab strip take </w:t>
            </w:r>
            <w:r>
              <w:rPr>
                <w:b/>
                <w:sz w:val="17"/>
              </w:rPr>
              <w:t>328 px</w:t>
            </w:r>
            <w:r>
              <w:rPr>
                <w:sz w:val="17"/>
              </w:rPr>
              <w:t xml:space="preserve"> of 844 (39 %); the three view tabs wrap with </w:t>
            </w:r>
            <w:r>
              <w:rPr>
                <w:sz w:val="17"/>
                <w:rtl/>
                <w:rFonts w:cs="Arial"/>
                <w:szCs w:val="17"/>
              </w:rPr>
              <w:t>‫«التقارير الذكية»‬</w:t>
            </w:r>
            <w:r>
              <w:rPr>
                <w:sz w:val="17"/>
              </w:rPr>
              <w:t xml:space="preserve"> alone on a second line; the three tab hints are Arabic-only (</w:t>
            </w:r>
            <w:r>
              <w:rPr>
                <w:rFonts w:ascii="Consolas" w:hAnsi="Consolas" w:cs="Consolas"/>
                <w:color w:val="B42318"/>
                <w:sz w:val="16"/>
              </w:rPr>
              <w:t>InsightsHub.jsx:15</w:t>
            </w:r>
            <w:r>
              <w:rPr>
                <w:sz w:val="17"/>
              </w:rPr>
              <w:t>), shown in the EN/ZH UI too.</w:t>
            </w:r>
          </w:p>
        </w:tc>
        <w:tc>
          <w:tcPr>
            <w:tcW w:type="dxa" w:w="5171"/>
          </w:tcPr>
          <w:p>
            <w:pPr>
              <w:spacing w:after="0" w:line="252" w:lineRule="auto"/>
            </w:pPr>
            <w:r>
              <w:rPr>
                <w:sz w:val="17"/>
              </w:rPr>
              <w:t>Verified (UI)</w:t>
            </w:r>
          </w:p>
        </w:tc>
      </w:tr>
      <w:tr>
        <w:trPr>
          <w:cantSplit/>
        </w:trPr>
        <w:tc>
          <w:tcPr>
            <w:tcW w:type="dxa" w:w="1246"/>
            <w:shd w:val="clear" w:color="auto" w:fill="F9FAFB"/>
          </w:tcPr>
          <w:p>
            <w:pPr>
              <w:spacing w:after="0" w:line="252" w:lineRule="auto"/>
            </w:pPr>
            <w:r>
              <w:rPr>
                <w:b/>
                <w:sz w:val="17"/>
              </w:rPr>
              <w:t>F-19</w:t>
            </w:r>
          </w:p>
        </w:tc>
        <w:tc>
          <w:tcPr>
            <w:tcW w:type="dxa" w:w="8607"/>
            <w:shd w:val="clear" w:color="auto" w:fill="F9FAFB"/>
          </w:tcPr>
          <w:p>
            <w:pPr>
              <w:spacing w:after="0" w:line="252" w:lineRule="auto"/>
            </w:pPr>
            <w:r>
              <w:rPr>
                <w:b/>
                <w:sz w:val="17"/>
              </w:rPr>
              <w:t>Persistence is split and not tied to the plan.</w:t>
            </w:r>
            <w:r>
              <w:rPr>
                <w:sz w:val="17"/>
              </w:rPr>
              <w:t xml:space="preserve"> Scope, targets, config, language → </w:t>
            </w:r>
            <w:r>
              <w:rPr>
                <w:rFonts w:ascii="Consolas" w:hAnsi="Consolas" w:cs="Consolas"/>
                <w:color w:val="B42318"/>
                <w:sz w:val="16"/>
              </w:rPr>
              <w:t>sessionStorage</w:t>
            </w:r>
            <w:r>
              <w:rPr>
                <w:sz w:val="17"/>
              </w:rPr>
              <w:t xml:space="preserve">; plans, objectives, actions, conversations → </w:t>
            </w:r>
            <w:r>
              <w:rPr>
                <w:rFonts w:ascii="Consolas" w:hAnsi="Consolas" w:cs="Consolas"/>
                <w:color w:val="B42318"/>
                <w:sz w:val="16"/>
              </w:rPr>
              <w:t>localStorage</w:t>
            </w:r>
            <w:r>
              <w:rPr>
                <w:sz w:val="17"/>
              </w:rPr>
              <w:t>; nothing server-side. An edited target survives only the tab, while the plan that references it survives for ever — a reopened plan can show different results. Saved plans do not record targets/config/data version.</w:t>
            </w:r>
          </w:p>
        </w:tc>
        <w:tc>
          <w:tcPr>
            <w:tcW w:type="dxa" w:w="5171"/>
            <w:shd w:val="clear" w:color="auto" w:fill="F9FAFB"/>
          </w:tcPr>
          <w:p>
            <w:pPr>
              <w:spacing w:after="0" w:line="252" w:lineRule="auto"/>
            </w:pPr>
            <w:r>
              <w:rPr>
                <w:sz w:val="17"/>
              </w:rPr>
              <w:t>Verified (data/keys)</w:t>
            </w:r>
          </w:p>
        </w:tc>
      </w:tr>
      <w:tr>
        <w:trPr>
          <w:cantSplit/>
        </w:trPr>
        <w:tc>
          <w:tcPr>
            <w:tcW w:type="dxa" w:w="1246"/>
          </w:tcPr>
          <w:p>
            <w:pPr>
              <w:spacing w:after="0" w:line="252" w:lineRule="auto"/>
            </w:pPr>
            <w:r>
              <w:rPr>
                <w:b/>
                <w:sz w:val="17"/>
              </w:rPr>
              <w:t>F-20</w:t>
            </w:r>
          </w:p>
        </w:tc>
        <w:tc>
          <w:tcPr>
            <w:tcW w:type="dxa" w:w="8607"/>
          </w:tcPr>
          <w:p>
            <w:pPr>
              <w:spacing w:after="0" w:line="252" w:lineRule="auto"/>
            </w:pPr>
            <w:r>
              <w:rPr>
                <w:b/>
                <w:sz w:val="17"/>
              </w:rPr>
              <w:t>Hidden configuration changes management figures.</w:t>
            </w:r>
            <w:r>
              <w:rPr>
                <w:sz w:val="17"/>
              </w:rPr>
              <w:t xml:space="preserve"> </w:t>
            </w:r>
            <w:r>
              <w:rPr>
                <w:rFonts w:ascii="Consolas" w:hAnsi="Consolas" w:cs="Consolas"/>
                <w:color w:val="B42318"/>
                <w:sz w:val="16"/>
              </w:rPr>
              <w:t>/noncollection</w:t>
            </w:r>
            <w:r>
              <w:rPr>
                <w:sz w:val="17"/>
              </w:rPr>
              <w:t xml:space="preserve"> holds exclusion-rule toggles, grace days and «collections as of» (</w:t>
            </w:r>
            <w:r>
              <w:rPr>
                <w:rFonts w:ascii="Consolas" w:hAnsi="Consolas" w:cs="Consolas"/>
                <w:color w:val="B42318"/>
                <w:sz w:val="16"/>
              </w:rPr>
              <w:t>Noncollection.jsx:229</w:t>
            </w:r>
            <w:r>
              <w:rPr>
                <w:sz w:val="17"/>
              </w:rPr>
              <w:t xml:space="preserve">, </w:t>
            </w:r>
            <w:r>
              <w:rPr>
                <w:rFonts w:ascii="Consolas" w:hAnsi="Consolas" w:cs="Consolas"/>
                <w:color w:val="B42318"/>
                <w:sz w:val="16"/>
              </w:rPr>
              <w:t>RevenueContext.jsx</w:t>
            </w:r>
            <w:r>
              <w:rPr>
                <w:sz w:val="17"/>
              </w:rPr>
              <w:t xml:space="preserve"> </w:t>
            </w:r>
            <w:r>
              <w:rPr>
                <w:rFonts w:ascii="Consolas" w:hAnsi="Consolas" w:cs="Consolas"/>
                <w:color w:val="B42318"/>
                <w:sz w:val="16"/>
              </w:rPr>
              <w:t>cfg</w:t>
            </w:r>
            <w:r>
              <w:rPr>
                <w:sz w:val="17"/>
              </w:rPr>
              <w:t>). They change Dashboard, Fixed, Smart and Planning numbers, but no indicator on those pages shows that configuration is non-default, and plans/conversations do not record it.</w:t>
            </w:r>
          </w:p>
        </w:tc>
        <w:tc>
          <w:tcPr>
            <w:tcW w:type="dxa" w:w="5171"/>
          </w:tcPr>
          <w:p>
            <w:pPr>
              <w:spacing w:after="0" w:line="252" w:lineRule="auto"/>
            </w:pPr>
            <w:r>
              <w:rPr>
                <w:sz w:val="17"/>
              </w:rPr>
              <w:t>Verified (code); not exercised (would change shared state)</w:t>
            </w:r>
          </w:p>
        </w:tc>
      </w:tr>
      <w:tr>
        <w:trPr>
          <w:cantSplit/>
        </w:trPr>
        <w:tc>
          <w:tcPr>
            <w:tcW w:type="dxa" w:w="1246"/>
            <w:shd w:val="clear" w:color="auto" w:fill="F9FAFB"/>
          </w:tcPr>
          <w:p>
            <w:pPr>
              <w:spacing w:after="0" w:line="252" w:lineRule="auto"/>
            </w:pPr>
            <w:r>
              <w:rPr>
                <w:b/>
                <w:sz w:val="17"/>
              </w:rPr>
              <w:t>F-21</w:t>
            </w:r>
          </w:p>
        </w:tc>
        <w:tc>
          <w:tcPr>
            <w:tcW w:type="dxa" w:w="8607"/>
            <w:shd w:val="clear" w:color="auto" w:fill="F9FAFB"/>
          </w:tcPr>
          <w:p>
            <w:pPr>
              <w:spacing w:after="0" w:line="252" w:lineRule="auto"/>
            </w:pPr>
            <w:r>
              <w:rPr>
                <w:b/>
                <w:sz w:val="17"/>
              </w:rPr>
              <w:t>Duplication.</w:t>
            </w:r>
            <w:r>
              <w:rPr>
                <w:sz w:val="17"/>
              </w:rPr>
              <w:t xml:space="preserve"> The seven-tile headline KPI block is repeated at the top of </w:t>
            </w:r>
            <w:r>
              <w:rPr>
                <w:b/>
                <w:sz w:val="17"/>
              </w:rPr>
              <w:t>all nine</w:t>
            </w:r>
            <w:r>
              <w:rPr>
                <w:sz w:val="17"/>
              </w:rPr>
              <w:t xml:space="preserve"> fixed reports (including </w:t>
            </w:r>
            <w:r>
              <w:rPr>
                <w:i/>
                <w:sz w:val="17"/>
              </w:rPr>
              <w:t>Budget</w:t>
            </w:r>
            <w:r>
              <w:rPr>
                <w:sz w:val="17"/>
              </w:rPr>
              <w:t xml:space="preserve"> and </w:t>
            </w:r>
            <w:r>
              <w:rPr>
                <w:i/>
                <w:sz w:val="17"/>
              </w:rPr>
              <w:t>Quality</w:t>
            </w:r>
            <w:r>
              <w:rPr>
                <w:sz w:val="17"/>
              </w:rPr>
              <w:t xml:space="preserve">, where it is irrelevant); headline KPIs also appear on Invoices, Collection, Noncollection, Risk, Metrics and the Planning baseline. Data quality lives in three places (fixed report </w:t>
            </w:r>
            <w:r>
              <w:rPr>
                <w:rFonts w:ascii="Consolas" w:hAnsi="Consolas" w:cs="Consolas"/>
                <w:color w:val="B42318"/>
                <w:sz w:val="16"/>
              </w:rPr>
              <w:t>quality</w:t>
            </w:r>
            <w:r>
              <w:rPr>
                <w:sz w:val="17"/>
              </w:rPr>
              <w:t xml:space="preserve">, </w:t>
            </w:r>
            <w:r>
              <w:rPr>
                <w:rFonts w:ascii="Consolas" w:hAnsi="Consolas" w:cs="Consolas"/>
                <w:color w:val="B42318"/>
                <w:sz w:val="16"/>
              </w:rPr>
              <w:t>/risk</w:t>
            </w:r>
            <w:r>
              <w:rPr>
                <w:sz w:val="17"/>
              </w:rPr>
              <w:t xml:space="preserve">, </w:t>
            </w:r>
            <w:r>
              <w:rPr>
                <w:rFonts w:ascii="Consolas" w:hAnsi="Consolas" w:cs="Consolas"/>
                <w:color w:val="B42318"/>
                <w:sz w:val="16"/>
              </w:rPr>
              <w:t>/data-sources</w:t>
            </w:r>
            <w:r>
              <w:rPr>
                <w:sz w:val="17"/>
              </w:rPr>
              <w:t>). Three filter UIs (</w:t>
            </w:r>
            <w:r>
              <w:rPr>
                <w:rFonts w:ascii="Consolas" w:hAnsi="Consolas" w:cs="Consolas"/>
                <w:color w:val="B42318"/>
                <w:sz w:val="16"/>
              </w:rPr>
              <w:t>FilterChips</w:t>
            </w:r>
            <w:r>
              <w:rPr>
                <w:sz w:val="17"/>
              </w:rPr>
              <w:t>+</w:t>
            </w:r>
            <w:r>
              <w:rPr>
                <w:rFonts w:ascii="Consolas" w:hAnsi="Consolas" w:cs="Consolas"/>
                <w:color w:val="B42318"/>
                <w:sz w:val="16"/>
              </w:rPr>
              <w:t>ScopeBar</w:t>
            </w:r>
            <w:r>
              <w:rPr>
                <w:sz w:val="17"/>
              </w:rPr>
              <w:t xml:space="preserve">, Smart </w:t>
            </w:r>
            <w:r>
              <w:rPr>
                <w:rFonts w:ascii="Consolas" w:hAnsi="Consolas" w:cs="Consolas"/>
                <w:color w:val="B42318"/>
                <w:sz w:val="16"/>
              </w:rPr>
              <w:t>FilterPanel</w:t>
            </w:r>
            <w:r>
              <w:rPr>
                <w:sz w:val="17"/>
              </w:rPr>
              <w:t xml:space="preserve">, operational pages' full </w:t>
            </w:r>
            <w:r>
              <w:rPr>
                <w:rFonts w:ascii="Consolas" w:hAnsi="Consolas" w:cs="Consolas"/>
                <w:color w:val="B42318"/>
                <w:sz w:val="16"/>
              </w:rPr>
              <w:t>ScopeBar</w:t>
            </w:r>
            <w:r>
              <w:rPr>
                <w:sz w:val="17"/>
              </w:rPr>
              <w:t xml:space="preserve">). Two planning-assistant entries on one screen (header button + floating button, </w:t>
            </w:r>
            <w:r>
              <w:rPr>
                <w:rFonts w:ascii="Consolas" w:hAnsi="Consolas" w:cs="Consolas"/>
                <w:color w:val="B42318"/>
                <w:sz w:val="16"/>
              </w:rPr>
              <w:t>PlanningArea.jsx:153,214</w:t>
            </w:r>
            <w:r>
              <w:rPr>
                <w:sz w:val="17"/>
              </w:rPr>
              <w:t>). Two assistants (planning, smart) with different composers.</w:t>
            </w:r>
          </w:p>
        </w:tc>
        <w:tc>
          <w:tcPr>
            <w:tcW w:type="dxa" w:w="5171"/>
            <w:shd w:val="clear" w:color="auto" w:fill="F9FAFB"/>
          </w:tcPr>
          <w:p>
            <w:pPr>
              <w:spacing w:after="0" w:line="252" w:lineRule="auto"/>
            </w:pPr>
            <w:r>
              <w:rPr>
                <w:sz w:val="17"/>
              </w:rPr>
              <w:t>Verified (UI/code)</w:t>
            </w:r>
          </w:p>
        </w:tc>
      </w:tr>
      <w:tr>
        <w:trPr>
          <w:cantSplit/>
        </w:trPr>
        <w:tc>
          <w:tcPr>
            <w:tcW w:type="dxa" w:w="1246"/>
          </w:tcPr>
          <w:p>
            <w:pPr>
              <w:spacing w:after="0" w:line="252" w:lineRule="auto"/>
            </w:pPr>
            <w:r>
              <w:rPr>
                <w:b/>
                <w:sz w:val="17"/>
              </w:rPr>
              <w:t>F-22</w:t>
            </w:r>
          </w:p>
        </w:tc>
        <w:tc>
          <w:tcPr>
            <w:tcW w:type="dxa" w:w="8607"/>
          </w:tcPr>
          <w:p>
            <w:pPr>
              <w:spacing w:after="0" w:line="252" w:lineRule="auto"/>
            </w:pPr>
            <w:r>
              <w:rPr>
                <w:b/>
                <w:sz w:val="17"/>
              </w:rPr>
              <w:t>Ambiguous duplicate rows</w:t>
            </w:r>
            <w:r>
              <w:rPr>
                <w:sz w:val="17"/>
              </w:rPr>
              <w:t xml:space="preserve"> in the municipality table: three different rows are all labelled </w:t>
            </w:r>
            <w:r>
              <w:rPr>
                <w:sz w:val="17"/>
                <w:rtl/>
                <w:rFonts w:cs="Arial"/>
                <w:szCs w:val="17"/>
              </w:rPr>
              <w:t>‫«بلا بلدية — غير محدد الأمانة (لم تُطابق في مكين)»‬</w:t>
            </w:r>
            <w:r>
              <w:rPr>
                <w:sz w:val="17"/>
              </w:rPr>
              <w:t xml:space="preserve"> (2, 3 and 5 invoices) — the grouping key includes a field that is not displayed.</w:t>
            </w:r>
          </w:p>
        </w:tc>
        <w:tc>
          <w:tcPr>
            <w:tcW w:type="dxa" w:w="5171"/>
          </w:tcPr>
          <w:p>
            <w:pPr>
              <w:spacing w:after="0" w:line="252" w:lineRule="auto"/>
            </w:pPr>
            <w:r>
              <w:rPr>
                <w:sz w:val="17"/>
              </w:rPr>
              <w:t>Verified (UI)</w:t>
            </w:r>
          </w:p>
        </w:tc>
      </w:tr>
      <w:tr>
        <w:trPr>
          <w:cantSplit/>
        </w:trPr>
        <w:tc>
          <w:tcPr>
            <w:tcW w:type="dxa" w:w="1246"/>
            <w:shd w:val="clear" w:color="auto" w:fill="F9FAFB"/>
          </w:tcPr>
          <w:p>
            <w:pPr>
              <w:spacing w:after="0" w:line="252" w:lineRule="auto"/>
            </w:pPr>
            <w:r>
              <w:rPr>
                <w:b/>
                <w:sz w:val="17"/>
              </w:rPr>
              <w:t>F-23</w:t>
            </w:r>
          </w:p>
        </w:tc>
        <w:tc>
          <w:tcPr>
            <w:tcW w:type="dxa" w:w="8607"/>
            <w:shd w:val="clear" w:color="auto" w:fill="F9FAFB"/>
          </w:tcPr>
          <w:p>
            <w:pPr>
              <w:spacing w:after="0" w:line="252" w:lineRule="auto"/>
            </w:pPr>
            <w:r>
              <w:rPr>
                <w:b/>
                <w:sz w:val="17"/>
              </w:rPr>
              <w:t>Mixed bases on one planning page.</w:t>
            </w:r>
            <w:r>
              <w:rPr>
                <w:sz w:val="17"/>
              </w:rPr>
              <w:t xml:space="preserve"> Collected on YTD invoices (7.83 bn) vs receipts YTD by payment date (8.41 bn) vs forecast total (9.9 bn); the scenario's cash delta (computed on invoices issued in the filtered period) is added to payment-date receipts in the funding table (</w:t>
            </w:r>
            <w:r>
              <w:rPr>
                <w:rFonts w:ascii="Consolas" w:hAnsi="Consolas" w:cs="Consolas"/>
                <w:color w:val="B42318"/>
                <w:sz w:val="16"/>
              </w:rPr>
              <w:t>PlanningArea.jsx:75-79</w:t>
            </w:r>
            <w:r>
              <w:rPr>
                <w:sz w:val="17"/>
              </w:rPr>
              <w:t>). Each is labelled, but the bridge between them is not shown.</w:t>
            </w:r>
          </w:p>
        </w:tc>
        <w:tc>
          <w:tcPr>
            <w:tcW w:type="dxa" w:w="5171"/>
            <w:shd w:val="clear" w:color="auto" w:fill="F9FAFB"/>
          </w:tcPr>
          <w:p>
            <w:pPr>
              <w:spacing w:after="0" w:line="252" w:lineRule="auto"/>
            </w:pPr>
            <w:r>
              <w:rPr>
                <w:sz w:val="17"/>
              </w:rPr>
              <w:t>Verified (UI/code)</w:t>
            </w:r>
          </w:p>
        </w:tc>
      </w:tr>
      <w:tr>
        <w:trPr>
          <w:cantSplit/>
        </w:trPr>
        <w:tc>
          <w:tcPr>
            <w:tcW w:type="dxa" w:w="1246"/>
          </w:tcPr>
          <w:p>
            <w:pPr>
              <w:spacing w:after="0" w:line="252" w:lineRule="auto"/>
            </w:pPr>
            <w:r>
              <w:rPr>
                <w:b/>
                <w:sz w:val="17"/>
              </w:rPr>
              <w:t>F-24</w:t>
            </w:r>
          </w:p>
        </w:tc>
        <w:tc>
          <w:tcPr>
            <w:tcW w:type="dxa" w:w="8607"/>
          </w:tcPr>
          <w:p>
            <w:pPr>
              <w:spacing w:after="0" w:line="252" w:lineRule="auto"/>
            </w:pPr>
            <w:r>
              <w:rPr>
                <w:b/>
                <w:sz w:val="17"/>
              </w:rPr>
              <w:t>Scenarios cannot be compared.</w:t>
            </w:r>
            <w:r>
              <w:rPr>
                <w:sz w:val="17"/>
              </w:rPr>
              <w:t xml:space="preserve"> One scenario per plan; "versions" are single summaries (rate/collected/balance); no side-by-side comparison, no scenario names, no delta versus baseline version. The brief asks to create, compare, save and reopen scenarios.</w:t>
            </w:r>
          </w:p>
        </w:tc>
        <w:tc>
          <w:tcPr>
            <w:tcW w:type="dxa" w:w="5171"/>
          </w:tcPr>
          <w:p>
            <w:pPr>
              <w:spacing w:after="0" w:line="252" w:lineRule="auto"/>
            </w:pPr>
            <w:r>
              <w:rPr>
                <w:sz w:val="17"/>
              </w:rPr>
              <w:t>Verified (UI/code)</w:t>
            </w:r>
          </w:p>
        </w:tc>
      </w:tr>
      <w:tr>
        <w:trPr>
          <w:cantSplit/>
        </w:trPr>
        <w:tc>
          <w:tcPr>
            <w:tcW w:type="dxa" w:w="1246"/>
            <w:shd w:val="clear" w:color="auto" w:fill="F9FAFB"/>
          </w:tcPr>
          <w:p>
            <w:pPr>
              <w:spacing w:after="0" w:line="252" w:lineRule="auto"/>
            </w:pPr>
            <w:r>
              <w:rPr>
                <w:b/>
                <w:sz w:val="17"/>
              </w:rPr>
              <w:t>F-25</w:t>
            </w:r>
          </w:p>
        </w:tc>
        <w:tc>
          <w:tcPr>
            <w:tcW w:type="dxa" w:w="8607"/>
            <w:shd w:val="clear" w:color="auto" w:fill="F9FAFB"/>
          </w:tcPr>
          <w:p>
            <w:pPr>
              <w:spacing w:after="0" w:line="252" w:lineRule="auto"/>
            </w:pPr>
            <w:r>
              <w:rPr>
                <w:b/>
                <w:sz w:val="17"/>
              </w:rPr>
              <w:t>Missing-data handling is inconsistent across views:</w:t>
            </w:r>
            <w:r>
              <w:rPr>
                <w:sz w:val="17"/>
              </w:rPr>
              <w:t xml:space="preserve"> Planning/Dashboard show "</w:t>
            </w:r>
            <w:r>
              <w:rPr>
                <w:sz w:val="17"/>
                <w:rtl/>
                <w:rFonts w:cs="Arial"/>
                <w:szCs w:val="17"/>
              </w:rPr>
              <w:t>‫غير متاح‬</w:t>
            </w:r>
            <w:r>
              <w:rPr>
                <w:sz w:val="17"/>
              </w:rPr>
              <w:t xml:space="preserve">" correctly; Smart shows zeros (F-11); the fixed report's empty-state callout wrongly says </w:t>
            </w:r>
            <w:r>
              <w:rPr>
                <w:sz w:val="17"/>
                <w:rtl/>
                <w:rFonts w:cs="Arial"/>
                <w:szCs w:val="17"/>
              </w:rPr>
              <w:t>‫«العام السابق خارج نطاق البيانات»‬</w:t>
            </w:r>
            <w:r>
              <w:rPr>
                <w:sz w:val="17"/>
              </w:rPr>
              <w:t xml:space="preserve"> when the reason is that the selection has no invoices (</w:t>
            </w:r>
            <w:r>
              <w:rPr>
                <w:rFonts w:ascii="Consolas" w:hAnsi="Consolas" w:cs="Consolas"/>
                <w:color w:val="B42318"/>
                <w:sz w:val="16"/>
              </w:rPr>
              <w:t>FixedReports.jsx:47</w:t>
            </w:r>
            <w:r>
              <w:rPr>
                <w:sz w:val="17"/>
              </w:rPr>
              <w:t>).</w:t>
            </w:r>
          </w:p>
        </w:tc>
        <w:tc>
          <w:tcPr>
            <w:tcW w:type="dxa" w:w="5171"/>
            <w:shd w:val="clear" w:color="auto" w:fill="F9FAFB"/>
          </w:tcPr>
          <w:p>
            <w:pPr>
              <w:spacing w:after="0" w:line="252" w:lineRule="auto"/>
            </w:pPr>
            <w:r>
              <w:rPr>
                <w:sz w:val="17"/>
              </w:rPr>
              <w:t>Verified (UI)</w:t>
            </w:r>
          </w:p>
        </w:tc>
      </w:tr>
      <w:tr>
        <w:trPr>
          <w:cantSplit/>
        </w:trPr>
        <w:tc>
          <w:tcPr>
            <w:tcW w:type="dxa" w:w="1246"/>
          </w:tcPr>
          <w:p>
            <w:pPr>
              <w:spacing w:after="0" w:line="252" w:lineRule="auto"/>
            </w:pPr>
            <w:r>
              <w:rPr>
                <w:b/>
                <w:sz w:val="17"/>
              </w:rPr>
              <w:t>F-26</w:t>
            </w:r>
          </w:p>
        </w:tc>
        <w:tc>
          <w:tcPr>
            <w:tcW w:type="dxa" w:w="8607"/>
          </w:tcPr>
          <w:p>
            <w:pPr>
              <w:spacing w:after="0" w:line="252" w:lineRule="auto"/>
            </w:pPr>
            <w:r>
              <w:rPr>
                <w:b/>
                <w:sz w:val="17"/>
              </w:rPr>
              <w:t>Unsupported/undocumented calculation choices.</w:t>
            </w:r>
            <w:r>
              <w:rPr>
                <w:sz w:val="17"/>
              </w:rPr>
              <w:t xml:space="preserve"> Objective states use a hard-coded 90 %/100 % rule (</w:t>
            </w:r>
            <w:r>
              <w:rPr>
                <w:rFonts w:ascii="Consolas" w:hAnsi="Consolas" w:cs="Consolas"/>
                <w:color w:val="B42318"/>
                <w:sz w:val="16"/>
              </w:rPr>
              <w:t>planStore.js:55</w:t>
            </w:r>
            <w:r>
              <w:rPr>
                <w:sz w:val="17"/>
              </w:rPr>
              <w:t xml:space="preserve">, not explained in the UI). A proposal's "expected impact" equals the whole gap and impacts of different proposals may overlap (Hypothesis — nothing sums them, but nothing de-duplicates them). The synthetic expenditure drives a −12.4 bn funding deficit that dominates the planning page (clearly labelled synthetic). The </w:t>
            </w:r>
            <w:r>
              <w:rPr>
                <w:rFonts w:ascii="Consolas" w:hAnsi="Consolas" w:cs="Consolas"/>
                <w:color w:val="B42318"/>
                <w:sz w:val="16"/>
              </w:rPr>
              <w:t>slip</w:t>
            </w:r>
            <w:r>
              <w:rPr>
                <w:sz w:val="17"/>
              </w:rPr>
              <w:t xml:space="preserve"> lever applied to a </w:t>
            </w:r>
            <w:r>
              <w:rPr>
                <w:i/>
                <w:sz w:val="17"/>
              </w:rPr>
              <w:t>negative</w:t>
            </w:r>
            <w:r>
              <w:rPr>
                <w:sz w:val="17"/>
              </w:rPr>
              <w:t xml:space="preserve"> cash delta reduces the loss (</w:t>
            </w:r>
            <w:r>
              <w:rPr>
                <w:rFonts w:ascii="Consolas" w:hAnsi="Consolas" w:cs="Consolas"/>
                <w:color w:val="B42318"/>
                <w:sz w:val="16"/>
              </w:rPr>
              <w:t>strategicCalc.js:121</w:t>
            </w:r>
            <w:r>
              <w:rPr>
                <w:sz w:val="17"/>
              </w:rPr>
              <w:t xml:space="preserve">, Hypothesis). </w:t>
            </w:r>
            <w:r>
              <w:rPr>
                <w:rFonts w:ascii="Consolas" w:hAnsi="Consolas" w:cs="Consolas"/>
                <w:color w:val="B42318"/>
                <w:sz w:val="16"/>
              </w:rPr>
              <w:t>Metrics</w:t>
            </w:r>
            <w:r>
              <w:rPr>
                <w:sz w:val="17"/>
              </w:rPr>
              <w:t xml:space="preserve"> page shows «—» for </w:t>
            </w:r>
            <w:r>
              <w:rPr>
                <w:i/>
                <w:sz w:val="17"/>
              </w:rPr>
              <w:t>forecast</w:t>
            </w:r>
            <w:r>
              <w:rPr>
                <w:sz w:val="17"/>
              </w:rPr>
              <w:t xml:space="preserve"> (placeholder).</w:t>
            </w:r>
          </w:p>
        </w:tc>
        <w:tc>
          <w:tcPr>
            <w:tcW w:type="dxa" w:w="5171"/>
          </w:tcPr>
          <w:p>
            <w:pPr>
              <w:spacing w:after="0" w:line="252" w:lineRule="auto"/>
            </w:pPr>
            <w:r>
              <w:rPr>
                <w:sz w:val="17"/>
              </w:rPr>
              <w:t>Mixed (see text)</w:t>
            </w:r>
          </w:p>
        </w:tc>
      </w:tr>
    </w:tbl>
    <w:p>
      <w:pPr>
        <w:spacing w:after="40"/>
      </w:pPr>
    </w:p>
    <w:p>
      <w:pPr>
        <w:pStyle w:val="Heading3"/>
      </w:pPr>
      <w:r>
        <w:t>P3 — polish</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50"/>
        <w:gridCol w:w="9349"/>
        <w:gridCol w:w="4425"/>
      </w:tblGrid>
      <w:tr>
        <w:trPr>
          <w:tblHeader w:val="true"/>
          <w:cantSplit/>
        </w:trPr>
        <w:tc>
          <w:tcPr>
            <w:tcW w:type="dxa" w:w="1250"/>
            <w:shd w:val="clear" w:color="auto" w:fill="1B8354"/>
          </w:tcPr>
          <w:p>
            <w:pPr>
              <w:spacing w:after="0" w:line="252" w:lineRule="auto"/>
            </w:pPr>
            <w:r>
              <w:rPr>
                <w:b/>
                <w:color w:val="FFFFFF"/>
                <w:sz w:val="17"/>
              </w:rPr>
              <w:t>ID</w:t>
            </w:r>
          </w:p>
        </w:tc>
        <w:tc>
          <w:tcPr>
            <w:tcW w:type="dxa" w:w="9349"/>
            <w:shd w:val="clear" w:color="auto" w:fill="1B8354"/>
          </w:tcPr>
          <w:p>
            <w:pPr>
              <w:spacing w:after="0" w:line="252" w:lineRule="auto"/>
            </w:pPr>
            <w:r>
              <w:rPr>
                <w:b/>
                <w:color w:val="FFFFFF"/>
                <w:sz w:val="17"/>
              </w:rPr>
              <w:t>Finding</w:t>
            </w:r>
          </w:p>
        </w:tc>
        <w:tc>
          <w:tcPr>
            <w:tcW w:type="dxa" w:w="4425"/>
            <w:shd w:val="clear" w:color="auto" w:fill="1B8354"/>
          </w:tcPr>
          <w:p>
            <w:pPr>
              <w:spacing w:after="0" w:line="252" w:lineRule="auto"/>
            </w:pPr>
            <w:r>
              <w:rPr>
                <w:b/>
                <w:color w:val="FFFFFF"/>
                <w:sz w:val="17"/>
              </w:rPr>
              <w:t>Status</w:t>
            </w:r>
          </w:p>
        </w:tc>
      </w:tr>
      <w:tr>
        <w:trPr>
          <w:cantSplit/>
        </w:trPr>
        <w:tc>
          <w:tcPr>
            <w:tcW w:type="dxa" w:w="1250"/>
          </w:tcPr>
          <w:p>
            <w:pPr>
              <w:spacing w:after="0" w:line="252" w:lineRule="auto"/>
            </w:pPr>
            <w:r>
              <w:rPr>
                <w:sz w:val="17"/>
              </w:rPr>
              <w:t>F-27</w:t>
            </w:r>
          </w:p>
        </w:tc>
        <w:tc>
          <w:tcPr>
            <w:tcW w:type="dxa" w:w="9349"/>
          </w:tcPr>
          <w:p>
            <w:pPr>
              <w:spacing w:after="0" w:line="252" w:lineRule="auto"/>
            </w:pPr>
            <w:r>
              <w:rPr>
                <w:sz w:val="17"/>
              </w:rPr>
              <w:t xml:space="preserve">Language: </w:t>
            </w:r>
            <w:r>
              <w:rPr>
                <w:rFonts w:ascii="Consolas" w:hAnsi="Consolas" w:cs="Consolas"/>
                <w:color w:val="B42318"/>
                <w:sz w:val="16"/>
              </w:rPr>
              <w:t>zh</w:t>
            </w:r>
            <w:r>
              <w:rPr>
                <w:sz w:val="17"/>
              </w:rPr>
              <w:t xml:space="preserve"> falls back to English in both new areas while the nav mixes English and Chinese («账单库»); raw keys leak into text (plan scope label shows the source key, </w:t>
            </w:r>
            <w:r>
              <w:rPr>
                <w:rFonts w:ascii="Consolas" w:hAnsi="Consolas" w:cs="Consolas"/>
                <w:color w:val="B42318"/>
                <w:sz w:val="16"/>
              </w:rPr>
              <w:t>PlanningArea.jsx:48</w:t>
            </w:r>
            <w:r>
              <w:rPr>
                <w:sz w:val="17"/>
              </w:rPr>
              <w:t xml:space="preserve">; </w:t>
            </w:r>
            <w:r>
              <w:rPr>
                <w:sz w:val="17"/>
                <w:rtl/>
                <w:rFonts w:cs="Arial"/>
                <w:szCs w:val="17"/>
              </w:rPr>
              <w:t>‫«المصدر: housing_sales»‬</w:t>
            </w:r>
            <w:r>
              <w:rPr>
                <w:sz w:val="17"/>
              </w:rPr>
              <w:t xml:space="preserve">); suggestion </w:t>
            </w:r>
            <w:r>
              <w:rPr>
                <w:sz w:val="17"/>
                <w:rtl/>
                <w:rFonts w:cs="Arial"/>
                <w:szCs w:val="17"/>
              </w:rPr>
              <w:t>‫«…مشابهاً للتقارير المرفقة»‬</w:t>
            </w:r>
            <w:r>
              <w:rPr>
                <w:sz w:val="17"/>
              </w:rPr>
              <w:t xml:space="preserve"> and fixed-report purposes (</w:t>
            </w:r>
            <w:r>
              <w:rPr>
                <w:sz w:val="17"/>
                <w:rtl/>
                <w:rFonts w:cs="Arial"/>
                <w:szCs w:val="17"/>
              </w:rPr>
              <w:t>‫«كما في ملحق التقرير الشهري»‬</w:t>
            </w:r>
            <w:r>
              <w:rPr>
                <w:sz w:val="17"/>
              </w:rPr>
              <w:t>) refer to documents the user of the product has not seen.</w:t>
            </w:r>
          </w:p>
        </w:tc>
        <w:tc>
          <w:tcPr>
            <w:tcW w:type="dxa" w:w="4425"/>
          </w:tcPr>
          <w:p>
            <w:pPr>
              <w:spacing w:after="0" w:line="252" w:lineRule="auto"/>
            </w:pPr>
            <w:r>
              <w:rPr>
                <w:sz w:val="17"/>
              </w:rPr>
              <w:t>Verified</w:t>
            </w:r>
          </w:p>
        </w:tc>
      </w:tr>
      <w:tr>
        <w:trPr>
          <w:cantSplit/>
        </w:trPr>
        <w:tc>
          <w:tcPr>
            <w:tcW w:type="dxa" w:w="1250"/>
            <w:shd w:val="clear" w:color="auto" w:fill="F9FAFB"/>
          </w:tcPr>
          <w:p>
            <w:pPr>
              <w:spacing w:after="0" w:line="252" w:lineRule="auto"/>
            </w:pPr>
            <w:r>
              <w:rPr>
                <w:sz w:val="17"/>
              </w:rPr>
              <w:t>F-28</w:t>
            </w:r>
          </w:p>
        </w:tc>
        <w:tc>
          <w:tcPr>
            <w:tcW w:type="dxa" w:w="9349"/>
            <w:shd w:val="clear" w:color="auto" w:fill="F9FAFB"/>
          </w:tcPr>
          <w:p>
            <w:pPr>
              <w:spacing w:after="0" w:line="252" w:lineRule="auto"/>
            </w:pPr>
            <w:r>
              <w:rPr>
                <w:sz w:val="17"/>
              </w:rPr>
              <w:t>≈ 1,750 lines of orphaned modules remain (</w:t>
            </w:r>
            <w:r>
              <w:rPr>
                <w:rFonts w:ascii="Consolas" w:hAnsi="Consolas" w:cs="Consolas"/>
                <w:color w:val="B42318"/>
                <w:sz w:val="16"/>
              </w:rPr>
              <w:t>cfoModel.js</w:t>
            </w:r>
            <w:r>
              <w:rPr>
                <w:sz w:val="17"/>
              </w:rPr>
              <w:t xml:space="preserve">, </w:t>
            </w:r>
            <w:r>
              <w:rPr>
                <w:rFonts w:ascii="Consolas" w:hAnsi="Consolas" w:cs="Consolas"/>
                <w:color w:val="B42318"/>
                <w:sz w:val="16"/>
              </w:rPr>
              <w:t>cfoBoardPackReport.js</w:t>
            </w:r>
            <w:r>
              <w:rPr>
                <w:sz w:val="17"/>
              </w:rPr>
              <w:t xml:space="preserve">, </w:t>
            </w:r>
            <w:r>
              <w:rPr>
                <w:rFonts w:ascii="Consolas" w:hAnsi="Consolas" w:cs="Consolas"/>
                <w:color w:val="B42318"/>
                <w:sz w:val="16"/>
              </w:rPr>
              <w:t>decisionRoomDemoData.js</w:t>
            </w:r>
            <w:r>
              <w:rPr>
                <w:sz w:val="17"/>
              </w:rPr>
              <w:t xml:space="preserve">, </w:t>
            </w:r>
            <w:r>
              <w:rPr>
                <w:rFonts w:ascii="Consolas" w:hAnsi="Consolas" w:cs="Consolas"/>
                <w:color w:val="B42318"/>
                <w:sz w:val="16"/>
              </w:rPr>
              <w:t>CFOControlPanel.jsx</w:t>
            </w:r>
            <w:r>
              <w:rPr>
                <w:sz w:val="17"/>
              </w:rPr>
              <w:t xml:space="preserve">, six chart components, </w:t>
            </w:r>
            <w:r>
              <w:rPr>
                <w:rFonts w:ascii="Consolas" w:hAnsi="Consolas" w:cs="Consolas"/>
                <w:color w:val="B42318"/>
                <w:sz w:val="16"/>
              </w:rPr>
              <w:t>ProvinceMap.jsx</w:t>
            </w:r>
            <w:r>
              <w:rPr>
                <w:sz w:val="17"/>
              </w:rPr>
              <w:t xml:space="preserve">, </w:t>
            </w:r>
            <w:r>
              <w:rPr>
                <w:rFonts w:ascii="Consolas" w:hAnsi="Consolas" w:cs="Consolas"/>
                <w:color w:val="B42318"/>
                <w:sz w:val="16"/>
              </w:rPr>
              <w:t>ksaProvinces.js</w:t>
            </w:r>
            <w:r>
              <w:rPr>
                <w:sz w:val="17"/>
              </w:rPr>
              <w:t xml:space="preserve">, </w:t>
            </w:r>
            <w:r>
              <w:rPr>
                <w:rFonts w:ascii="Consolas" w:hAnsi="Consolas" w:cs="Consolas"/>
                <w:color w:val="B42318"/>
                <w:sz w:val="16"/>
              </w:rPr>
              <w:t>provinceStats.js</w:t>
            </w:r>
            <w:r>
              <w:rPr>
                <w:sz w:val="17"/>
              </w:rPr>
              <w:t xml:space="preserve">, </w:t>
            </w:r>
            <w:r>
              <w:rPr>
                <w:rFonts w:ascii="Consolas" w:hAnsi="Consolas" w:cs="Consolas"/>
                <w:color w:val="B42318"/>
                <w:sz w:val="16"/>
              </w:rPr>
              <w:t>planningData.js</w:t>
            </w:r>
            <w:r>
              <w:rPr>
                <w:sz w:val="17"/>
              </w:rPr>
              <w:t xml:space="preserve">, </w:t>
            </w:r>
            <w:r>
              <w:rPr>
                <w:rFonts w:ascii="Consolas" w:hAnsi="Consolas" w:cs="Consolas"/>
                <w:color w:val="B42318"/>
                <w:sz w:val="16"/>
              </w:rPr>
              <w:t>unpaidReport.js</w:t>
            </w:r>
            <w:r>
              <w:rPr>
                <w:sz w:val="17"/>
              </w:rPr>
              <w:t xml:space="preserve">, </w:t>
            </w:r>
            <w:r>
              <w:rPr>
                <w:rFonts w:ascii="Consolas" w:hAnsi="Consolas" w:cs="Consolas"/>
                <w:color w:val="B42318"/>
                <w:sz w:val="16"/>
              </w:rPr>
              <w:t>AmanahReports.jsx</w:t>
            </w:r>
            <w:r>
              <w:rPr>
                <w:sz w:val="17"/>
              </w:rPr>
              <w:t xml:space="preserve">, </w:t>
            </w:r>
            <w:r>
              <w:rPr>
                <w:rFonts w:ascii="Consolas" w:hAnsi="Consolas" w:cs="Consolas"/>
                <w:color w:val="B42318"/>
                <w:sz w:val="16"/>
              </w:rPr>
              <w:t>Amt.jsx</w:t>
            </w:r>
            <w:r>
              <w:rPr>
                <w:sz w:val="17"/>
              </w:rPr>
              <w:t xml:space="preserve">, </w:t>
            </w:r>
            <w:r>
              <w:rPr>
                <w:rFonts w:ascii="Consolas" w:hAnsi="Consolas" w:cs="Consolas"/>
                <w:color w:val="B42318"/>
                <w:sz w:val="16"/>
              </w:rPr>
              <w:t>DemoDataBadge.jsx</w:t>
            </w:r>
            <w:r>
              <w:rPr>
                <w:sz w:val="17"/>
              </w:rPr>
              <w:t>) plus unused CSS; legacy session state (</w:t>
            </w:r>
            <w:r>
              <w:rPr>
                <w:rFonts w:ascii="Consolas" w:hAnsi="Consolas" w:cs="Consolas"/>
                <w:color w:val="B42318"/>
                <w:sz w:val="16"/>
              </w:rPr>
              <w:t>ib_rev_scenario</w:t>
            </w:r>
            <w:r>
              <w:rPr>
                <w:sz w:val="17"/>
              </w:rPr>
              <w:t xml:space="preserve">, </w:t>
            </w:r>
            <w:r>
              <w:rPr>
                <w:rFonts w:ascii="Consolas" w:hAnsi="Consolas" w:cs="Consolas"/>
                <w:color w:val="B42318"/>
                <w:sz w:val="16"/>
              </w:rPr>
              <w:t>ib_rev_fc_versions</w:t>
            </w:r>
            <w:r>
              <w:rPr>
                <w:sz w:val="17"/>
              </w:rPr>
              <w:t>) is still written. Some orphans hold illustrative ministry-style figures that the "no real data" rule says must not live in the demo. Everything is uncommitted.</w:t>
            </w:r>
          </w:p>
        </w:tc>
        <w:tc>
          <w:tcPr>
            <w:tcW w:type="dxa" w:w="4425"/>
            <w:shd w:val="clear" w:color="auto" w:fill="F9FAFB"/>
          </w:tcPr>
          <w:p>
            <w:pPr>
              <w:spacing w:after="0" w:line="252" w:lineRule="auto"/>
            </w:pPr>
            <w:r>
              <w:rPr>
                <w:sz w:val="17"/>
              </w:rPr>
              <w:t>Verified (bundle metafile)</w:t>
            </w:r>
          </w:p>
        </w:tc>
      </w:tr>
      <w:tr>
        <w:trPr>
          <w:cantSplit/>
        </w:trPr>
        <w:tc>
          <w:tcPr>
            <w:tcW w:type="dxa" w:w="1250"/>
          </w:tcPr>
          <w:p>
            <w:pPr>
              <w:spacing w:after="0" w:line="252" w:lineRule="auto"/>
            </w:pPr>
            <w:r>
              <w:rPr>
                <w:sz w:val="17"/>
              </w:rPr>
              <w:t>F-29</w:t>
            </w:r>
          </w:p>
        </w:tc>
        <w:tc>
          <w:tcPr>
            <w:tcW w:type="dxa" w:w="9349"/>
          </w:tcPr>
          <w:p>
            <w:pPr>
              <w:spacing w:after="0" w:line="252" w:lineRule="auto"/>
            </w:pPr>
            <w:r>
              <w:rPr>
                <w:sz w:val="17"/>
              </w:rPr>
              <w:t xml:space="preserve">Planning section anchors: after clicking </w:t>
            </w:r>
            <w:r>
              <w:rPr>
                <w:sz w:val="17"/>
                <w:rtl/>
                <w:rFonts w:cs="Arial"/>
                <w:szCs w:val="17"/>
              </w:rPr>
              <w:t>‫«السيناريوهات»‬</w:t>
            </w:r>
            <w:r>
              <w:rPr>
                <w:sz w:val="17"/>
              </w:rPr>
              <w:t xml:space="preserve"> the section top is 54 px while the sticky header ends at 123 px — the heading is hidden under it (DOM measurement; not seen visually).</w:t>
            </w:r>
          </w:p>
        </w:tc>
        <w:tc>
          <w:tcPr>
            <w:tcW w:type="dxa" w:w="4425"/>
          </w:tcPr>
          <w:p>
            <w:pPr>
              <w:spacing w:after="0" w:line="252" w:lineRule="auto"/>
            </w:pPr>
            <w:r>
              <w:rPr>
                <w:sz w:val="17"/>
              </w:rPr>
              <w:t>Verified (DOM)</w:t>
            </w:r>
          </w:p>
        </w:tc>
      </w:tr>
      <w:tr>
        <w:trPr>
          <w:cantSplit/>
        </w:trPr>
        <w:tc>
          <w:tcPr>
            <w:tcW w:type="dxa" w:w="1250"/>
            <w:shd w:val="clear" w:color="auto" w:fill="F9FAFB"/>
          </w:tcPr>
          <w:p>
            <w:pPr>
              <w:spacing w:after="0" w:line="252" w:lineRule="auto"/>
            </w:pPr>
            <w:r>
              <w:rPr>
                <w:sz w:val="17"/>
              </w:rPr>
              <w:t>F-30</w:t>
            </w:r>
          </w:p>
        </w:tc>
        <w:tc>
          <w:tcPr>
            <w:tcW w:type="dxa" w:w="9349"/>
            <w:shd w:val="clear" w:color="auto" w:fill="F9FAFB"/>
          </w:tcPr>
          <w:p>
            <w:pPr>
              <w:spacing w:after="0" w:line="252" w:lineRule="auto"/>
            </w:pPr>
            <w:r>
              <w:rPr>
                <w:rFonts w:ascii="Consolas" w:hAnsi="Consolas" w:cs="Consolas"/>
                <w:color w:val="B42318"/>
                <w:sz w:val="16"/>
              </w:rPr>
              <w:t>window.prompt</w:t>
            </w:r>
            <w:r>
              <w:rPr>
                <w:sz w:val="17"/>
              </w:rPr>
              <w:t xml:space="preserve"> is used to name a plan and to give a rejection reason (</w:t>
            </w:r>
            <w:r>
              <w:rPr>
                <w:rFonts w:ascii="Consolas" w:hAnsi="Consolas" w:cs="Consolas"/>
                <w:color w:val="B42318"/>
                <w:sz w:val="16"/>
              </w:rPr>
              <w:t>PlanBar.jsx:14</w:t>
            </w:r>
            <w:r>
              <w:rPr>
                <w:sz w:val="17"/>
              </w:rPr>
              <w:t xml:space="preserve">, </w:t>
            </w:r>
            <w:r>
              <w:rPr>
                <w:rFonts w:ascii="Consolas" w:hAnsi="Consolas" w:cs="Consolas"/>
                <w:color w:val="B42318"/>
                <w:sz w:val="16"/>
              </w:rPr>
              <w:t>ActionRegister.jsx:38</w:t>
            </w:r>
            <w:r>
              <w:rPr>
                <w:sz w:val="17"/>
              </w:rPr>
              <w:t>): blocking, not styled, unsuitable for RTL, and may be suppressed in embedded browsers.</w:t>
            </w:r>
          </w:p>
        </w:tc>
        <w:tc>
          <w:tcPr>
            <w:tcW w:type="dxa" w:w="4425"/>
            <w:shd w:val="clear" w:color="auto" w:fill="F9FAFB"/>
          </w:tcPr>
          <w:p>
            <w:pPr>
              <w:spacing w:after="0" w:line="252" w:lineRule="auto"/>
            </w:pPr>
            <w:r>
              <w:rPr>
                <w:sz w:val="17"/>
              </w:rPr>
              <w:t>Verified (code); Not tested (native dialog)</w:t>
            </w:r>
          </w:p>
        </w:tc>
      </w:tr>
      <w:tr>
        <w:trPr>
          <w:cantSplit/>
        </w:trPr>
        <w:tc>
          <w:tcPr>
            <w:tcW w:type="dxa" w:w="1250"/>
          </w:tcPr>
          <w:p>
            <w:pPr>
              <w:spacing w:after="0" w:line="252" w:lineRule="auto"/>
            </w:pPr>
            <w:r>
              <w:rPr>
                <w:sz w:val="17"/>
              </w:rPr>
              <w:t>F-31</w:t>
            </w:r>
          </w:p>
        </w:tc>
        <w:tc>
          <w:tcPr>
            <w:tcW w:type="dxa" w:w="9349"/>
          </w:tcPr>
          <w:p>
            <w:pPr>
              <w:spacing w:after="0" w:line="252" w:lineRule="auto"/>
            </w:pPr>
            <w:r>
              <w:rPr>
                <w:sz w:val="17"/>
              </w:rPr>
              <w:t xml:space="preserve">The login page sits behind the data-service loader (provider order in </w:t>
            </w:r>
            <w:r>
              <w:rPr>
                <w:rFonts w:ascii="Consolas" w:hAnsi="Consolas" w:cs="Consolas"/>
                <w:color w:val="B42318"/>
                <w:sz w:val="16"/>
              </w:rPr>
              <w:t>src/main.jsx</w:t>
            </w:r>
            <w:r>
              <w:rPr>
                <w:sz w:val="17"/>
              </w:rPr>
              <w:t>), so a data-service outage blocks sign-in. Tab title/branding see F-18.</w:t>
            </w:r>
          </w:p>
        </w:tc>
        <w:tc>
          <w:tcPr>
            <w:tcW w:type="dxa" w:w="4425"/>
          </w:tcPr>
          <w:p>
            <w:pPr>
              <w:spacing w:after="0" w:line="252" w:lineRule="auto"/>
            </w:pPr>
            <w:r>
              <w:rPr>
                <w:sz w:val="17"/>
              </w:rPr>
              <w:t>Verified (code)</w:t>
            </w:r>
          </w:p>
        </w:tc>
      </w:tr>
    </w:tbl>
    <w:p>
      <w:pPr>
        <w:spacing w:after="40"/>
      </w:pPr>
    </w:p>
    <w:p>
      <w:pPr>
        <w:pStyle w:val="Heading2"/>
      </w:pPr>
      <w:r>
        <w:t>4. Duplication and financial/reporting consistency assessment</w:t>
      </w:r>
    </w:p>
    <w:p>
      <w:pPr>
        <w:pStyle w:val="Heading3"/>
      </w:pPr>
      <w:r>
        <w:t>4.1 Indicator matrix (same scope: YTD, all Amanahs, 2026-10-09)</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579"/>
        <w:gridCol w:w="1700"/>
        <w:gridCol w:w="3706"/>
        <w:gridCol w:w="1252"/>
        <w:gridCol w:w="1252"/>
        <w:gridCol w:w="4534"/>
      </w:tblGrid>
      <w:tr>
        <w:trPr>
          <w:tblHeader w:val="true"/>
          <w:cantSplit/>
        </w:trPr>
        <w:tc>
          <w:tcPr>
            <w:tcW w:type="dxa" w:w="2579"/>
            <w:shd w:val="clear" w:color="auto" w:fill="1B8354"/>
          </w:tcPr>
          <w:p>
            <w:pPr>
              <w:spacing w:after="0" w:line="252" w:lineRule="auto"/>
            </w:pPr>
            <w:r>
              <w:rPr>
                <w:b/>
                <w:color w:val="FFFFFF"/>
                <w:sz w:val="16"/>
              </w:rPr>
              <w:t>Measure</w:t>
            </w:r>
          </w:p>
        </w:tc>
        <w:tc>
          <w:tcPr>
            <w:tcW w:type="dxa" w:w="1700"/>
            <w:shd w:val="clear" w:color="auto" w:fill="1B8354"/>
          </w:tcPr>
          <w:p>
            <w:pPr>
              <w:spacing w:after="0" w:line="252" w:lineRule="auto"/>
            </w:pPr>
            <w:r>
              <w:rPr>
                <w:b/>
                <w:color w:val="FFFFFF"/>
                <w:sz w:val="16"/>
              </w:rPr>
              <w:t>Dashboard</w:t>
            </w:r>
          </w:p>
        </w:tc>
        <w:tc>
          <w:tcPr>
            <w:tcW w:type="dxa" w:w="3706"/>
            <w:shd w:val="clear" w:color="auto" w:fill="1B8354"/>
          </w:tcPr>
          <w:p>
            <w:pPr>
              <w:spacing w:after="0" w:line="252" w:lineRule="auto"/>
            </w:pPr>
            <w:r>
              <w:rPr>
                <w:b/>
                <w:color w:val="FFFFFF"/>
                <w:sz w:val="16"/>
              </w:rPr>
              <w:t>Fixed (monthly)</w:t>
            </w:r>
          </w:p>
        </w:tc>
        <w:tc>
          <w:tcPr>
            <w:tcW w:type="dxa" w:w="1252"/>
            <w:shd w:val="clear" w:color="auto" w:fill="1B8354"/>
          </w:tcPr>
          <w:p>
            <w:pPr>
              <w:spacing w:after="0" w:line="252" w:lineRule="auto"/>
            </w:pPr>
            <w:r>
              <w:rPr>
                <w:b/>
                <w:color w:val="FFFFFF"/>
                <w:sz w:val="16"/>
              </w:rPr>
              <w:t>Smart</w:t>
            </w:r>
          </w:p>
        </w:tc>
        <w:tc>
          <w:tcPr>
            <w:tcW w:type="dxa" w:w="1252"/>
            <w:shd w:val="clear" w:color="auto" w:fill="1B8354"/>
          </w:tcPr>
          <w:p>
            <w:pPr>
              <w:spacing w:after="0" w:line="252" w:lineRule="auto"/>
            </w:pPr>
            <w:r>
              <w:rPr>
                <w:b/>
                <w:color w:val="FFFFFF"/>
                <w:sz w:val="16"/>
              </w:rPr>
              <w:t>Planning</w:t>
            </w:r>
          </w:p>
        </w:tc>
        <w:tc>
          <w:tcPr>
            <w:tcW w:type="dxa" w:w="4534"/>
            <w:shd w:val="clear" w:color="auto" w:fill="1B8354"/>
          </w:tcPr>
          <w:p>
            <w:pPr>
              <w:spacing w:after="0" w:line="252" w:lineRule="auto"/>
            </w:pPr>
            <w:r>
              <w:rPr>
                <w:b/>
                <w:color w:val="FFFFFF"/>
                <w:sz w:val="16"/>
              </w:rPr>
              <w:t>Consistent?</w:t>
            </w:r>
          </w:p>
        </w:tc>
      </w:tr>
      <w:tr>
        <w:trPr>
          <w:cantSplit/>
        </w:trPr>
        <w:tc>
          <w:tcPr>
            <w:tcW w:type="dxa" w:w="2579"/>
          </w:tcPr>
          <w:p>
            <w:pPr>
              <w:spacing w:after="0" w:line="252" w:lineRule="auto"/>
            </w:pPr>
            <w:r>
              <w:rPr>
                <w:sz w:val="16"/>
              </w:rPr>
              <w:t>Gross billed</w:t>
            </w:r>
          </w:p>
        </w:tc>
        <w:tc>
          <w:tcPr>
            <w:tcW w:type="dxa" w:w="1700"/>
          </w:tcPr>
          <w:p>
            <w:pPr>
              <w:spacing w:after="0" w:line="252" w:lineRule="auto"/>
            </w:pPr>
            <w:r>
              <w:rPr>
                <w:sz w:val="16"/>
              </w:rPr>
              <w:t>14.92 bn</w:t>
            </w:r>
          </w:p>
        </w:tc>
        <w:tc>
          <w:tcPr>
            <w:tcW w:type="dxa" w:w="3706"/>
          </w:tcPr>
          <w:p>
            <w:pPr>
              <w:spacing w:after="0" w:line="252" w:lineRule="auto"/>
            </w:pPr>
            <w:r>
              <w:rPr>
                <w:sz w:val="16"/>
              </w:rPr>
              <w:t>14.92 bn</w:t>
            </w:r>
          </w:p>
        </w:tc>
        <w:tc>
          <w:tcPr>
            <w:tcW w:type="dxa" w:w="1252"/>
          </w:tcPr>
          <w:p>
            <w:pPr>
              <w:spacing w:after="0" w:line="252" w:lineRule="auto"/>
            </w:pPr>
            <w:r>
              <w:rPr>
                <w:sz w:val="16"/>
              </w:rPr>
              <w:t>14.92 bn</w:t>
            </w:r>
          </w:p>
        </w:tc>
        <w:tc>
          <w:tcPr>
            <w:tcW w:type="dxa" w:w="1252"/>
          </w:tcPr>
          <w:p>
            <w:pPr>
              <w:spacing w:after="0" w:line="252" w:lineRule="auto"/>
            </w:pPr>
            <w:r>
              <w:rPr>
                <w:sz w:val="16"/>
              </w:rPr>
              <w:t>–</w:t>
            </w:r>
          </w:p>
        </w:tc>
        <w:tc>
          <w:tcPr>
            <w:tcW w:type="dxa" w:w="4534"/>
          </w:tcPr>
          <w:p>
            <w:pPr>
              <w:spacing w:after="0" w:line="252" w:lineRule="auto"/>
            </w:pPr>
            <w:r>
              <w:rPr>
                <w:sz w:val="16"/>
              </w:rPr>
              <w:t>✔</w:t>
            </w:r>
          </w:p>
        </w:tc>
      </w:tr>
      <w:tr>
        <w:trPr>
          <w:cantSplit/>
        </w:trPr>
        <w:tc>
          <w:tcPr>
            <w:tcW w:type="dxa" w:w="2579"/>
            <w:shd w:val="clear" w:color="auto" w:fill="F9FAFB"/>
          </w:tcPr>
          <w:p>
            <w:pPr>
              <w:spacing w:after="0" w:line="252" w:lineRule="auto"/>
            </w:pPr>
            <w:r>
              <w:rPr>
                <w:sz w:val="16"/>
              </w:rPr>
              <w:t>Exclusions / rate</w:t>
            </w:r>
          </w:p>
        </w:tc>
        <w:tc>
          <w:tcPr>
            <w:tcW w:type="dxa" w:w="1700"/>
            <w:shd w:val="clear" w:color="auto" w:fill="F9FAFB"/>
          </w:tcPr>
          <w:p>
            <w:pPr>
              <w:spacing w:after="0" w:line="252" w:lineRule="auto"/>
            </w:pPr>
            <w:r>
              <w:rPr>
                <w:sz w:val="16"/>
              </w:rPr>
              <w:t>1.36 bn · 9.1 %</w:t>
            </w:r>
          </w:p>
        </w:tc>
        <w:tc>
          <w:tcPr>
            <w:tcW w:type="dxa" w:w="3706"/>
            <w:shd w:val="clear" w:color="auto" w:fill="F9FAFB"/>
          </w:tcPr>
          <w:p>
            <w:pPr>
              <w:spacing w:after="0" w:line="252" w:lineRule="auto"/>
            </w:pPr>
            <w:r>
              <w:rPr>
                <w:sz w:val="16"/>
              </w:rPr>
              <w:t>1.36 bn · 9.1 % (but "unavailable" in relations block)</w:t>
            </w:r>
          </w:p>
        </w:tc>
        <w:tc>
          <w:tcPr>
            <w:tcW w:type="dxa" w:w="1252"/>
            <w:shd w:val="clear" w:color="auto" w:fill="F9FAFB"/>
          </w:tcPr>
          <w:p>
            <w:pPr>
              <w:spacing w:after="0" w:line="252" w:lineRule="auto"/>
            </w:pPr>
            <w:r>
              <w:rPr>
                <w:sz w:val="16"/>
              </w:rPr>
              <w:t>same</w:t>
            </w:r>
          </w:p>
        </w:tc>
        <w:tc>
          <w:tcPr>
            <w:tcW w:type="dxa" w:w="1252"/>
            <w:shd w:val="clear" w:color="auto" w:fill="F9FAFB"/>
          </w:tcPr>
          <w:p>
            <w:pPr>
              <w:spacing w:after="0" w:line="252" w:lineRule="auto"/>
            </w:pPr>
            <w:r>
              <w:rPr>
                <w:sz w:val="16"/>
              </w:rPr>
              <w:t>–</w:t>
            </w:r>
          </w:p>
        </w:tc>
        <w:tc>
          <w:tcPr>
            <w:tcW w:type="dxa" w:w="4534"/>
            <w:shd w:val="clear" w:color="auto" w:fill="F9FAFB"/>
          </w:tcPr>
          <w:p>
            <w:pPr>
              <w:spacing w:after="0" w:line="252" w:lineRule="auto"/>
            </w:pPr>
            <w:r>
              <w:rPr>
                <w:sz w:val="16"/>
              </w:rPr>
              <w:t>⚠ F-02</w:t>
            </w:r>
          </w:p>
        </w:tc>
      </w:tr>
      <w:tr>
        <w:trPr>
          <w:cantSplit/>
        </w:trPr>
        <w:tc>
          <w:tcPr>
            <w:tcW w:type="dxa" w:w="2579"/>
          </w:tcPr>
          <w:p>
            <w:pPr>
              <w:spacing w:after="0" w:line="252" w:lineRule="auto"/>
            </w:pPr>
            <w:r>
              <w:rPr>
                <w:sz w:val="16"/>
              </w:rPr>
              <w:t>Net billed</w:t>
            </w:r>
          </w:p>
        </w:tc>
        <w:tc>
          <w:tcPr>
            <w:tcW w:type="dxa" w:w="1700"/>
          </w:tcPr>
          <w:p>
            <w:pPr>
              <w:spacing w:after="0" w:line="252" w:lineRule="auto"/>
            </w:pPr>
            <w:r>
              <w:rPr>
                <w:sz w:val="16"/>
              </w:rPr>
              <w:t>13.56 bn</w:t>
            </w:r>
          </w:p>
        </w:tc>
        <w:tc>
          <w:tcPr>
            <w:tcW w:type="dxa" w:w="3706"/>
          </w:tcPr>
          <w:p>
            <w:pPr>
              <w:spacing w:after="0" w:line="252" w:lineRule="auto"/>
            </w:pPr>
            <w:r>
              <w:rPr>
                <w:sz w:val="16"/>
              </w:rPr>
              <w:t>13.56 bn</w:t>
            </w:r>
          </w:p>
        </w:tc>
        <w:tc>
          <w:tcPr>
            <w:tcW w:type="dxa" w:w="1252"/>
          </w:tcPr>
          <w:p>
            <w:pPr>
              <w:spacing w:after="0" w:line="252" w:lineRule="auto"/>
            </w:pPr>
            <w:r>
              <w:rPr>
                <w:sz w:val="16"/>
              </w:rPr>
              <w:t>13.56 bn</w:t>
            </w:r>
          </w:p>
        </w:tc>
        <w:tc>
          <w:tcPr>
            <w:tcW w:type="dxa" w:w="1252"/>
          </w:tcPr>
          <w:p>
            <w:pPr>
              <w:spacing w:after="0" w:line="252" w:lineRule="auto"/>
            </w:pPr>
            <w:r>
              <w:rPr>
                <w:sz w:val="16"/>
              </w:rPr>
              <w:t>13.56 bn</w:t>
            </w:r>
          </w:p>
        </w:tc>
        <w:tc>
          <w:tcPr>
            <w:tcW w:type="dxa" w:w="4534"/>
          </w:tcPr>
          <w:p>
            <w:pPr>
              <w:spacing w:after="0" w:line="252" w:lineRule="auto"/>
            </w:pPr>
            <w:r>
              <w:rPr>
                <w:sz w:val="16"/>
              </w:rPr>
              <w:t>✔</w:t>
            </w:r>
          </w:p>
        </w:tc>
      </w:tr>
      <w:tr>
        <w:trPr>
          <w:cantSplit/>
        </w:trPr>
        <w:tc>
          <w:tcPr>
            <w:tcW w:type="dxa" w:w="2579"/>
            <w:shd w:val="clear" w:color="auto" w:fill="F9FAFB"/>
          </w:tcPr>
          <w:p>
            <w:pPr>
              <w:spacing w:after="0" w:line="252" w:lineRule="auto"/>
            </w:pPr>
            <w:r>
              <w:rPr>
                <w:sz w:val="16"/>
              </w:rPr>
              <w:t>Collected / rate</w:t>
            </w:r>
          </w:p>
        </w:tc>
        <w:tc>
          <w:tcPr>
            <w:tcW w:type="dxa" w:w="1700"/>
            <w:shd w:val="clear" w:color="auto" w:fill="F9FAFB"/>
          </w:tcPr>
          <w:p>
            <w:pPr>
              <w:spacing w:after="0" w:line="252" w:lineRule="auto"/>
            </w:pPr>
            <w:r>
              <w:rPr>
                <w:sz w:val="16"/>
              </w:rPr>
              <w:t>7.83 bn · 57.8 %</w:t>
            </w:r>
          </w:p>
        </w:tc>
        <w:tc>
          <w:tcPr>
            <w:tcW w:type="dxa" w:w="3706"/>
            <w:shd w:val="clear" w:color="auto" w:fill="F9FAFB"/>
          </w:tcPr>
          <w:p>
            <w:pPr>
              <w:spacing w:after="0" w:line="252" w:lineRule="auto"/>
            </w:pPr>
            <w:r>
              <w:rPr>
                <w:sz w:val="16"/>
              </w:rPr>
              <w:t>same</w:t>
            </w:r>
          </w:p>
        </w:tc>
        <w:tc>
          <w:tcPr>
            <w:tcW w:type="dxa" w:w="1252"/>
            <w:shd w:val="clear" w:color="auto" w:fill="F9FAFB"/>
          </w:tcPr>
          <w:p>
            <w:pPr>
              <w:spacing w:after="0" w:line="252" w:lineRule="auto"/>
            </w:pPr>
            <w:r>
              <w:rPr>
                <w:sz w:val="16"/>
              </w:rPr>
              <w:t>same</w:t>
            </w:r>
          </w:p>
        </w:tc>
        <w:tc>
          <w:tcPr>
            <w:tcW w:type="dxa" w:w="1252"/>
            <w:shd w:val="clear" w:color="auto" w:fill="F9FAFB"/>
          </w:tcPr>
          <w:p>
            <w:pPr>
              <w:spacing w:after="0" w:line="252" w:lineRule="auto"/>
            </w:pPr>
            <w:r>
              <w:rPr>
                <w:sz w:val="16"/>
              </w:rPr>
              <w:t>same</w:t>
            </w:r>
          </w:p>
        </w:tc>
        <w:tc>
          <w:tcPr>
            <w:tcW w:type="dxa" w:w="4534"/>
            <w:shd w:val="clear" w:color="auto" w:fill="F9FAFB"/>
          </w:tcPr>
          <w:p>
            <w:pPr>
              <w:spacing w:after="0" w:line="252" w:lineRule="auto"/>
            </w:pPr>
            <w:r>
              <w:rPr>
                <w:sz w:val="16"/>
              </w:rPr>
              <w:t>✔ for an open period; ✖ for a closed period (F-01)</w:t>
            </w:r>
          </w:p>
        </w:tc>
      </w:tr>
      <w:tr>
        <w:trPr>
          <w:cantSplit/>
        </w:trPr>
        <w:tc>
          <w:tcPr>
            <w:tcW w:type="dxa" w:w="2579"/>
          </w:tcPr>
          <w:p>
            <w:pPr>
              <w:spacing w:after="0" w:line="252" w:lineRule="auto"/>
            </w:pPr>
            <w:r>
              <w:rPr>
                <w:sz w:val="16"/>
              </w:rPr>
              <w:t>Uncollected (period)</w:t>
            </w:r>
          </w:p>
        </w:tc>
        <w:tc>
          <w:tcPr>
            <w:tcW w:type="dxa" w:w="1700"/>
          </w:tcPr>
          <w:p>
            <w:pPr>
              <w:spacing w:after="0" w:line="252" w:lineRule="auto"/>
            </w:pPr>
            <w:r>
              <w:rPr>
                <w:sz w:val="16"/>
              </w:rPr>
              <w:t>5.72 bn</w:t>
            </w:r>
          </w:p>
        </w:tc>
        <w:tc>
          <w:tcPr>
            <w:tcW w:type="dxa" w:w="3706"/>
          </w:tcPr>
          <w:p>
            <w:pPr>
              <w:spacing w:after="0" w:line="252" w:lineRule="auto"/>
            </w:pPr>
            <w:r>
              <w:rPr>
                <w:sz w:val="16"/>
              </w:rPr>
              <w:t>5.72 bn</w:t>
            </w:r>
          </w:p>
        </w:tc>
        <w:tc>
          <w:tcPr>
            <w:tcW w:type="dxa" w:w="1252"/>
          </w:tcPr>
          <w:p>
            <w:pPr>
              <w:spacing w:after="0" w:line="252" w:lineRule="auto"/>
            </w:pPr>
            <w:r>
              <w:rPr>
                <w:sz w:val="16"/>
              </w:rPr>
              <w:t>5.72 bn</w:t>
            </w:r>
          </w:p>
        </w:tc>
        <w:tc>
          <w:tcPr>
            <w:tcW w:type="dxa" w:w="1252"/>
          </w:tcPr>
          <w:p>
            <w:pPr>
              <w:spacing w:after="0" w:line="252" w:lineRule="auto"/>
            </w:pPr>
            <w:r>
              <w:rPr>
                <w:sz w:val="16"/>
              </w:rPr>
              <w:t>5.72 bn</w:t>
            </w:r>
          </w:p>
        </w:tc>
        <w:tc>
          <w:tcPr>
            <w:tcW w:type="dxa" w:w="4534"/>
          </w:tcPr>
          <w:p>
            <w:pPr>
              <w:spacing w:after="0" w:line="252" w:lineRule="auto"/>
            </w:pPr>
            <w:r>
              <w:rPr>
                <w:sz w:val="16"/>
              </w:rPr>
              <w:t>✔</w:t>
            </w:r>
          </w:p>
        </w:tc>
      </w:tr>
      <w:tr>
        <w:trPr>
          <w:cantSplit/>
        </w:trPr>
        <w:tc>
          <w:tcPr>
            <w:tcW w:type="dxa" w:w="2579"/>
            <w:shd w:val="clear" w:color="auto" w:fill="F9FAFB"/>
          </w:tcPr>
          <w:p>
            <w:pPr>
              <w:spacing w:after="0" w:line="252" w:lineRule="auto"/>
            </w:pPr>
            <w:r>
              <w:rPr>
                <w:sz w:val="16"/>
              </w:rPr>
              <w:t>Standing balance</w:t>
            </w:r>
          </w:p>
        </w:tc>
        <w:tc>
          <w:tcPr>
            <w:tcW w:type="dxa" w:w="1700"/>
            <w:shd w:val="clear" w:color="auto" w:fill="F9FAFB"/>
          </w:tcPr>
          <w:p>
            <w:pPr>
              <w:spacing w:after="0" w:line="252" w:lineRule="auto"/>
            </w:pPr>
            <w:r>
              <w:rPr>
                <w:sz w:val="16"/>
              </w:rPr>
              <w:t>13.39 bn / 252 inv.</w:t>
            </w:r>
          </w:p>
        </w:tc>
        <w:tc>
          <w:tcPr>
            <w:tcW w:type="dxa" w:w="3706"/>
            <w:shd w:val="clear" w:color="auto" w:fill="F9FAFB"/>
          </w:tcPr>
          <w:p>
            <w:pPr>
              <w:spacing w:after="0" w:line="252" w:lineRule="auto"/>
            </w:pPr>
            <w:r>
              <w:rPr>
                <w:sz w:val="16"/>
              </w:rPr>
              <w:t>in aging/insights</w:t>
            </w:r>
          </w:p>
        </w:tc>
        <w:tc>
          <w:tcPr>
            <w:tcW w:type="dxa" w:w="1252"/>
            <w:shd w:val="clear" w:color="auto" w:fill="F9FAFB"/>
          </w:tcPr>
          <w:p>
            <w:pPr>
              <w:spacing w:after="0" w:line="252" w:lineRule="auto"/>
            </w:pPr>
            <w:r>
              <w:rPr>
                <w:sz w:val="16"/>
              </w:rPr>
              <w:t>in insights</w:t>
            </w:r>
          </w:p>
        </w:tc>
        <w:tc>
          <w:tcPr>
            <w:tcW w:type="dxa" w:w="1252"/>
            <w:shd w:val="clear" w:color="auto" w:fill="F9FAFB"/>
          </w:tcPr>
          <w:p>
            <w:pPr>
              <w:spacing w:after="0" w:line="252" w:lineRule="auto"/>
            </w:pPr>
            <w:r>
              <w:rPr>
                <w:sz w:val="16"/>
              </w:rPr>
              <w:t>–</w:t>
            </w:r>
          </w:p>
        </w:tc>
        <w:tc>
          <w:tcPr>
            <w:tcW w:type="dxa" w:w="4534"/>
            <w:shd w:val="clear" w:color="auto" w:fill="F9FAFB"/>
          </w:tcPr>
          <w:p>
            <w:pPr>
              <w:spacing w:after="0" w:line="252" w:lineRule="auto"/>
            </w:pPr>
            <w:r>
              <w:rPr>
                <w:sz w:val="16"/>
              </w:rPr>
              <w:t>✔ but two "uncollected" numbers on one screen are easy to confuse</w:t>
            </w:r>
          </w:p>
        </w:tc>
      </w:tr>
      <w:tr>
        <w:trPr>
          <w:cantSplit/>
        </w:trPr>
        <w:tc>
          <w:tcPr>
            <w:tcW w:type="dxa" w:w="2579"/>
          </w:tcPr>
          <w:p>
            <w:pPr>
              <w:spacing w:after="0" w:line="252" w:lineRule="auto"/>
            </w:pPr>
            <w:r>
              <w:rPr>
                <w:sz w:val="16"/>
              </w:rPr>
              <w:t>Receipts YTD (payment date)</w:t>
            </w:r>
          </w:p>
        </w:tc>
        <w:tc>
          <w:tcPr>
            <w:tcW w:type="dxa" w:w="1700"/>
          </w:tcPr>
          <w:p>
            <w:pPr>
              <w:spacing w:after="0" w:line="252" w:lineRule="auto"/>
            </w:pPr>
            <w:r>
              <w:rPr>
                <w:sz w:val="16"/>
              </w:rPr>
              <w:t>–</w:t>
            </w:r>
          </w:p>
        </w:tc>
        <w:tc>
          <w:tcPr>
            <w:tcW w:type="dxa" w:w="3706"/>
          </w:tcPr>
          <w:p>
            <w:pPr>
              <w:spacing w:after="0" w:line="252" w:lineRule="auto"/>
            </w:pPr>
            <w:r>
              <w:rPr>
                <w:sz w:val="16"/>
              </w:rPr>
              <w:t>in Trends</w:t>
            </w:r>
          </w:p>
        </w:tc>
        <w:tc>
          <w:tcPr>
            <w:tcW w:type="dxa" w:w="1252"/>
          </w:tcPr>
          <w:p>
            <w:pPr>
              <w:spacing w:after="0" w:line="252" w:lineRule="auto"/>
            </w:pPr>
            <w:r>
              <w:rPr>
                <w:sz w:val="16"/>
              </w:rPr>
              <w:t>–</w:t>
            </w:r>
          </w:p>
        </w:tc>
        <w:tc>
          <w:tcPr>
            <w:tcW w:type="dxa" w:w="1252"/>
          </w:tcPr>
          <w:p>
            <w:pPr>
              <w:spacing w:after="0" w:line="252" w:lineRule="auto"/>
            </w:pPr>
            <w:r>
              <w:rPr>
                <w:sz w:val="16"/>
              </w:rPr>
              <w:t>8.41 bn</w:t>
            </w:r>
          </w:p>
        </w:tc>
        <w:tc>
          <w:tcPr>
            <w:tcW w:type="dxa" w:w="4534"/>
          </w:tcPr>
          <w:p>
            <w:pPr>
              <w:spacing w:after="0" w:line="252" w:lineRule="auto"/>
            </w:pPr>
            <w:r>
              <w:rPr>
                <w:sz w:val="16"/>
              </w:rPr>
              <w:t>⚠ F-23</w:t>
            </w:r>
          </w:p>
        </w:tc>
      </w:tr>
      <w:tr>
        <w:trPr>
          <w:cantSplit/>
        </w:trPr>
        <w:tc>
          <w:tcPr>
            <w:tcW w:type="dxa" w:w="2579"/>
            <w:shd w:val="clear" w:color="auto" w:fill="F9FAFB"/>
          </w:tcPr>
          <w:p>
            <w:pPr>
              <w:spacing w:after="0" w:line="252" w:lineRule="auto"/>
            </w:pPr>
            <w:r>
              <w:rPr>
                <w:sz w:val="16"/>
              </w:rPr>
              <w:t>Delta vs last year</w:t>
            </w:r>
          </w:p>
        </w:tc>
        <w:tc>
          <w:tcPr>
            <w:tcW w:type="dxa" w:w="1700"/>
            <w:shd w:val="clear" w:color="auto" w:fill="F9FAFB"/>
          </w:tcPr>
          <w:p>
            <w:pPr>
              <w:spacing w:after="0" w:line="252" w:lineRule="auto"/>
            </w:pPr>
            <w:r>
              <w:rPr>
                <w:sz w:val="16"/>
              </w:rPr>
              <w:t>tile ▲▼</w:t>
            </w:r>
          </w:p>
        </w:tc>
        <w:tc>
          <w:tcPr>
            <w:tcW w:type="dxa" w:w="3706"/>
            <w:shd w:val="clear" w:color="auto" w:fill="F9FAFB"/>
          </w:tcPr>
          <w:p>
            <w:pPr>
              <w:spacing w:after="0" w:line="252" w:lineRule="auto"/>
            </w:pPr>
            <w:r>
              <w:rPr>
                <w:sz w:val="16"/>
              </w:rPr>
              <w:t>table</w:t>
            </w:r>
          </w:p>
        </w:tc>
        <w:tc>
          <w:tcPr>
            <w:tcW w:type="dxa" w:w="1252"/>
            <w:shd w:val="clear" w:color="auto" w:fill="F9FAFB"/>
          </w:tcPr>
          <w:p>
            <w:pPr>
              <w:spacing w:after="0" w:line="252" w:lineRule="auto"/>
            </w:pPr>
            <w:r>
              <w:rPr>
                <w:sz w:val="16"/>
              </w:rPr>
              <w:t>chip</w:t>
            </w:r>
          </w:p>
        </w:tc>
        <w:tc>
          <w:tcPr>
            <w:tcW w:type="dxa" w:w="1252"/>
            <w:shd w:val="clear" w:color="auto" w:fill="F9FAFB"/>
          </w:tcPr>
          <w:p>
            <w:pPr>
              <w:spacing w:after="0" w:line="252" w:lineRule="auto"/>
            </w:pPr>
            <w:r>
              <w:rPr>
                <w:sz w:val="16"/>
              </w:rPr>
              <w:t>–</w:t>
            </w:r>
          </w:p>
        </w:tc>
        <w:tc>
          <w:tcPr>
            <w:tcW w:type="dxa" w:w="4534"/>
            <w:shd w:val="clear" w:color="auto" w:fill="F9FAFB"/>
          </w:tcPr>
          <w:p>
            <w:pPr>
              <w:spacing w:after="0" w:line="252" w:lineRule="auto"/>
            </w:pPr>
            <w:r>
              <w:rPr>
                <w:sz w:val="16"/>
              </w:rPr>
              <w:t>✖ closed periods</w:t>
            </w:r>
          </w:p>
        </w:tc>
      </w:tr>
      <w:tr>
        <w:trPr>
          <w:cantSplit/>
        </w:trPr>
        <w:tc>
          <w:tcPr>
            <w:tcW w:type="dxa" w:w="2579"/>
          </w:tcPr>
          <w:p>
            <w:pPr>
              <w:spacing w:after="0" w:line="252" w:lineRule="auto"/>
            </w:pPr>
            <w:r>
              <w:rPr>
                <w:sz w:val="16"/>
              </w:rPr>
              <w:t>Budget execution / coverage</w:t>
            </w:r>
          </w:p>
        </w:tc>
        <w:tc>
          <w:tcPr>
            <w:tcW w:type="dxa" w:w="1700"/>
          </w:tcPr>
          <w:p>
            <w:pPr>
              <w:spacing w:after="0" w:line="252" w:lineRule="auto"/>
            </w:pPr>
            <w:r>
              <w:rPr>
                <w:sz w:val="16"/>
              </w:rPr>
              <w:t>synthetic card</w:t>
            </w:r>
          </w:p>
        </w:tc>
        <w:tc>
          <w:tcPr>
            <w:tcW w:type="dxa" w:w="3706"/>
          </w:tcPr>
          <w:p>
            <w:pPr>
              <w:spacing w:after="0" w:line="252" w:lineRule="auto"/>
            </w:pPr>
            <w:r>
              <w:rPr>
                <w:sz w:val="16"/>
              </w:rPr>
              <w:t>synthetic report</w:t>
            </w:r>
          </w:p>
        </w:tc>
        <w:tc>
          <w:tcPr>
            <w:tcW w:type="dxa" w:w="1252"/>
          </w:tcPr>
          <w:p>
            <w:pPr>
              <w:spacing w:after="0" w:line="252" w:lineRule="auto"/>
            </w:pPr>
            <w:r>
              <w:rPr>
                <w:sz w:val="16"/>
              </w:rPr>
              <w:t>not available</w:t>
            </w:r>
          </w:p>
        </w:tc>
        <w:tc>
          <w:tcPr>
            <w:tcW w:type="dxa" w:w="1252"/>
          </w:tcPr>
          <w:p>
            <w:pPr>
              <w:spacing w:after="0" w:line="252" w:lineRule="auto"/>
            </w:pPr>
            <w:r>
              <w:rPr>
                <w:sz w:val="16"/>
              </w:rPr>
              <w:t>synthetic</w:t>
            </w:r>
          </w:p>
        </w:tc>
        <w:tc>
          <w:tcPr>
            <w:tcW w:type="dxa" w:w="4534"/>
          </w:tcPr>
          <w:p>
            <w:pPr>
              <w:spacing w:after="0" w:line="252" w:lineRule="auto"/>
            </w:pPr>
            <w:r>
              <w:rPr>
                <w:sz w:val="16"/>
              </w:rPr>
              <w:t>✔ labelled, national-only</w:t>
            </w:r>
          </w:p>
        </w:tc>
      </w:tr>
    </w:tbl>
    <w:p>
      <w:pPr>
        <w:spacing w:after="40"/>
      </w:pPr>
    </w:p>
    <w:p>
      <w:pPr>
        <w:pStyle w:val="Heading3"/>
      </w:pPr>
      <w:r>
        <w:t>4.2 Definitions</w:t>
      </w:r>
    </w:p>
    <w:p>
      <w:pPr>
        <w:spacing w:after="40"/>
        <w:ind w:left="510" w:hanging="283"/>
      </w:pPr>
      <w:r>
        <w:t xml:space="preserve">•  </w:t>
      </w:r>
      <w:r>
        <w:t xml:space="preserve">Formulas Net = Gross − Exclusions; Uncollected = Net − Collected; Rate = Collected ÷ Net; Exclusion rate = Exclusions ÷ Gross: </w:t>
      </w:r>
      <w:r>
        <w:rPr>
          <w:b/>
        </w:rPr>
        <w:t>applied consistently</w:t>
      </w:r>
      <w:r>
        <w:t xml:space="preserve"> and the reconciliation checks pass on every checked view.</w:t>
      </w:r>
    </w:p>
    <w:p>
      <w:pPr>
        <w:spacing w:after="40"/>
        <w:ind w:left="510" w:hanging="283"/>
      </w:pPr>
      <w:r>
        <w:t xml:space="preserve">•  </w:t>
      </w:r>
      <w:r>
        <w:t xml:space="preserve">Billed vs cash, period invoices vs period receipts, period uncollected vs standing balance: </w:t>
      </w:r>
      <w:r>
        <w:rPr>
          <w:b/>
        </w:rPr>
        <w:t>distinguished and labelled</w:t>
      </w:r>
      <w:r>
        <w:t xml:space="preserve"> — but the </w:t>
      </w:r>
      <w:r>
        <w:rPr>
          <w:i/>
        </w:rPr>
        <w:t>as-of</w:t>
      </w:r>
      <w:r>
        <w:t xml:space="preserve"> date of the collected amount is not (F-01).</w:t>
      </w:r>
    </w:p>
    <w:p>
      <w:pPr>
        <w:spacing w:after="40"/>
        <w:ind w:left="510" w:hanging="283"/>
      </w:pPr>
      <w:r>
        <w:t xml:space="preserve">•  </w:t>
      </w:r>
      <w:r>
        <w:t xml:space="preserve">Units: one unit per table/chart (bn/M/K SAR) — consistent in the views checked; the retired unit </w:t>
      </w:r>
      <w:r>
        <w:rPr>
          <w:rtl/>
          <w:rFonts w:cs="Arial"/>
        </w:rPr>
        <w:t>‫«ألف مليون»‬</w:t>
      </w:r>
      <w:r>
        <w:t xml:space="preserve"> does not appear.</w:t>
      </w:r>
    </w:p>
    <w:p>
      <w:pPr>
        <w:spacing w:after="40"/>
        <w:ind w:left="510" w:hanging="283"/>
      </w:pPr>
      <w:r>
        <w:t xml:space="preserve">•  </w:t>
      </w:r>
      <w:r>
        <w:t xml:space="preserve">Actual vs synthetic vs target vs forecast vs scenario: tags are consistently present on the Planning page. </w:t>
      </w:r>
      <w:r>
        <w:rPr>
          <w:b/>
        </w:rPr>
        <w:t>One gap:</w:t>
      </w:r>
      <w:r>
        <w:t xml:space="preserve"> the plan summary export's "coverage unavailable" statement contradicts its own coverage table (F-10).</w:t>
      </w:r>
    </w:p>
    <w:p>
      <w:pPr>
        <w:spacing w:after="40"/>
        <w:ind w:left="510" w:hanging="283"/>
      </w:pPr>
      <w:r>
        <w:t xml:space="preserve">•  </w:t>
      </w:r>
      <w:r>
        <w:t>Missing vs zero: correct on Dashboard/Fixed/Planning; wrong in Smart (F-11).</w:t>
      </w:r>
    </w:p>
    <w:p>
      <w:pPr>
        <w:spacing w:after="40"/>
        <w:ind w:left="510" w:hanging="283"/>
      </w:pPr>
      <w:r>
        <w:t xml:space="preserve">•  </w:t>
      </w:r>
      <w:r>
        <w:t>Dates/time zone: Asia/Riyadh, cut-off 2026-10-09 shown on every view; no future-dated actuals observed.</w:t>
      </w:r>
    </w:p>
    <w:p>
      <w:pPr>
        <w:pStyle w:val="Heading2"/>
      </w:pPr>
      <w:r>
        <w:t>5. Proposed corrected journeys and navigation</w:t>
      </w:r>
    </w:p>
    <w:p>
      <w:pPr>
        <w:pStyle w:val="Heading3"/>
      </w:pPr>
      <w:r>
        <w:t>5.1 Navigation</w:t>
      </w:r>
    </w:p>
    <w:p>
      <w:pPr>
        <w:spacing w:after="0"/>
        <w:ind w:left="283"/>
        <w:shd w:val="clear" w:fill="F3F4F6"/>
      </w:pPr>
      <w:r>
        <w:rPr>
          <w:rFonts w:ascii="Consolas" w:hAnsi="Consolas" w:cs="Consolas"/>
          <w:sz w:val="16"/>
        </w:rPr>
        <w:t>Management</w:t>
      </w:r>
    </w:p>
    <w:p>
      <w:pPr>
        <w:spacing w:after="0"/>
        <w:ind w:left="283"/>
        <w:shd w:val="clear" w:fill="F3F4F6"/>
      </w:pPr>
      <w:r>
        <w:rPr>
          <w:rFonts w:ascii="Consolas" w:hAnsi="Consolas" w:cs="Consolas"/>
          <w:sz w:val="16"/>
          <w:rtl/>
        </w:rPr>
        <w:t xml:space="preserve"> ├─ لوحة المعلومات والتقارير      (Dashboard · Fixed reports · Smart reports)   one shared context bar</w:t>
      </w:r>
    </w:p>
    <w:p>
      <w:pPr>
        <w:spacing w:after="0"/>
        <w:ind w:left="283"/>
        <w:shd w:val="clear" w:fill="F3F4F6"/>
      </w:pPr>
      <w:r>
        <w:rPr>
          <w:rFonts w:ascii="Consolas" w:hAnsi="Consolas" w:cs="Consolas"/>
          <w:sz w:val="16"/>
          <w:rtl/>
        </w:rPr>
        <w:t xml:space="preserve"> └─ التخطيط المالي والاستراتيجي   (Plans · Objectives · Scenarios · Decisions)  one plan header</w:t>
      </w:r>
    </w:p>
    <w:p>
      <w:pPr>
        <w:spacing w:after="0"/>
        <w:ind w:left="283"/>
        <w:shd w:val="clear" w:fill="F3F4F6"/>
      </w:pPr>
      <w:r>
        <w:rPr>
          <w:rFonts w:ascii="Consolas" w:hAnsi="Consolas" w:cs="Consolas"/>
          <w:sz w:val="16"/>
        </w:rPr>
        <w:t>Operations  (a grouped menu, not 7 more top-level tabs)</w:t>
      </w:r>
    </w:p>
    <w:p>
      <w:pPr>
        <w:spacing w:after="0"/>
        <w:ind w:left="283"/>
        <w:shd w:val="clear" w:fill="F3F4F6"/>
      </w:pPr>
      <w:r>
        <w:rPr>
          <w:rFonts w:ascii="Consolas" w:hAnsi="Consolas" w:cs="Consolas"/>
          <w:sz w:val="16"/>
        </w:rPr>
        <w:t xml:space="preserve"> ├─ Invoices (+ Sanad orders, Investment invoices as sub-views)</w:t>
      </w:r>
    </w:p>
    <w:p>
      <w:pPr>
        <w:spacing w:after="0"/>
        <w:ind w:left="283"/>
        <w:shd w:val="clear" w:fill="F3F4F6"/>
      </w:pPr>
      <w:r>
        <w:rPr>
          <w:rFonts w:ascii="Consolas" w:hAnsi="Consolas" w:cs="Consolas"/>
          <w:sz w:val="16"/>
        </w:rPr>
        <w:t xml:space="preserve"> ├─ Collection worklist</w:t>
      </w:r>
    </w:p>
    <w:p>
      <w:pPr>
        <w:spacing w:after="0"/>
        <w:ind w:left="283"/>
        <w:shd w:val="clear" w:fill="F3F4F6"/>
      </w:pPr>
      <w:r>
        <w:rPr>
          <w:rFonts w:ascii="Consolas" w:hAnsi="Consolas" w:cs="Consolas"/>
          <w:sz w:val="16"/>
        </w:rPr>
        <w:t xml:space="preserve"> ├─ Exclusions review (+ rule/config management, clearly marked "affects management figures")</w:t>
      </w:r>
    </w:p>
    <w:p>
      <w:pPr>
        <w:spacing w:after="0"/>
        <w:ind w:left="283"/>
        <w:shd w:val="clear" w:fill="F3F4F6"/>
      </w:pPr>
      <w:r>
        <w:rPr>
          <w:rFonts w:ascii="Consolas" w:hAnsi="Consolas" w:cs="Consolas"/>
          <w:sz w:val="16"/>
        </w:rPr>
        <w:t xml:space="preserve"> ├─ Contracts &amp; enforcement</w:t>
      </w:r>
    </w:p>
    <w:p>
      <w:pPr>
        <w:spacing w:after="0"/>
        <w:ind w:left="283"/>
        <w:shd w:val="clear" w:fill="F3F4F6"/>
      </w:pPr>
      <w:r>
        <w:rPr>
          <w:rFonts w:ascii="Consolas" w:hAnsi="Consolas" w:cs="Consolas"/>
          <w:sz w:val="16"/>
        </w:rPr>
        <w:t xml:space="preserve"> └─ Data: sources, quality and the metric dictionary (one place; the fixed report "completeness" links here)</w:t>
      </w:r>
    </w:p>
    <w:p>
      <w:pPr>
        <w:spacing w:after="40"/>
      </w:pPr>
    </w:p>
    <w:p>
      <w:r>
        <w:t xml:space="preserve">One </w:t>
      </w:r>
      <w:r>
        <w:rPr>
          <w:b/>
        </w:rPr>
        <w:t>context bar</w:t>
      </w:r>
      <w:r>
        <w:t xml:space="preserve"> (period · scope · basis "collections to …" · data cut-off · configuration state · synthetic flag · loading/error) on every management page and on Smart reports, with an explicit "this conversation uses filters X (sync with dashboard)" control.</w:t>
      </w:r>
    </w:p>
    <w:p>
      <w:pPr>
        <w:pStyle w:val="Heading3"/>
      </w:pPr>
      <w:r>
        <w:t>5.2 Journeys</w:t>
      </w:r>
    </w:p>
    <w:p>
      <w:pPr>
        <w:spacing w:after="40"/>
        <w:ind w:left="510" w:hanging="283"/>
      </w:pPr>
      <w:r>
        <w:t xml:space="preserve">1.  </w:t>
      </w:r>
      <w:r>
        <w:rPr>
          <w:b/>
        </w:rPr>
        <w:t>Monitor → drill:</w:t>
      </w:r>
      <w:r>
        <w:t xml:space="preserve"> Dashboard → click a tile/row → destination opens with the same scope as visible chips (never a hidden filter) → breadcrumb back.</w:t>
      </w:r>
    </w:p>
    <w:p>
      <w:pPr>
        <w:spacing w:after="40"/>
        <w:ind w:left="510" w:hanging="283"/>
      </w:pPr>
      <w:r>
        <w:t xml:space="preserve">2.  </w:t>
      </w:r>
      <w:r>
        <w:rPr>
          <w:b/>
        </w:rPr>
        <w:t>Report:</w:t>
      </w:r>
      <w:r>
        <w:t xml:space="preserve"> Fixed report opens with its own fixed basis; comparison uses one rule; Export (Word/Excel/PPT) shows a parity statement ("pages n/m, tables complete").</w:t>
      </w:r>
    </w:p>
    <w:p>
      <w:pPr>
        <w:spacing w:after="40"/>
        <w:ind w:left="510" w:hanging="283"/>
      </w:pPr>
      <w:r>
        <w:t xml:space="preserve">3.  </w:t>
      </w:r>
      <w:r>
        <w:rPr>
          <w:b/>
        </w:rPr>
        <w:t>Ask:</w:t>
      </w:r>
      <w:r>
        <w:t xml:space="preserve"> Smart report → prompt → "I understood: …" line (editable) → generate → report with "as of" stamp → refine → save/reopen (re-opens the </w:t>
      </w:r>
      <w:r>
        <w:rPr>
          <w:i/>
        </w:rPr>
        <w:t>stored</w:t>
      </w:r>
      <w:r>
        <w:t xml:space="preserve"> result with an option to refresh).</w:t>
      </w:r>
    </w:p>
    <w:p>
      <w:pPr>
        <w:spacing w:after="40"/>
        <w:ind w:left="510" w:hanging="283"/>
      </w:pPr>
      <w:r>
        <w:t xml:space="preserve">4.  </w:t>
      </w:r>
      <w:r>
        <w:rPr>
          <w:b/>
        </w:rPr>
        <w:t>Plan:</w:t>
      </w:r>
      <w:r>
        <w:t xml:space="preserve"> pick or create a plan (period/scope/basis/owner/version) → all numbers computed for the plan's own scope → objectives → budget/expenditure → forecast/gap → scenarios.</w:t>
      </w:r>
    </w:p>
    <w:p>
      <w:pPr>
        <w:spacing w:after="40"/>
        <w:ind w:left="510" w:hanging="283"/>
      </w:pPr>
      <w:r>
        <w:t xml:space="preserve">5.  </w:t>
      </w:r>
      <w:r>
        <w:rPr>
          <w:b/>
        </w:rPr>
        <w:t>Scenarios:</w:t>
      </w:r>
      <w:r>
        <w:t xml:space="preserve"> several named scenarios per plan, side-by-side comparison against the baseline, saved with the plan version they belong to.</w:t>
      </w:r>
    </w:p>
    <w:p>
      <w:pPr>
        <w:spacing w:after="40"/>
        <w:ind w:left="510" w:hanging="283"/>
      </w:pPr>
      <w:r>
        <w:t xml:space="preserve">6.  </w:t>
      </w:r>
      <w:r>
        <w:rPr>
          <w:b/>
        </w:rPr>
        <w:t>Decide and follow:</w:t>
      </w:r>
      <w:r>
        <w:t xml:space="preserve"> proposal → approval by an authorised role → owner/due → status → outcome measured against the same indicator that motivated the action; each action links to plan version and objective.</w:t>
      </w:r>
    </w:p>
    <w:p>
      <w:pPr>
        <w:spacing w:after="40"/>
        <w:ind w:left="510" w:hanging="283"/>
      </w:pPr>
      <w:r>
        <w:t xml:space="preserve">7.  </w:t>
      </w:r>
      <w:r>
        <w:rPr>
          <w:b/>
        </w:rPr>
        <w:t>Back to operations:</w:t>
      </w:r>
      <w:r>
        <w:t xml:space="preserve"> every proposal/gap links to the exact invoices (scope carried over, visible).</w:t>
      </w:r>
    </w:p>
    <w:p>
      <w:pPr>
        <w:pStyle w:val="Heading2"/>
      </w:pPr>
      <w:r>
        <w:t>6. Phased remediation plan</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514"/>
        <w:gridCol w:w="1613"/>
        <w:gridCol w:w="5449"/>
        <w:gridCol w:w="5449"/>
      </w:tblGrid>
      <w:tr>
        <w:trPr>
          <w:tblHeader w:val="true"/>
          <w:cantSplit/>
        </w:trPr>
        <w:tc>
          <w:tcPr>
            <w:tcW w:type="dxa" w:w="2514"/>
            <w:shd w:val="clear" w:color="auto" w:fill="1B8354"/>
          </w:tcPr>
          <w:p>
            <w:pPr>
              <w:spacing w:after="0" w:line="252" w:lineRule="auto"/>
            </w:pPr>
            <w:r>
              <w:rPr>
                <w:b/>
                <w:color w:val="FFFFFF"/>
                <w:sz w:val="17"/>
              </w:rPr>
              <w:t>Phase</w:t>
            </w:r>
          </w:p>
        </w:tc>
        <w:tc>
          <w:tcPr>
            <w:tcW w:type="dxa" w:w="1613"/>
            <w:shd w:val="clear" w:color="auto" w:fill="1B8354"/>
          </w:tcPr>
          <w:p>
            <w:pPr>
              <w:spacing w:after="0" w:line="252" w:lineRule="auto"/>
            </w:pPr>
            <w:r>
              <w:rPr>
                <w:b/>
                <w:color w:val="FFFFFF"/>
                <w:sz w:val="17"/>
              </w:rPr>
              <w:t>Goal</w:t>
            </w:r>
          </w:p>
        </w:tc>
        <w:tc>
          <w:tcPr>
            <w:tcW w:type="dxa" w:w="5449"/>
            <w:shd w:val="clear" w:color="auto" w:fill="1B8354"/>
          </w:tcPr>
          <w:p>
            <w:pPr>
              <w:spacing w:after="0" w:line="252" w:lineRule="auto"/>
            </w:pPr>
            <w:r>
              <w:rPr>
                <w:b/>
                <w:color w:val="FFFFFF"/>
                <w:sz w:val="17"/>
              </w:rPr>
              <w:t>Contents</w:t>
            </w:r>
          </w:p>
        </w:tc>
        <w:tc>
          <w:tcPr>
            <w:tcW w:type="dxa" w:w="5449"/>
            <w:shd w:val="clear" w:color="auto" w:fill="1B8354"/>
          </w:tcPr>
          <w:p>
            <w:pPr>
              <w:spacing w:after="0" w:line="252" w:lineRule="auto"/>
            </w:pPr>
            <w:r>
              <w:rPr>
                <w:b/>
                <w:color w:val="FFFFFF"/>
                <w:sz w:val="17"/>
              </w:rPr>
              <w:t>Exit test</w:t>
            </w:r>
          </w:p>
        </w:tc>
      </w:tr>
      <w:tr>
        <w:trPr>
          <w:cantSplit/>
        </w:trPr>
        <w:tc>
          <w:tcPr>
            <w:tcW w:type="dxa" w:w="2514"/>
          </w:tcPr>
          <w:p>
            <w:pPr>
              <w:spacing w:after="0" w:line="252" w:lineRule="auto"/>
            </w:pPr>
            <w:r>
              <w:rPr>
                <w:b/>
                <w:sz w:val="17"/>
              </w:rPr>
              <w:t>0 — Stop-the-line</w:t>
            </w:r>
            <w:r>
              <w:rPr>
                <w:sz w:val="17"/>
              </w:rPr>
              <w:t xml:space="preserve"> (days)</w:t>
            </w:r>
          </w:p>
        </w:tc>
        <w:tc>
          <w:tcPr>
            <w:tcW w:type="dxa" w:w="1613"/>
          </w:tcPr>
          <w:p>
            <w:pPr>
              <w:spacing w:after="0" w:line="252" w:lineRule="auto"/>
            </w:pPr>
            <w:r>
              <w:rPr>
                <w:sz w:val="17"/>
              </w:rPr>
              <w:t>remove wrong output</w:t>
            </w:r>
          </w:p>
        </w:tc>
        <w:tc>
          <w:tcPr>
            <w:tcW w:type="dxa" w:w="5449"/>
          </w:tcPr>
          <w:p>
            <w:pPr>
              <w:spacing w:after="0" w:line="252" w:lineRule="auto"/>
            </w:pPr>
            <w:r>
              <w:rPr>
                <w:sz w:val="17"/>
              </w:rPr>
              <w:t xml:space="preserve">F-01 shared measurement rule; F-02 totals contract; F-03 remove/replace recommendations; F-09 language swap; F-10 PowerPoint truncation + total row; F-12 loading/error banner; F-17 broken link; F-05 "recognised-but-not-applied" guard and the four worst phrasings; F-07 block/auto-draft on approved-plan edit; F-06 scenario button → </w:t>
            </w:r>
            <w:r>
              <w:rPr>
                <w:i/>
                <w:sz w:val="17"/>
              </w:rPr>
              <w:t>proposed</w:t>
            </w:r>
          </w:p>
        </w:tc>
        <w:tc>
          <w:tcPr>
            <w:tcW w:type="dxa" w:w="5449"/>
          </w:tcPr>
          <w:p>
            <w:pPr>
              <w:spacing w:after="0" w:line="252" w:lineRule="auto"/>
            </w:pPr>
            <w:r>
              <w:rPr>
                <w:sz w:val="17"/>
              </w:rPr>
              <w:t>cross-view consistency test (same scope → same numbers, same comparison conclusion); export-parity test; zero English strings in Arabic UI</w:t>
            </w:r>
          </w:p>
        </w:tc>
      </w:tr>
      <w:tr>
        <w:trPr>
          <w:cantSplit/>
        </w:trPr>
        <w:tc>
          <w:tcPr>
            <w:tcW w:type="dxa" w:w="2514"/>
            <w:shd w:val="clear" w:color="auto" w:fill="F9FAFB"/>
          </w:tcPr>
          <w:p>
            <w:pPr>
              <w:spacing w:after="0" w:line="252" w:lineRule="auto"/>
            </w:pPr>
            <w:r>
              <w:rPr>
                <w:b/>
                <w:sz w:val="17"/>
              </w:rPr>
              <w:t>1 — Consistency</w:t>
            </w:r>
            <w:r>
              <w:rPr>
                <w:sz w:val="17"/>
              </w:rPr>
              <w:t xml:space="preserve"> (1–2 weeks)</w:t>
            </w:r>
          </w:p>
        </w:tc>
        <w:tc>
          <w:tcPr>
            <w:tcW w:type="dxa" w:w="1613"/>
            <w:shd w:val="clear" w:color="auto" w:fill="F9FAFB"/>
          </w:tcPr>
          <w:p>
            <w:pPr>
              <w:spacing w:after="0" w:line="252" w:lineRule="auto"/>
            </w:pPr>
            <w:r>
              <w:rPr>
                <w:sz w:val="17"/>
              </w:rPr>
              <w:t>one data contract</w:t>
            </w:r>
          </w:p>
        </w:tc>
        <w:tc>
          <w:tcPr>
            <w:tcW w:type="dxa" w:w="5449"/>
            <w:shd w:val="clear" w:color="auto" w:fill="F9FAFB"/>
          </w:tcPr>
          <w:p>
            <w:pPr>
              <w:spacing w:after="0" w:line="252" w:lineRule="auto"/>
            </w:pPr>
            <w:r>
              <w:rPr>
                <w:sz w:val="17"/>
              </w:rPr>
              <w:t>plan-anchored planning (F-04) + version stores scope/basis/config/data version; shared context bar (F-18/F-21); unify empty states (F-11/F-14/F-25); proposal ids with scope (F-15); hidden-filter fix (F-13); exclusion terminology (F-08); configuration-state indicator (F-20); Smart golden corpus (F-05); display-name resolver (F-07)</w:t>
            </w:r>
          </w:p>
        </w:tc>
        <w:tc>
          <w:tcPr>
            <w:tcW w:type="dxa" w:w="5449"/>
            <w:shd w:val="clear" w:color="auto" w:fill="F9FAFB"/>
          </w:tcPr>
          <w:p>
            <w:pPr>
              <w:spacing w:after="0" w:line="252" w:lineRule="auto"/>
            </w:pPr>
            <w:r>
              <w:rPr>
                <w:sz w:val="17"/>
              </w:rPr>
              <w:t>golden-phrase suite; plan reproducibility (re-open v1 under a different filter → identical results); approval workflow tests</w:t>
            </w:r>
          </w:p>
        </w:tc>
      </w:tr>
      <w:tr>
        <w:trPr>
          <w:cantSplit/>
        </w:trPr>
        <w:tc>
          <w:tcPr>
            <w:tcW w:type="dxa" w:w="2514"/>
          </w:tcPr>
          <w:p>
            <w:pPr>
              <w:spacing w:after="0" w:line="252" w:lineRule="auto"/>
            </w:pPr>
            <w:r>
              <w:rPr>
                <w:b/>
                <w:sz w:val="17"/>
              </w:rPr>
              <w:t>2 — UX / IA</w:t>
            </w:r>
            <w:r>
              <w:rPr>
                <w:sz w:val="17"/>
              </w:rPr>
              <w:t xml:space="preserve"> (1–2 weeks)</w:t>
            </w:r>
          </w:p>
        </w:tc>
        <w:tc>
          <w:tcPr>
            <w:tcW w:type="dxa" w:w="1613"/>
          </w:tcPr>
          <w:p>
            <w:pPr>
              <w:spacing w:after="0" w:line="252" w:lineRule="auto"/>
            </w:pPr>
            <w:r>
              <w:rPr>
                <w:sz w:val="17"/>
              </w:rPr>
              <w:t>coherent journeys</w:t>
            </w:r>
          </w:p>
        </w:tc>
        <w:tc>
          <w:tcPr>
            <w:tcW w:type="dxa" w:w="5449"/>
          </w:tcPr>
          <w:p>
            <w:pPr>
              <w:spacing w:after="0" w:line="252" w:lineRule="auto"/>
            </w:pPr>
            <w:r>
              <w:rPr>
                <w:sz w:val="17"/>
              </w:rPr>
              <w:t xml:space="preserve">navigation regrouping and brand/title (F-18); Smart UX (scroll, replay, titles, as-of stamp, filter sync, draft keep) (F-16); scenario comparison and named scenarios (F-24); mobile header; anchors under sticky header (F-29); replace </w:t>
            </w:r>
            <w:r>
              <w:rPr>
                <w:rFonts w:ascii="Consolas" w:hAnsi="Consolas" w:cs="Consolas"/>
                <w:color w:val="B42318"/>
                <w:sz w:val="16"/>
              </w:rPr>
              <w:t>window.prompt</w:t>
            </w:r>
            <w:r>
              <w:rPr>
                <w:sz w:val="17"/>
              </w:rPr>
              <w:t xml:space="preserve"> (F-30); remove duplicate KPI blocks and the second assistant button (F-21); municipality row labels (F-22)</w:t>
            </w:r>
          </w:p>
        </w:tc>
        <w:tc>
          <w:tcPr>
            <w:tcW w:type="dxa" w:w="5449"/>
          </w:tcPr>
          <w:p>
            <w:pPr>
              <w:spacing w:after="0" w:line="252" w:lineRule="auto"/>
            </w:pPr>
            <w:r>
              <w:rPr>
                <w:sz w:val="17"/>
              </w:rPr>
              <w:t>usability pass on J1–J7; 390/768/1280 px review; keyboard/RTL checks</w:t>
            </w:r>
          </w:p>
        </w:tc>
      </w:tr>
      <w:tr>
        <w:trPr>
          <w:cantSplit/>
        </w:trPr>
        <w:tc>
          <w:tcPr>
            <w:tcW w:type="dxa" w:w="2514"/>
            <w:shd w:val="clear" w:color="auto" w:fill="F9FAFB"/>
          </w:tcPr>
          <w:p>
            <w:pPr>
              <w:spacing w:after="0" w:line="252" w:lineRule="auto"/>
            </w:pPr>
            <w:r>
              <w:rPr>
                <w:b/>
                <w:sz w:val="17"/>
              </w:rPr>
              <w:t>3 — Platform</w:t>
            </w:r>
            <w:r>
              <w:rPr>
                <w:sz w:val="17"/>
              </w:rPr>
              <w:t xml:space="preserve"> (planned dependencies)</w:t>
            </w:r>
          </w:p>
        </w:tc>
        <w:tc>
          <w:tcPr>
            <w:tcW w:type="dxa" w:w="1613"/>
            <w:shd w:val="clear" w:color="auto" w:fill="F9FAFB"/>
          </w:tcPr>
          <w:p>
            <w:pPr>
              <w:spacing w:after="0" w:line="252" w:lineRule="auto"/>
            </w:pPr>
            <w:r>
              <w:rPr>
                <w:sz w:val="17"/>
              </w:rPr>
              <w:t>persistence and trust</w:t>
            </w:r>
          </w:p>
        </w:tc>
        <w:tc>
          <w:tcPr>
            <w:tcW w:type="dxa" w:w="5449"/>
            <w:shd w:val="clear" w:color="auto" w:fill="F9FAFB"/>
          </w:tcPr>
          <w:p>
            <w:pPr>
              <w:spacing w:after="0" w:line="252" w:lineRule="auto"/>
            </w:pPr>
            <w:r>
              <w:rPr>
                <w:sz w:val="17"/>
              </w:rPr>
              <w:t>server-side store for plans/objectives/actions/conversations with identity and roles (F-19); real approval authority; commit history and removal of orphaned modules (F-28); LLM option if free-text is wanted</w:t>
            </w:r>
          </w:p>
        </w:tc>
        <w:tc>
          <w:tcPr>
            <w:tcW w:type="dxa" w:w="5449"/>
            <w:shd w:val="clear" w:color="auto" w:fill="F9FAFB"/>
          </w:tcPr>
          <w:p>
            <w:pPr>
              <w:spacing w:after="0" w:line="252" w:lineRule="auto"/>
            </w:pPr>
            <w:r>
              <w:rPr>
                <w:sz w:val="17"/>
              </w:rPr>
              <w:t>role-based tests; audit-trail review</w:t>
            </w:r>
          </w:p>
        </w:tc>
      </w:tr>
    </w:tbl>
    <w:p>
      <w:pPr>
        <w:spacing w:after="40"/>
      </w:pPr>
    </w:p>
    <w:p>
      <w:r>
        <w:t xml:space="preserve">Regression tests to add now (cheap, high value): cross-view parity for one closed and one open period; </w:t>
      </w:r>
      <w:r>
        <w:rPr>
          <w:rFonts w:ascii="Consolas" w:hAnsi="Consolas" w:cs="Consolas"/>
          <w:color w:val="B42318"/>
          <w:sz w:val="19"/>
        </w:rPr>
        <w:t>relations</w:t>
      </w:r>
      <w:r>
        <w:t xml:space="preserve"> block contract; export parity (rows/totals/units/notes); bilingual script check; interpreter golden phrases; plan reproducibility; proposal id stability.</w:t>
      </w:r>
    </w:p>
    <w:p>
      <w:pPr>
        <w:pStyle w:val="Heading2"/>
      </w:pPr>
      <w:r>
        <w:t>7. Questions that materially affect the solution</w:t>
      </w:r>
    </w:p>
    <w:p>
      <w:pPr>
        <w:spacing w:after="40"/>
        <w:ind w:left="510" w:hanging="283"/>
      </w:pPr>
      <w:r>
        <w:t xml:space="preserve">1.  </w:t>
      </w:r>
      <w:r>
        <w:rPr>
          <w:b/>
        </w:rPr>
        <w:t>Basis for closed periods:</w:t>
      </w:r>
      <w:r>
        <w:t xml:space="preserve"> should the headline for a closed month be "collections to period end" (like-for-like, recommended) or "to today"? Should both be shown?</w:t>
      </w:r>
    </w:p>
    <w:p>
      <w:pPr>
        <w:spacing w:after="40"/>
        <w:ind w:left="510" w:hanging="283"/>
      </w:pPr>
      <w:r>
        <w:t xml:space="preserve">2.  </w:t>
      </w:r>
      <w:r>
        <w:rPr>
          <w:b/>
        </w:rPr>
        <w:t>Smart reports and filters:</w:t>
      </w:r>
      <w:r>
        <w:t xml:space="preserve"> should a Smart conversation follow the dashboard filters live, or keep its own scope with an explicit "sync" control (recommended)?</w:t>
      </w:r>
    </w:p>
    <w:p>
      <w:pPr>
        <w:spacing w:after="40"/>
        <w:ind w:left="510" w:hanging="283"/>
      </w:pPr>
      <w:r>
        <w:t xml:space="preserve">3.  </w:t>
      </w:r>
      <w:r>
        <w:rPr>
          <w:b/>
        </w:rPr>
        <w:t>Planning anchor:</w:t>
      </w:r>
      <w:r>
        <w:t xml:space="preserve"> may planning figures ignore the global filter and always use the plan's period/scope (recommended)? Are plans always fiscal-year based?</w:t>
      </w:r>
    </w:p>
    <w:p>
      <w:pPr>
        <w:spacing w:after="40"/>
        <w:ind w:left="510" w:hanging="283"/>
      </w:pPr>
      <w:r>
        <w:t xml:space="preserve">4.  </w:t>
      </w:r>
      <w:r>
        <w:rPr>
          <w:b/>
        </w:rPr>
        <w:t>Approval authority:</w:t>
      </w:r>
      <w:r>
        <w:t xml:space="preserve"> who may approve plans, objectives and actions; is self-approval allowed; do you need separate roles (proposer / approver / owner)?</w:t>
      </w:r>
    </w:p>
    <w:p>
      <w:pPr>
        <w:spacing w:after="40"/>
        <w:ind w:left="510" w:hanging="283"/>
      </w:pPr>
      <w:r>
        <w:t xml:space="preserve">5.  </w:t>
      </w:r>
      <w:r>
        <w:rPr>
          <w:b/>
        </w:rPr>
        <w:t>Exclusions:</w:t>
      </w:r>
      <w:r>
        <w:t xml:space="preserve"> should exclusions based on </w:t>
      </w:r>
      <w:r>
        <w:rPr>
          <w:i/>
        </w:rPr>
        <w:t>unapproved</w:t>
      </w:r>
      <w:r>
        <w:t xml:space="preserve"> rule definitions reduce the headline net billed and collection rate, or be shown as a separate "pending" band until approved?</w:t>
      </w:r>
    </w:p>
    <w:p>
      <w:pPr>
        <w:spacing w:after="40"/>
        <w:ind w:left="510" w:hanging="283"/>
      </w:pPr>
      <w:r>
        <w:t xml:space="preserve">6.  </w:t>
      </w:r>
      <w:r>
        <w:rPr>
          <w:b/>
        </w:rPr>
        <w:t>Smart reports scope:</w:t>
      </w:r>
      <w:r>
        <w:t xml:space="preserve"> must they also cover budget/expenditure, or should they redirect to the fixed report?</w:t>
      </w:r>
    </w:p>
    <w:p>
      <w:pPr>
        <w:spacing w:after="40"/>
        <w:ind w:left="510" w:hanging="283"/>
      </w:pPr>
      <w:r>
        <w:t xml:space="preserve">7.  </w:t>
      </w:r>
      <w:r>
        <w:rPr>
          <w:b/>
        </w:rPr>
        <w:t>Languages:</w:t>
      </w:r>
      <w:r>
        <w:t xml:space="preserve"> is Chinese required in the new areas, or can it be removed/limited to navigation?</w:t>
      </w:r>
    </w:p>
    <w:p>
      <w:pPr>
        <w:spacing w:after="40"/>
        <w:ind w:left="510" w:hanging="283"/>
      </w:pPr>
      <w:r>
        <w:t xml:space="preserve">8.  </w:t>
      </w:r>
      <w:r>
        <w:rPr>
          <w:b/>
        </w:rPr>
        <w:t>Scale:</w:t>
      </w:r>
      <w:r>
        <w:t xml:space="preserve"> should the demo be reviewed at the compact size (~900 invoices) only, or at the full size where loading states matter?</w:t>
      </w:r>
    </w:p>
    <w:p>
      <w:pPr>
        <w:spacing w:after="40"/>
        <w:ind w:left="510" w:hanging="283"/>
      </w:pPr>
      <w:r>
        <w:t xml:space="preserve">9.  </w:t>
      </w:r>
      <w:r>
        <w:rPr>
          <w:b/>
        </w:rPr>
        <w:t>Synthetic expenditure:</w:t>
      </w:r>
      <w:r>
        <w:t xml:space="preserve"> keep the synthetic budget/expenditure card on the dashboard by default, or only in the budget report and planning?</w:t>
      </w:r>
    </w:p>
    <w:p>
      <w:pPr>
        <w:spacing w:after="40"/>
        <w:ind w:left="510" w:hanging="283"/>
      </w:pPr>
      <w:r>
        <w:t xml:space="preserve">10.  </w:t>
      </w:r>
      <w:r>
        <w:rPr>
          <w:b/>
        </w:rPr>
        <w:t>Persistence timing:</w:t>
      </w:r>
      <w:r>
        <w:t xml:space="preserve"> is a server-side store for plans/actions part of the next phase, or does the demo stay browser-local?</w:t>
      </w:r>
    </w:p>
    <w:p>
      <w:pPr>
        <w:pStyle w:val="Heading2"/>
      </w:pPr>
      <w:r>
        <w:t>8. Limits of this audit (what was not tested)</w:t>
      </w:r>
    </w:p>
    <w:p>
      <w:pPr>
        <w:spacing w:after="40"/>
        <w:ind w:left="510" w:hanging="283"/>
      </w:pPr>
      <w:r>
        <w:t xml:space="preserve">•  </w:t>
      </w:r>
      <w:r>
        <w:t>Screenshots attached to the brief were not visible to me.</w:t>
      </w:r>
    </w:p>
    <w:p>
      <w:pPr>
        <w:spacing w:after="40"/>
        <w:ind w:left="510" w:hanging="283"/>
      </w:pPr>
      <w:r>
        <w:t xml:space="preserve">•  </w:t>
      </w:r>
      <w:r>
        <w:t>Roles/permissions: the demo has one reviewer user (</w:t>
      </w:r>
      <w:r>
        <w:rPr>
          <w:rFonts w:ascii="Consolas" w:hAnsi="Consolas" w:cs="Consolas"/>
          <w:color w:val="B42318"/>
          <w:sz w:val="19"/>
        </w:rPr>
        <w:t>canReview: true</w:t>
      </w:r>
      <w:r>
        <w:t xml:space="preserve">); read-only behaviour and organisation switching were </w:t>
      </w:r>
      <w:r>
        <w:rPr>
          <w:b/>
        </w:rPr>
        <w:t>not</w:t>
      </w:r>
      <w:r>
        <w:t xml:space="preserve"> exercised.</w:t>
      </w:r>
    </w:p>
    <w:p>
      <w:pPr>
        <w:spacing w:after="40"/>
        <w:ind w:left="510" w:hanging="283"/>
      </w:pPr>
      <w:r>
        <w:t xml:space="preserve">•  </w:t>
      </w:r>
      <w:r>
        <w:t xml:space="preserve">Native </w:t>
      </w:r>
      <w:r>
        <w:rPr>
          <w:rFonts w:ascii="Consolas" w:hAnsi="Consolas" w:cs="Consolas"/>
          <w:color w:val="B42318"/>
          <w:sz w:val="19"/>
        </w:rPr>
        <w:t>window.prompt</w:t>
      </w:r>
      <w:r>
        <w:t xml:space="preserve"> flows (new plan, reject proposal): not exercised.</w:t>
      </w:r>
    </w:p>
    <w:p>
      <w:pPr>
        <w:spacing w:after="40"/>
        <w:ind w:left="510" w:hanging="283"/>
      </w:pPr>
      <w:r>
        <w:t xml:space="preserve">•  </w:t>
      </w:r>
      <w:r>
        <w:t>Word files were not opened visually; Excel and PowerPoint were parsed programmatically.</w:t>
      </w:r>
    </w:p>
    <w:p>
      <w:pPr>
        <w:spacing w:after="40"/>
        <w:ind w:left="510" w:hanging="283"/>
      </w:pPr>
      <w:r>
        <w:t xml:space="preserve">•  </w:t>
      </w:r>
      <w:r>
        <w:t>Full-size demo (~1.65 M invoices), dark mode and a data-service outage were not re-tested in this pass (a retry/error path was verified in an earlier session).</w:t>
      </w:r>
    </w:p>
    <w:p>
      <w:pPr>
        <w:spacing w:after="40"/>
        <w:ind w:left="510" w:hanging="283"/>
      </w:pPr>
      <w:r>
        <w:t xml:space="preserve">•  </w:t>
      </w:r>
      <w:r>
        <w:t xml:space="preserve">Configuration changes on </w:t>
      </w:r>
      <w:r>
        <w:rPr>
          <w:rFonts w:ascii="Consolas" w:hAnsi="Consolas" w:cs="Consolas"/>
          <w:color w:val="B42318"/>
          <w:sz w:val="19"/>
        </w:rPr>
        <w:t>/noncollection</w:t>
      </w:r>
      <w:r>
        <w:t xml:space="preserve"> and approval of plans/actions were deliberately not exercised (they would change shared state).</w:t>
      </w:r>
    </w:p>
    <w:p>
      <w:pPr>
        <w:spacing w:after="40"/>
        <w:ind w:left="510" w:hanging="283"/>
      </w:pPr>
      <w:r>
        <w:t xml:space="preserve">•  </w:t>
      </w:r>
      <w:r>
        <w:t>Generation interrupted by navigation (F-16 g) could not be reproduced at the compact size.</w:t>
      </w:r>
    </w:p>
    <w:p>
      <w:pPr>
        <w:pStyle w:val="Heading2"/>
      </w:pPr>
      <w:r>
        <w:t>9. Test artifacts and one unintended change (disclosure)</w:t>
      </w:r>
    </w:p>
    <w:p>
      <w:pPr>
        <w:spacing w:after="40"/>
        <w:ind w:left="510" w:hanging="283"/>
      </w:pPr>
      <w:r>
        <w:t xml:space="preserve">•  </w:t>
      </w:r>
      <w:r>
        <w:rPr>
          <w:b/>
        </w:rPr>
        <w:t>Unintended:</w:t>
      </w:r>
      <w:r>
        <w:t xml:space="preserve"> while testing, one scripted input event reached the saved plan </w:t>
      </w:r>
      <w:r>
        <w:rPr>
          <w:rtl/>
          <w:rFonts w:cs="Arial"/>
        </w:rPr>
        <w:t>‫«خطة السنة المالية 2026»‬</w:t>
      </w:r>
      <w:r>
        <w:t xml:space="preserve"> and changed its live scenario </w:t>
      </w:r>
      <w:r>
        <w:rPr>
          <w:rFonts w:ascii="Consolas" w:hAnsi="Consolas" w:cs="Consolas"/>
          <w:color w:val="B42318"/>
          <w:sz w:val="19"/>
        </w:rPr>
        <w:t>dRate</w:t>
      </w:r>
      <w:r>
        <w:t xml:space="preserve"> from </w:t>
      </w:r>
      <w:r>
        <w:rPr>
          <w:b/>
        </w:rPr>
        <w:t>3 to 8</w:t>
      </w:r>
      <w:r>
        <w:t xml:space="preserve">. Nothing else in the plan changed (verified by a field-by-field diff). The original value was </w:t>
      </w:r>
      <w:r>
        <w:rPr>
          <w:b/>
        </w:rPr>
        <w:t>3</w:t>
      </w:r>
      <w:r>
        <w:t xml:space="preserve">; a backup of the original </w:t>
      </w:r>
      <w:r>
        <w:rPr>
          <w:rFonts w:ascii="Consolas" w:hAnsi="Consolas" w:cs="Consolas"/>
          <w:color w:val="B42318"/>
          <w:sz w:val="19"/>
        </w:rPr>
        <w:t>ib_plans_v1</w:t>
      </w:r>
      <w:r>
        <w:t xml:space="preserve">, </w:t>
      </w:r>
      <w:r>
        <w:rPr>
          <w:rFonts w:ascii="Consolas" w:hAnsi="Consolas" w:cs="Consolas"/>
          <w:color w:val="B42318"/>
          <w:sz w:val="19"/>
        </w:rPr>
        <w:t>ib_actions_v1</w:t>
      </w:r>
      <w:r>
        <w:t xml:space="preserve"> and </w:t>
      </w:r>
      <w:r>
        <w:rPr>
          <w:rFonts w:ascii="Consolas" w:hAnsi="Consolas" w:cs="Consolas"/>
          <w:color w:val="B42318"/>
          <w:sz w:val="19"/>
        </w:rPr>
        <w:t>ib_smart_convs_v1</w:t>
      </w:r>
      <w:r>
        <w:t xml:space="preserve"> values is held in this tab's </w:t>
      </w:r>
      <w:r>
        <w:rPr>
          <w:rFonts w:ascii="Consolas" w:hAnsi="Consolas" w:cs="Consolas"/>
          <w:color w:val="B42318"/>
          <w:sz w:val="19"/>
        </w:rPr>
        <w:t>sessionStorage</w:t>
      </w:r>
      <w:r>
        <w:t xml:space="preserve"> key </w:t>
      </w:r>
      <w:r>
        <w:rPr>
          <w:rFonts w:ascii="Consolas" w:hAnsi="Consolas" w:cs="Consolas"/>
          <w:color w:val="B42318"/>
          <w:sz w:val="19"/>
        </w:rPr>
        <w:t>__audit_bak</w:t>
      </w:r>
      <w:r>
        <w:t>. I did not repair it because further writes were blocked by the environment and you asked for no data changes.</w:t>
      </w:r>
    </w:p>
    <w:p>
      <w:pPr>
        <w:spacing w:after="40"/>
        <w:ind w:left="510" w:hanging="283"/>
      </w:pPr>
      <w:r>
        <w:t xml:space="preserve">•  </w:t>
      </w:r>
      <w:r>
        <w:rPr>
          <w:b/>
        </w:rPr>
        <w:t>Test conversations:</w:t>
      </w:r>
      <w:r>
        <w:t xml:space="preserve"> about four Smart-report conversations/messages created during the journey tests (they are visible in </w:t>
      </w:r>
      <w:r>
        <w:rPr>
          <w:rtl/>
          <w:rFonts w:cs="Arial"/>
        </w:rPr>
        <w:t>‫«السجل»‬</w:t>
      </w:r>
      <w:r>
        <w:t>).</w:t>
      </w:r>
    </w:p>
    <w:p>
      <w:pPr>
        <w:spacing w:after="40"/>
        <w:ind w:left="510" w:hanging="283"/>
      </w:pPr>
      <w:r>
        <w:t xml:space="preserve">•  </w:t>
      </w:r>
      <w:r>
        <w:t xml:space="preserve">UI state only: shared filters were moved during testing and restored to </w:t>
      </w:r>
      <w:r>
        <w:rPr>
          <w:i/>
        </w:rPr>
        <w:t>year to date / all</w:t>
      </w:r>
      <w:r>
        <w:t>; language was switched to Chinese and back to Arabic.</w:t>
      </w:r>
    </w:p>
    <w:p>
      <w:pPr>
        <w:spacing w:after="40"/>
        <w:ind w:left="510" w:hanging="283"/>
      </w:pPr>
      <w:r>
        <w:t xml:space="preserve">•  </w:t>
      </w:r>
      <w:r>
        <w:t>No source files, configuration or git state were modified; the only file added is this document.</w:t>
      </w:r>
    </w:p>
    <w:p>
      <w:r>
        <w:br w:type="page"/>
      </w:r>
    </w:p>
    <w:p>
      <w:pPr>
        <w:pStyle w:val="Heading1"/>
      </w:pPr>
      <w:r>
        <w:t>PART B — Content clarity, information hierarchy and dates (extension of the audit)</w:t>
      </w:r>
    </w:p>
    <w:p>
      <w:r>
        <w:t xml:space="preserve">Added 2026-10-09. Same rules: read-only, evidence labelled as in the legend at the top. Finding ids continue the audit: </w:t>
      </w:r>
      <w:r>
        <w:rPr>
          <w:b/>
        </w:rPr>
        <w:t>C-</w:t>
      </w:r>
      <w:r>
        <w:t xml:space="preserve"> content, </w:t>
      </w:r>
      <w:r>
        <w:rPr>
          <w:b/>
        </w:rPr>
        <w:t>H-</w:t>
      </w:r>
      <w:r>
        <w:t xml:space="preserve"> hierarchy, </w:t>
      </w:r>
      <w:r>
        <w:rPr>
          <w:b/>
        </w:rPr>
        <w:t>D-</w:t>
      </w:r>
      <w:r>
        <w:t xml:space="preserve"> dates and periods.</w:t>
      </w:r>
    </w:p>
    <w:p>
      <w:r>
        <w:t xml:space="preserve">Priority rule used here: anything that can mislead about </w:t>
      </w:r>
      <w:r>
        <w:rPr>
          <w:b/>
        </w:rPr>
        <w:t>financial results or reporting periods</w:t>
      </w:r>
      <w:r>
        <w:t xml:space="preserve"> comes first (P0/P1), wording and layout follow.</w:t>
      </w:r>
    </w:p>
    <w:p>
      <w:r>
        <w:t>Measurements taken in the running app (Arabic UI, YTD, all Amanahs, 2026-10-09; "chrome" = sticky top bar + tab strip = 278 px at 1280 px):</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193"/>
        <w:gridCol w:w="1193"/>
        <w:gridCol w:w="2069"/>
        <w:gridCol w:w="1193"/>
        <w:gridCol w:w="3649"/>
        <w:gridCol w:w="1276"/>
        <w:gridCol w:w="4450"/>
      </w:tblGrid>
      <w:tr>
        <w:trPr>
          <w:tblHeader w:val="true"/>
          <w:cantSplit/>
        </w:trPr>
        <w:tc>
          <w:tcPr>
            <w:tcW w:type="dxa" w:w="1193"/>
            <w:shd w:val="clear" w:color="auto" w:fill="1B8354"/>
          </w:tcPr>
          <w:p>
            <w:pPr>
              <w:spacing w:after="0" w:line="252" w:lineRule="auto"/>
            </w:pPr>
            <w:r>
              <w:rPr>
                <w:b/>
                <w:color w:val="FFFFFF"/>
                <w:sz w:val="16"/>
              </w:rPr>
              <w:t>Page</w:t>
            </w:r>
          </w:p>
        </w:tc>
        <w:tc>
          <w:tcPr>
            <w:tcW w:type="dxa" w:w="1193"/>
            <w:shd w:val="clear" w:color="auto" w:fill="1B8354"/>
          </w:tcPr>
          <w:p>
            <w:pPr>
              <w:spacing w:after="0" w:line="252" w:lineRule="auto"/>
            </w:pPr>
            <w:r>
              <w:rPr>
                <w:b/>
                <w:color w:val="FFFFFF"/>
                <w:sz w:val="16"/>
              </w:rPr>
              <w:t>Words on page</w:t>
            </w:r>
          </w:p>
        </w:tc>
        <w:tc>
          <w:tcPr>
            <w:tcW w:type="dxa" w:w="2069"/>
            <w:shd w:val="clear" w:color="auto" w:fill="1B8354"/>
          </w:tcPr>
          <w:p>
            <w:pPr>
              <w:spacing w:after="0" w:line="252" w:lineRule="auto"/>
            </w:pPr>
            <w:r>
              <w:rPr>
                <w:b/>
                <w:color w:val="FFFFFF"/>
                <w:sz w:val="16"/>
              </w:rPr>
              <w:t>Explanatory text (notes, callouts, subtitles)</w:t>
            </w:r>
          </w:p>
        </w:tc>
        <w:tc>
          <w:tcPr>
            <w:tcW w:type="dxa" w:w="1193"/>
            <w:shd w:val="clear" w:color="auto" w:fill="1B8354"/>
          </w:tcPr>
          <w:p>
            <w:pPr>
              <w:spacing w:after="0" w:line="252" w:lineRule="auto"/>
            </w:pPr>
            <w:r>
              <w:rPr>
                <w:b/>
                <w:color w:val="FFFFFF"/>
                <w:sz w:val="16"/>
              </w:rPr>
              <w:t>Page height</w:t>
            </w:r>
          </w:p>
        </w:tc>
        <w:tc>
          <w:tcPr>
            <w:tcW w:type="dxa" w:w="3649"/>
            <w:shd w:val="clear" w:color="auto" w:fill="1B8354"/>
          </w:tcPr>
          <w:p>
            <w:pPr>
              <w:spacing w:after="0" w:line="252" w:lineRule="auto"/>
            </w:pPr>
            <w:r>
              <w:rPr>
                <w:b/>
                <w:color w:val="FFFFFF"/>
                <w:sz w:val="16"/>
              </w:rPr>
              <w:t>First KPI / first section at</w:t>
            </w:r>
          </w:p>
        </w:tc>
        <w:tc>
          <w:tcPr>
            <w:tcW w:type="dxa" w:w="1276"/>
            <w:shd w:val="clear" w:color="auto" w:fill="1B8354"/>
          </w:tcPr>
          <w:p>
            <w:pPr>
              <w:spacing w:after="0" w:line="252" w:lineRule="auto"/>
            </w:pPr>
            <w:r>
              <w:rPr>
                <w:b/>
                <w:color w:val="FFFFFF"/>
                <w:sz w:val="16"/>
              </w:rPr>
              <w:t>Controls before first KPI/section</w:t>
            </w:r>
          </w:p>
        </w:tc>
        <w:tc>
          <w:tcPr>
            <w:tcW w:type="dxa" w:w="4450"/>
            <w:shd w:val="clear" w:color="auto" w:fill="1B8354"/>
          </w:tcPr>
          <w:p>
            <w:pPr>
              <w:spacing w:after="0" w:line="252" w:lineRule="auto"/>
            </w:pPr>
            <w:r>
              <w:rPr>
                <w:b/>
                <w:color w:val="FFFFFF"/>
                <w:sz w:val="16"/>
              </w:rPr>
              <w:t>Other</w:t>
            </w:r>
          </w:p>
        </w:tc>
      </w:tr>
      <w:tr>
        <w:trPr>
          <w:cantSplit/>
        </w:trPr>
        <w:tc>
          <w:tcPr>
            <w:tcW w:type="dxa" w:w="1193"/>
          </w:tcPr>
          <w:p>
            <w:pPr>
              <w:spacing w:after="0" w:line="252" w:lineRule="auto"/>
            </w:pPr>
            <w:r>
              <w:rPr>
                <w:sz w:val="16"/>
              </w:rPr>
              <w:t>Dashboard</w:t>
            </w:r>
          </w:p>
        </w:tc>
        <w:tc>
          <w:tcPr>
            <w:tcW w:type="dxa" w:w="1193"/>
          </w:tcPr>
          <w:p>
            <w:pPr>
              <w:spacing w:after="0" w:line="252" w:lineRule="auto"/>
            </w:pPr>
            <w:r>
              <w:rPr>
                <w:sz w:val="16"/>
              </w:rPr>
              <w:t>885</w:t>
            </w:r>
          </w:p>
        </w:tc>
        <w:tc>
          <w:tcPr>
            <w:tcW w:type="dxa" w:w="2069"/>
          </w:tcPr>
          <w:p>
            <w:pPr>
              <w:spacing w:after="0" w:line="252" w:lineRule="auto"/>
            </w:pPr>
            <w:r>
              <w:rPr>
                <w:sz w:val="16"/>
              </w:rPr>
              <w:t>273 words (31 %)</w:t>
            </w:r>
          </w:p>
        </w:tc>
        <w:tc>
          <w:tcPr>
            <w:tcW w:type="dxa" w:w="1193"/>
          </w:tcPr>
          <w:p>
            <w:pPr>
              <w:spacing w:after="0" w:line="252" w:lineRule="auto"/>
            </w:pPr>
            <w:r>
              <w:rPr>
                <w:sz w:val="16"/>
              </w:rPr>
              <w:t>5,353 px</w:t>
            </w:r>
          </w:p>
        </w:tc>
        <w:tc>
          <w:tcPr>
            <w:tcW w:type="dxa" w:w="3649"/>
          </w:tcPr>
          <w:p>
            <w:pPr>
              <w:spacing w:after="0" w:line="252" w:lineRule="auto"/>
            </w:pPr>
            <w:r>
              <w:rPr>
                <w:sz w:val="16"/>
              </w:rPr>
              <w:t>KPI at 628 px</w:t>
            </w:r>
          </w:p>
        </w:tc>
        <w:tc>
          <w:tcPr>
            <w:tcW w:type="dxa" w:w="1276"/>
          </w:tcPr>
          <w:p>
            <w:pPr>
              <w:spacing w:after="0" w:line="252" w:lineRule="auto"/>
            </w:pPr>
            <w:r>
              <w:rPr>
                <w:sz w:val="16"/>
              </w:rPr>
              <w:t>21</w:t>
            </w:r>
          </w:p>
        </w:tc>
        <w:tc>
          <w:tcPr>
            <w:tcW w:type="dxa" w:w="4450"/>
          </w:tcPr>
          <w:p>
            <w:pPr>
              <w:spacing w:after="0" w:line="252" w:lineRule="auto"/>
            </w:pPr>
            <w:r>
              <w:rPr>
                <w:sz w:val="16"/>
              </w:rPr>
              <w:t xml:space="preserve">37 </w:t>
            </w:r>
            <w:r>
              <w:rPr>
                <w:rFonts w:ascii="Consolas" w:hAnsi="Consolas" w:cs="Consolas"/>
                <w:color w:val="B42318"/>
                <w:sz w:val="15"/>
              </w:rPr>
              <w:t>title</w:t>
            </w:r>
            <w:r>
              <w:rPr>
                <w:sz w:val="16"/>
              </w:rPr>
              <w:t xml:space="preserve"> tooltips; "SAR" ×57; "</w:t>
            </w:r>
            <w:r>
              <w:rPr>
                <w:sz w:val="16"/>
                <w:rtl/>
                <w:rFonts w:cs="Arial"/>
                <w:szCs w:val="16"/>
              </w:rPr>
              <w:t>‫تجريبي/اصطناعي‬</w:t>
            </w:r>
            <w:r>
              <w:rPr>
                <w:sz w:val="16"/>
              </w:rPr>
              <w:t>" ×6; the identity "</w:t>
            </w:r>
            <w:r>
              <w:rPr>
                <w:sz w:val="16"/>
                <w:rtl/>
                <w:rFonts w:cs="Arial"/>
                <w:szCs w:val="16"/>
              </w:rPr>
              <w:t>‫الإجمالي‬</w:t>
            </w:r>
            <w:r>
              <w:rPr>
                <w:sz w:val="16"/>
              </w:rPr>
              <w:t xml:space="preserve"> − </w:t>
            </w:r>
            <w:r>
              <w:rPr>
                <w:sz w:val="16"/>
                <w:rtl/>
                <w:rFonts w:cs="Arial"/>
                <w:szCs w:val="16"/>
              </w:rPr>
              <w:t>‫الاستبعادات / الصافي‬</w:t>
            </w:r>
            <w:r>
              <w:rPr>
                <w:sz w:val="16"/>
              </w:rPr>
              <w:t xml:space="preserve"> − </w:t>
            </w:r>
            <w:r>
              <w:rPr>
                <w:sz w:val="16"/>
                <w:rtl/>
                <w:rFonts w:cs="Arial"/>
                <w:szCs w:val="16"/>
              </w:rPr>
              <w:t>‫المحصّل‬</w:t>
            </w:r>
            <w:r>
              <w:rPr>
                <w:sz w:val="16"/>
              </w:rPr>
              <w:t>…" ×5</w:t>
            </w:r>
          </w:p>
        </w:tc>
      </w:tr>
      <w:tr>
        <w:trPr>
          <w:cantSplit/>
        </w:trPr>
        <w:tc>
          <w:tcPr>
            <w:tcW w:type="dxa" w:w="1193"/>
            <w:shd w:val="clear" w:color="auto" w:fill="F9FAFB"/>
          </w:tcPr>
          <w:p>
            <w:pPr>
              <w:spacing w:after="0" w:line="252" w:lineRule="auto"/>
            </w:pPr>
            <w:r>
              <w:rPr>
                <w:sz w:val="16"/>
              </w:rPr>
              <w:t>Fixed list</w:t>
            </w:r>
          </w:p>
        </w:tc>
        <w:tc>
          <w:tcPr>
            <w:tcW w:type="dxa" w:w="1193"/>
            <w:shd w:val="clear" w:color="auto" w:fill="F9FAFB"/>
          </w:tcPr>
          <w:p>
            <w:pPr>
              <w:spacing w:after="0" w:line="252" w:lineRule="auto"/>
            </w:pPr>
            <w:r>
              <w:rPr>
                <w:sz w:val="16"/>
              </w:rPr>
              <w:t>216</w:t>
            </w:r>
          </w:p>
        </w:tc>
        <w:tc>
          <w:tcPr>
            <w:tcW w:type="dxa" w:w="2069"/>
            <w:shd w:val="clear" w:color="auto" w:fill="F9FAFB"/>
          </w:tcPr>
          <w:p>
            <w:pPr>
              <w:spacing w:after="0" w:line="252" w:lineRule="auto"/>
            </w:pPr>
            <w:r>
              <w:rPr>
                <w:sz w:val="16"/>
              </w:rPr>
              <w:t>–</w:t>
            </w:r>
          </w:p>
        </w:tc>
        <w:tc>
          <w:tcPr>
            <w:tcW w:type="dxa" w:w="1193"/>
            <w:shd w:val="clear" w:color="auto" w:fill="F9FAFB"/>
          </w:tcPr>
          <w:p>
            <w:pPr>
              <w:spacing w:after="0" w:line="252" w:lineRule="auto"/>
            </w:pPr>
            <w:r>
              <w:rPr>
                <w:sz w:val="16"/>
              </w:rPr>
              <w:t>–</w:t>
            </w:r>
          </w:p>
        </w:tc>
        <w:tc>
          <w:tcPr>
            <w:tcW w:type="dxa" w:w="3649"/>
            <w:shd w:val="clear" w:color="auto" w:fill="F9FAFB"/>
          </w:tcPr>
          <w:p>
            <w:pPr>
              <w:spacing w:after="0" w:line="252" w:lineRule="auto"/>
            </w:pPr>
            <w:r>
              <w:rPr>
                <w:sz w:val="16"/>
              </w:rPr>
              <w:t>–</w:t>
            </w:r>
          </w:p>
        </w:tc>
        <w:tc>
          <w:tcPr>
            <w:tcW w:type="dxa" w:w="1276"/>
            <w:shd w:val="clear" w:color="auto" w:fill="F9FAFB"/>
          </w:tcPr>
          <w:p>
            <w:pPr>
              <w:spacing w:after="0" w:line="252" w:lineRule="auto"/>
            </w:pPr>
            <w:r>
              <w:rPr>
                <w:sz w:val="16"/>
              </w:rPr>
              <w:t>–</w:t>
            </w:r>
          </w:p>
        </w:tc>
        <w:tc>
          <w:tcPr>
            <w:tcW w:type="dxa" w:w="4450"/>
            <w:shd w:val="clear" w:color="auto" w:fill="F9FAFB"/>
          </w:tcPr>
          <w:p>
            <w:pPr>
              <w:spacing w:after="0" w:line="252" w:lineRule="auto"/>
            </w:pPr>
            <w:r>
              <w:rPr>
                <w:sz w:val="16"/>
              </w:rPr>
              <w:t xml:space="preserve">the tag </w:t>
            </w:r>
            <w:r>
              <w:rPr>
                <w:sz w:val="16"/>
                <w:rtl/>
                <w:rFonts w:cs="Arial"/>
                <w:szCs w:val="16"/>
              </w:rPr>
              <w:t>‫«يُفتح مباشرة»‬</w:t>
            </w:r>
            <w:r>
              <w:rPr>
                <w:sz w:val="16"/>
              </w:rPr>
              <w:t xml:space="preserve"> ×9</w:t>
            </w:r>
          </w:p>
        </w:tc>
      </w:tr>
      <w:tr>
        <w:trPr>
          <w:cantSplit/>
        </w:trPr>
        <w:tc>
          <w:tcPr>
            <w:tcW w:type="dxa" w:w="1193"/>
          </w:tcPr>
          <w:p>
            <w:pPr>
              <w:spacing w:after="0" w:line="252" w:lineRule="auto"/>
            </w:pPr>
            <w:r>
              <w:rPr>
                <w:sz w:val="16"/>
              </w:rPr>
              <w:t>Monthly fixed report</w:t>
            </w:r>
          </w:p>
        </w:tc>
        <w:tc>
          <w:tcPr>
            <w:tcW w:type="dxa" w:w="1193"/>
          </w:tcPr>
          <w:p>
            <w:pPr>
              <w:spacing w:after="0" w:line="252" w:lineRule="auto"/>
            </w:pPr>
            <w:r>
              <w:rPr>
                <w:sz w:val="16"/>
              </w:rPr>
              <w:t>3,531</w:t>
            </w:r>
          </w:p>
        </w:tc>
        <w:tc>
          <w:tcPr>
            <w:tcW w:type="dxa" w:w="2069"/>
          </w:tcPr>
          <w:p>
            <w:pPr>
              <w:spacing w:after="0" w:line="252" w:lineRule="auto"/>
            </w:pPr>
            <w:r>
              <w:rPr>
                <w:sz w:val="16"/>
              </w:rPr>
              <w:t>30 notes + 3 callouts</w:t>
            </w:r>
          </w:p>
        </w:tc>
        <w:tc>
          <w:tcPr>
            <w:tcW w:type="dxa" w:w="1193"/>
          </w:tcPr>
          <w:p>
            <w:pPr>
              <w:spacing w:after="0" w:line="252" w:lineRule="auto"/>
            </w:pPr>
            <w:r>
              <w:rPr>
                <w:sz w:val="16"/>
              </w:rPr>
              <w:t>17,824 px</w:t>
            </w:r>
          </w:p>
        </w:tc>
        <w:tc>
          <w:tcPr>
            <w:tcW w:type="dxa" w:w="3649"/>
          </w:tcPr>
          <w:p>
            <w:pPr>
              <w:spacing w:after="0" w:line="252" w:lineRule="auto"/>
            </w:pPr>
            <w:r>
              <w:rPr>
                <w:b/>
                <w:sz w:val="16"/>
              </w:rPr>
              <w:t>first KPI at 1,000 px</w:t>
            </w:r>
            <w:r>
              <w:rPr>
                <w:sz w:val="16"/>
              </w:rPr>
              <w:t xml:space="preserve"> (below a 900 px screen); first section heading at 1,465 px</w:t>
            </w:r>
          </w:p>
        </w:tc>
        <w:tc>
          <w:tcPr>
            <w:tcW w:type="dxa" w:w="1276"/>
          </w:tcPr>
          <w:p>
            <w:pPr>
              <w:spacing w:after="0" w:line="252" w:lineRule="auto"/>
            </w:pPr>
            <w:r>
              <w:rPr>
                <w:sz w:val="16"/>
              </w:rPr>
              <w:t>–</w:t>
            </w:r>
          </w:p>
        </w:tc>
        <w:tc>
          <w:tcPr>
            <w:tcW w:type="dxa" w:w="4450"/>
          </w:tcPr>
          <w:p>
            <w:pPr>
              <w:spacing w:after="0" w:line="252" w:lineRule="auto"/>
            </w:pPr>
            <w:r>
              <w:rPr>
                <w:sz w:val="16"/>
              </w:rPr>
              <w:t>"</w:t>
            </w:r>
            <w:r>
              <w:rPr>
                <w:sz w:val="16"/>
                <w:rtl/>
                <w:rFonts w:cs="Arial"/>
                <w:szCs w:val="16"/>
              </w:rPr>
              <w:t>‫تجريبي/اصطناعي‬</w:t>
            </w:r>
            <w:r>
              <w:rPr>
                <w:sz w:val="16"/>
              </w:rPr>
              <w:t>" ×14; "SAR" ×86; each insight = 12 lines / 86 words</w:t>
            </w:r>
          </w:p>
        </w:tc>
      </w:tr>
      <w:tr>
        <w:trPr>
          <w:cantSplit/>
        </w:trPr>
        <w:tc>
          <w:tcPr>
            <w:tcW w:type="dxa" w:w="1193"/>
            <w:shd w:val="clear" w:color="auto" w:fill="F9FAFB"/>
          </w:tcPr>
          <w:p>
            <w:pPr>
              <w:spacing w:after="0" w:line="252" w:lineRule="auto"/>
            </w:pPr>
            <w:r>
              <w:rPr>
                <w:sz w:val="16"/>
              </w:rPr>
              <w:t>Planning</w:t>
            </w:r>
          </w:p>
        </w:tc>
        <w:tc>
          <w:tcPr>
            <w:tcW w:type="dxa" w:w="1193"/>
            <w:shd w:val="clear" w:color="auto" w:fill="F9FAFB"/>
          </w:tcPr>
          <w:p>
            <w:pPr>
              <w:spacing w:after="0" w:line="252" w:lineRule="auto"/>
            </w:pPr>
            <w:r>
              <w:rPr>
                <w:sz w:val="16"/>
              </w:rPr>
              <w:t>2,023</w:t>
            </w:r>
          </w:p>
        </w:tc>
        <w:tc>
          <w:tcPr>
            <w:tcW w:type="dxa" w:w="2069"/>
            <w:shd w:val="clear" w:color="auto" w:fill="F9FAFB"/>
          </w:tcPr>
          <w:p>
            <w:pPr>
              <w:spacing w:after="0" w:line="252" w:lineRule="auto"/>
            </w:pPr>
            <w:r>
              <w:rPr>
                <w:sz w:val="16"/>
              </w:rPr>
              <w:t>–</w:t>
            </w:r>
          </w:p>
        </w:tc>
        <w:tc>
          <w:tcPr>
            <w:tcW w:type="dxa" w:w="1193"/>
            <w:shd w:val="clear" w:color="auto" w:fill="F9FAFB"/>
          </w:tcPr>
          <w:p>
            <w:pPr>
              <w:spacing w:after="0" w:line="252" w:lineRule="auto"/>
            </w:pPr>
            <w:r>
              <w:rPr>
                <w:sz w:val="16"/>
              </w:rPr>
              <w:t>10,548 px</w:t>
            </w:r>
          </w:p>
        </w:tc>
        <w:tc>
          <w:tcPr>
            <w:tcW w:type="dxa" w:w="3649"/>
            <w:shd w:val="clear" w:color="auto" w:fill="F9FAFB"/>
          </w:tcPr>
          <w:p>
            <w:pPr>
              <w:spacing w:after="0" w:line="252" w:lineRule="auto"/>
            </w:pPr>
            <w:r>
              <w:rPr>
                <w:sz w:val="16"/>
              </w:rPr>
              <w:t xml:space="preserve">first section at </w:t>
            </w:r>
            <w:r>
              <w:rPr>
                <w:b/>
                <w:sz w:val="16"/>
              </w:rPr>
              <w:t>1,280 px</w:t>
            </w:r>
          </w:p>
        </w:tc>
        <w:tc>
          <w:tcPr>
            <w:tcW w:type="dxa" w:w="1276"/>
            <w:shd w:val="clear" w:color="auto" w:fill="F9FAFB"/>
          </w:tcPr>
          <w:p>
            <w:pPr>
              <w:spacing w:after="0" w:line="252" w:lineRule="auto"/>
            </w:pPr>
            <w:r>
              <w:rPr>
                <w:sz w:val="16"/>
              </w:rPr>
              <w:t>23</w:t>
            </w:r>
          </w:p>
        </w:tc>
        <w:tc>
          <w:tcPr>
            <w:tcW w:type="dxa" w:w="4450"/>
            <w:shd w:val="clear" w:color="auto" w:fill="F9FAFB"/>
          </w:tcPr>
          <w:p>
            <w:pPr>
              <w:spacing w:after="0" w:line="252" w:lineRule="auto"/>
            </w:pPr>
            <w:r>
              <w:rPr>
                <w:sz w:val="16"/>
              </w:rPr>
              <w:t>41 pills (23 distinct texts); "</w:t>
            </w:r>
            <w:r>
              <w:rPr>
                <w:sz w:val="16"/>
                <w:rtl/>
                <w:rFonts w:cs="Arial"/>
                <w:szCs w:val="16"/>
              </w:rPr>
              <w:t>‫تجريبي‬</w:t>
            </w:r>
            <w:r>
              <w:rPr>
                <w:sz w:val="16"/>
              </w:rPr>
              <w:t xml:space="preserve">" ×22; </w:t>
            </w:r>
            <w:r>
              <w:rPr>
                <w:sz w:val="16"/>
                <w:rtl/>
                <w:rFonts w:cs="Arial"/>
                <w:szCs w:val="16"/>
              </w:rPr>
              <w:t>‫«غير معتمد»‬</w:t>
            </w:r>
            <w:r>
              <w:rPr>
                <w:sz w:val="16"/>
              </w:rPr>
              <w:t xml:space="preserve"> ×12; one proposal = 15 lines / 134 words; scenario lever = 15–27 words; the register section alone = 990 words</w:t>
            </w:r>
          </w:p>
        </w:tc>
      </w:tr>
      <w:tr>
        <w:trPr>
          <w:cantSplit/>
        </w:trPr>
        <w:tc>
          <w:tcPr>
            <w:tcW w:type="dxa" w:w="1193"/>
          </w:tcPr>
          <w:p>
            <w:pPr>
              <w:spacing w:after="0" w:line="252" w:lineRule="auto"/>
            </w:pPr>
            <w:r>
              <w:rPr>
                <w:sz w:val="16"/>
              </w:rPr>
              <w:t>Smart (empty)</w:t>
            </w:r>
          </w:p>
        </w:tc>
        <w:tc>
          <w:tcPr>
            <w:tcW w:type="dxa" w:w="1193"/>
          </w:tcPr>
          <w:p>
            <w:pPr>
              <w:spacing w:after="0" w:line="252" w:lineRule="auto"/>
            </w:pPr>
            <w:r>
              <w:rPr>
                <w:sz w:val="16"/>
              </w:rPr>
              <w:t>99</w:t>
            </w:r>
          </w:p>
        </w:tc>
        <w:tc>
          <w:tcPr>
            <w:tcW w:type="dxa" w:w="2069"/>
          </w:tcPr>
          <w:p>
            <w:pPr>
              <w:spacing w:after="0" w:line="252" w:lineRule="auto"/>
            </w:pPr>
            <w:r>
              <w:rPr>
                <w:sz w:val="16"/>
              </w:rPr>
              <w:t>banner 33 words</w:t>
            </w:r>
          </w:p>
        </w:tc>
        <w:tc>
          <w:tcPr>
            <w:tcW w:type="dxa" w:w="1193"/>
          </w:tcPr>
          <w:p>
            <w:pPr>
              <w:spacing w:after="0" w:line="252" w:lineRule="auto"/>
            </w:pPr>
            <w:r>
              <w:rPr>
                <w:sz w:val="16"/>
              </w:rPr>
              <w:t>–</w:t>
            </w:r>
          </w:p>
        </w:tc>
        <w:tc>
          <w:tcPr>
            <w:tcW w:type="dxa" w:w="3649"/>
          </w:tcPr>
          <w:p>
            <w:pPr>
              <w:spacing w:after="0" w:line="252" w:lineRule="auto"/>
            </w:pPr>
            <w:r>
              <w:rPr>
                <w:sz w:val="16"/>
              </w:rPr>
              <w:t>composer at 724 px of 800</w:t>
            </w:r>
          </w:p>
        </w:tc>
        <w:tc>
          <w:tcPr>
            <w:tcW w:type="dxa" w:w="1276"/>
          </w:tcPr>
          <w:p>
            <w:pPr>
              <w:spacing w:after="0" w:line="252" w:lineRule="auto"/>
            </w:pPr>
            <w:r>
              <w:rPr>
                <w:sz w:val="16"/>
              </w:rPr>
              <w:t>–</w:t>
            </w:r>
          </w:p>
        </w:tc>
        <w:tc>
          <w:tcPr>
            <w:tcW w:type="dxa" w:w="4450"/>
          </w:tcPr>
          <w:p>
            <w:pPr>
              <w:spacing w:after="0" w:line="252" w:lineRule="auto"/>
            </w:pPr>
            <w:r>
              <w:rPr>
                <w:sz w:val="16"/>
              </w:rPr>
              <w:t>–</w:t>
            </w:r>
          </w:p>
        </w:tc>
      </w:tr>
    </w:tbl>
    <w:p>
      <w:pPr>
        <w:spacing w:after="40"/>
      </w:pPr>
    </w:p>
    <w:p>
      <w:pPr>
        <w:pStyle w:val="Heading2"/>
      </w:pPr>
      <w:r>
        <w:t>10. Content and clarity</w:t>
      </w:r>
    </w:p>
    <w:p>
      <w:pPr>
        <w:pStyle w:val="Heading3"/>
      </w:pPr>
      <w:r>
        <w:t>10.1 What is wrong, in order of risk</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10"/>
        <w:gridCol w:w="1210"/>
        <w:gridCol w:w="10018"/>
        <w:gridCol w:w="2586"/>
      </w:tblGrid>
      <w:tr>
        <w:trPr>
          <w:tblHeader w:val="true"/>
          <w:cantSplit/>
        </w:trPr>
        <w:tc>
          <w:tcPr>
            <w:tcW w:type="dxa" w:w="1210"/>
            <w:shd w:val="clear" w:color="auto" w:fill="1B8354"/>
          </w:tcPr>
          <w:p>
            <w:pPr>
              <w:spacing w:after="0" w:line="252" w:lineRule="auto"/>
            </w:pPr>
            <w:r>
              <w:rPr>
                <w:b/>
                <w:color w:val="FFFFFF"/>
                <w:sz w:val="17"/>
              </w:rPr>
              <w:t>ID</w:t>
            </w:r>
          </w:p>
        </w:tc>
        <w:tc>
          <w:tcPr>
            <w:tcW w:type="dxa" w:w="1210"/>
            <w:shd w:val="clear" w:color="auto" w:fill="1B8354"/>
          </w:tcPr>
          <w:p>
            <w:pPr>
              <w:spacing w:after="0" w:line="252" w:lineRule="auto"/>
            </w:pPr>
            <w:r>
              <w:rPr>
                <w:b/>
                <w:color w:val="FFFFFF"/>
                <w:sz w:val="17"/>
              </w:rPr>
              <w:t>Sev.</w:t>
            </w:r>
          </w:p>
        </w:tc>
        <w:tc>
          <w:tcPr>
            <w:tcW w:type="dxa" w:w="10018"/>
            <w:shd w:val="clear" w:color="auto" w:fill="1B8354"/>
          </w:tcPr>
          <w:p>
            <w:pPr>
              <w:spacing w:after="0" w:line="252" w:lineRule="auto"/>
            </w:pPr>
            <w:r>
              <w:rPr>
                <w:b/>
                <w:color w:val="FFFFFF"/>
                <w:sz w:val="17"/>
              </w:rPr>
              <w:t>Finding</w:t>
            </w:r>
          </w:p>
        </w:tc>
        <w:tc>
          <w:tcPr>
            <w:tcW w:type="dxa" w:w="2586"/>
            <w:shd w:val="clear" w:color="auto" w:fill="1B8354"/>
          </w:tcPr>
          <w:p>
            <w:pPr>
              <w:spacing w:after="0" w:line="252" w:lineRule="auto"/>
            </w:pPr>
            <w:r>
              <w:rPr>
                <w:b/>
                <w:color w:val="FFFFFF"/>
                <w:sz w:val="17"/>
              </w:rPr>
              <w:t>Evidence</w:t>
            </w:r>
          </w:p>
        </w:tc>
      </w:tr>
      <w:tr>
        <w:trPr>
          <w:cantSplit/>
        </w:trPr>
        <w:tc>
          <w:tcPr>
            <w:tcW w:type="dxa" w:w="1210"/>
          </w:tcPr>
          <w:p>
            <w:pPr>
              <w:spacing w:after="0" w:line="252" w:lineRule="auto"/>
            </w:pPr>
            <w:r>
              <w:rPr>
                <w:b/>
                <w:sz w:val="17"/>
              </w:rPr>
              <w:t>C-01</w:t>
            </w:r>
          </w:p>
        </w:tc>
        <w:tc>
          <w:tcPr>
            <w:tcW w:type="dxa" w:w="1210"/>
          </w:tcPr>
          <w:p>
            <w:pPr>
              <w:spacing w:after="0" w:line="252" w:lineRule="auto"/>
            </w:pPr>
            <w:r>
              <w:rPr>
                <w:sz w:val="17"/>
              </w:rPr>
              <w:t>P0</w:t>
            </w:r>
          </w:p>
        </w:tc>
        <w:tc>
          <w:tcPr>
            <w:tcW w:type="dxa" w:w="10018"/>
          </w:tcPr>
          <w:p>
            <w:pPr>
              <w:spacing w:after="0" w:line="252" w:lineRule="auto"/>
            </w:pPr>
            <w:r>
              <w:rPr>
                <w:b/>
                <w:sz w:val="17"/>
              </w:rPr>
              <w:t>Unsupported or false statements shown as fact.</w:t>
            </w:r>
            <w:r>
              <w:rPr>
                <w:sz w:val="17"/>
              </w:rPr>
              <w:t xml:space="preserve"> (a) Dashboard header: </w:t>
            </w:r>
            <w:r>
              <w:rPr>
                <w:sz w:val="17"/>
                <w:rtl/>
                <w:rFonts w:cs="Arial"/>
                <w:szCs w:val="17"/>
              </w:rPr>
              <w:t>‫«أرقام واحدة في كل الواجهات الثلاث»‬</w:t>
            </w:r>
            <w:r>
              <w:rPr>
                <w:sz w:val="17"/>
              </w:rPr>
              <w:t xml:space="preserve"> — false for closed periods (F-01). (b) Monthly report: </w:t>
            </w:r>
            <w:r>
              <w:rPr>
                <w:sz w:val="17"/>
                <w:rtl/>
                <w:rFonts w:cs="Arial"/>
                <w:szCs w:val="17"/>
              </w:rPr>
              <w:t>‫«لا توجد تدخلات موصى بها لهذا النطاق»‬</w:t>
            </w:r>
            <w:r>
              <w:rPr>
                <w:sz w:val="17"/>
              </w:rPr>
              <w:t xml:space="preserve"> next to </w:t>
            </w:r>
            <w:r>
              <w:rPr>
                <w:sz w:val="17"/>
                <w:rtl/>
                <w:rFonts w:cs="Arial"/>
                <w:szCs w:val="17"/>
              </w:rPr>
              <w:t>‫«يستدعي إجراء»‬</w:t>
            </w:r>
            <w:r>
              <w:rPr>
                <w:sz w:val="17"/>
              </w:rPr>
              <w:t xml:space="preserve"> (F-03). (c) Fixed-report note </w:t>
            </w:r>
            <w:r>
              <w:rPr>
                <w:sz w:val="17"/>
                <w:rtl/>
                <w:rFonts w:cs="Arial"/>
                <w:szCs w:val="17"/>
              </w:rPr>
              <w:t>‫«كل فترة تُقاس عند نهايتها (المدة المنقضية نفسها)»‬</w:t>
            </w:r>
            <w:r>
              <w:rPr>
                <w:sz w:val="17"/>
              </w:rPr>
              <w:t xml:space="preserve"> while the current figure is measured at today (F-01). (d) Relations block: </w:t>
            </w:r>
            <w:r>
              <w:rPr>
                <w:sz w:val="17"/>
                <w:rtl/>
                <w:rFonts w:cs="Arial"/>
                <w:szCs w:val="17"/>
              </w:rPr>
              <w:t>‫«نسبة التحصيل غير متاحة»‬</w:t>
            </w:r>
            <w:r>
              <w:rPr>
                <w:sz w:val="17"/>
              </w:rPr>
              <w:t xml:space="preserve"> for an available figure (F-02). (e) </w:t>
            </w:r>
            <w:r>
              <w:rPr>
                <w:sz w:val="17"/>
                <w:rtl/>
                <w:rFonts w:cs="Arial"/>
                <w:szCs w:val="17"/>
              </w:rPr>
              <w:t>‫«قواعد معتمدة»‬</w:t>
            </w:r>
            <w:r>
              <w:rPr>
                <w:sz w:val="17"/>
              </w:rPr>
              <w:t xml:space="preserve"> / </w:t>
            </w:r>
            <w:r>
              <w:rPr>
                <w:sz w:val="17"/>
                <w:rtl/>
                <w:rFonts w:cs="Arial"/>
                <w:szCs w:val="17"/>
              </w:rPr>
              <w:t>‫«مستبعدة وفق قاعدة معتمدة»‬</w:t>
            </w:r>
            <w:r>
              <w:rPr>
                <w:sz w:val="17"/>
              </w:rPr>
              <w:t xml:space="preserve"> for exclusions that are 99.7 % unapproved (F-08). (f) Assumption </w:t>
            </w:r>
            <w:r>
              <w:rPr>
                <w:sz w:val="17"/>
                <w:rtl/>
                <w:rFonts w:cs="Arial"/>
                <w:szCs w:val="17"/>
              </w:rPr>
              <w:t>‫«فقط الاستبعادات المعتمدة… تخفض صافي المفوتر»‬</w:t>
            </w:r>
            <w:r>
              <w:rPr>
                <w:sz w:val="17"/>
              </w:rPr>
              <w:t xml:space="preserve"> vs 811 M of unapproved exclusions in the same report. (g) Fixed-report empty state </w:t>
            </w:r>
            <w:r>
              <w:rPr>
                <w:sz w:val="17"/>
                <w:rtl/>
                <w:rFonts w:cs="Arial"/>
                <w:szCs w:val="17"/>
              </w:rPr>
              <w:t>‫«العام السابق خارج نطاق البيانات»‬</w:t>
            </w:r>
            <w:r>
              <w:rPr>
                <w:sz w:val="17"/>
              </w:rPr>
              <w:t xml:space="preserve"> when the real reason is "no invoices" (F-25). (h) Tooltip </w:t>
            </w:r>
            <w:r>
              <w:rPr>
                <w:sz w:val="17"/>
                <w:rtl/>
                <w:rFonts w:cs="Arial"/>
                <w:szCs w:val="17"/>
              </w:rPr>
              <w:t>‫«اكتمال البيانات 93 %»‬</w:t>
            </w:r>
            <w:r>
              <w:rPr>
                <w:sz w:val="17"/>
              </w:rPr>
              <w:t xml:space="preserve"> has no definition anywhere (Verified UI: the popover lists it with no explanation; Hypothesis: it is a derived field without a documented formula).</w:t>
            </w:r>
          </w:p>
        </w:tc>
        <w:tc>
          <w:tcPr>
            <w:tcW w:type="dxa" w:w="2586"/>
          </w:tcPr>
          <w:p>
            <w:pPr>
              <w:spacing w:after="0" w:line="252" w:lineRule="auto"/>
            </w:pPr>
            <w:r>
              <w:rPr>
                <w:sz w:val="17"/>
              </w:rPr>
              <w:t>Verified (UI) a–g</w:t>
            </w:r>
          </w:p>
        </w:tc>
      </w:tr>
      <w:tr>
        <w:trPr>
          <w:cantSplit/>
        </w:trPr>
        <w:tc>
          <w:tcPr>
            <w:tcW w:type="dxa" w:w="1210"/>
            <w:shd w:val="clear" w:color="auto" w:fill="F9FAFB"/>
          </w:tcPr>
          <w:p>
            <w:pPr>
              <w:spacing w:after="0" w:line="252" w:lineRule="auto"/>
            </w:pPr>
            <w:r>
              <w:rPr>
                <w:b/>
                <w:sz w:val="17"/>
              </w:rPr>
              <w:t>C-02</w:t>
            </w:r>
          </w:p>
        </w:tc>
        <w:tc>
          <w:tcPr>
            <w:tcW w:type="dxa" w:w="1210"/>
            <w:shd w:val="clear" w:color="auto" w:fill="F9FAFB"/>
          </w:tcPr>
          <w:p>
            <w:pPr>
              <w:spacing w:after="0" w:line="252" w:lineRule="auto"/>
            </w:pPr>
            <w:r>
              <w:rPr>
                <w:sz w:val="17"/>
              </w:rPr>
              <w:t>P1</w:t>
            </w:r>
          </w:p>
        </w:tc>
        <w:tc>
          <w:tcPr>
            <w:tcW w:type="dxa" w:w="10018"/>
            <w:shd w:val="clear" w:color="auto" w:fill="F9FAFB"/>
          </w:tcPr>
          <w:p>
            <w:pPr>
              <w:spacing w:after="0" w:line="252" w:lineRule="auto"/>
            </w:pPr>
            <w:r>
              <w:rPr>
                <w:b/>
                <w:sz w:val="17"/>
              </w:rPr>
              <w:t>One concept, five names.</w:t>
            </w:r>
            <w:r>
              <w:rPr>
                <w:sz w:val="17"/>
              </w:rPr>
              <w:t xml:space="preserve"> "Uncollected" is shown as </w:t>
            </w:r>
            <w:r>
              <w:rPr>
                <w:sz w:val="17"/>
                <w:rtl/>
                <w:rFonts w:cs="Arial"/>
                <w:szCs w:val="17"/>
              </w:rPr>
              <w:t>‫«غير المحصّل»‬</w:t>
            </w:r>
            <w:r>
              <w:rPr>
                <w:sz w:val="17"/>
              </w:rPr>
              <w:t xml:space="preserve"> (period), </w:t>
            </w:r>
            <w:r>
              <w:rPr>
                <w:sz w:val="17"/>
                <w:rtl/>
                <w:rFonts w:cs="Arial"/>
                <w:szCs w:val="17"/>
              </w:rPr>
              <w:t>‫«الإجمالي القائم»‬</w:t>
            </w:r>
            <w:r>
              <w:rPr>
                <w:sz w:val="17"/>
              </w:rPr>
              <w:t xml:space="preserve"> / </w:t>
            </w:r>
            <w:r>
              <w:rPr>
                <w:sz w:val="17"/>
                <w:rtl/>
                <w:rFonts w:cs="Arial"/>
                <w:szCs w:val="17"/>
              </w:rPr>
              <w:t>‫«رصيد قائم»‬</w:t>
            </w:r>
            <w:r>
              <w:rPr>
                <w:sz w:val="17"/>
              </w:rPr>
              <w:t xml:space="preserve"> (standing balance), </w:t>
            </w:r>
            <w:r>
              <w:rPr>
                <w:sz w:val="17"/>
                <w:rtl/>
                <w:rFonts w:cs="Arial"/>
                <w:szCs w:val="17"/>
              </w:rPr>
              <w:t>‫«المتبقي»‬</w:t>
            </w:r>
            <w:r>
              <w:rPr>
                <w:sz w:val="17"/>
              </w:rPr>
              <w:t xml:space="preserve"> (Collection page, Planning tile </w:t>
            </w:r>
            <w:r>
              <w:rPr>
                <w:sz w:val="17"/>
                <w:rtl/>
                <w:rFonts w:cs="Arial"/>
                <w:szCs w:val="17"/>
              </w:rPr>
              <w:t>‫«غير المحصّل (المتبقي)»‬</w:t>
            </w:r>
            <w:r>
              <w:rPr>
                <w:sz w:val="17"/>
              </w:rPr>
              <w:t xml:space="preserve">), </w:t>
            </w:r>
            <w:r>
              <w:rPr>
                <w:sz w:val="17"/>
                <w:rtl/>
                <w:rFonts w:cs="Arial"/>
                <w:szCs w:val="17"/>
              </w:rPr>
              <w:t>‫«صافي غير المحصل»‬</w:t>
            </w:r>
            <w:r>
              <w:rPr>
                <w:sz w:val="17"/>
              </w:rPr>
              <w:t xml:space="preserve"> (Noncollection page, no shadda). The Dashboard shows two different "uncollected" numbers (5.72 bn and 13.39 bn) in adjacent cards. Likewise </w:t>
            </w:r>
            <w:r>
              <w:rPr>
                <w:sz w:val="17"/>
                <w:rtl/>
                <w:rFonts w:cs="Arial"/>
                <w:szCs w:val="17"/>
              </w:rPr>
              <w:t>‫«المحصّل»‬</w:t>
            </w:r>
            <w:r>
              <w:rPr>
                <w:sz w:val="17"/>
              </w:rPr>
              <w:t xml:space="preserve"> (collected on period invoices) vs </w:t>
            </w:r>
            <w:r>
              <w:rPr>
                <w:sz w:val="17"/>
                <w:rtl/>
                <w:rFonts w:cs="Arial"/>
                <w:szCs w:val="17"/>
              </w:rPr>
              <w:t>‫«المقبوض»‬</w:t>
            </w:r>
            <w:r>
              <w:rPr>
                <w:sz w:val="17"/>
              </w:rPr>
              <w:t xml:space="preserve"> (receipts by payment date) vs </w:t>
            </w:r>
            <w:r>
              <w:rPr>
                <w:sz w:val="17"/>
                <w:rtl/>
                <w:rFonts w:cs="Arial"/>
                <w:szCs w:val="17"/>
              </w:rPr>
              <w:t>‫«المقبوضات»‬</w:t>
            </w:r>
            <w:r>
              <w:rPr>
                <w:sz w:val="17"/>
              </w:rPr>
              <w:t xml:space="preserve"> (Planning) are three words for two measures.</w:t>
            </w:r>
          </w:p>
        </w:tc>
        <w:tc>
          <w:tcPr>
            <w:tcW w:type="dxa" w:w="2586"/>
            <w:shd w:val="clear" w:color="auto" w:fill="F9FAFB"/>
          </w:tcPr>
          <w:p>
            <w:pPr>
              <w:spacing w:after="0" w:line="252" w:lineRule="auto"/>
            </w:pPr>
            <w:r>
              <w:rPr>
                <w:sz w:val="17"/>
              </w:rPr>
              <w:t>Verified (UI)</w:t>
            </w:r>
          </w:p>
        </w:tc>
      </w:tr>
      <w:tr>
        <w:trPr>
          <w:cantSplit/>
        </w:trPr>
        <w:tc>
          <w:tcPr>
            <w:tcW w:type="dxa" w:w="1210"/>
          </w:tcPr>
          <w:p>
            <w:pPr>
              <w:spacing w:after="0" w:line="252" w:lineRule="auto"/>
            </w:pPr>
            <w:r>
              <w:rPr>
                <w:b/>
                <w:sz w:val="17"/>
              </w:rPr>
              <w:t>C-03</w:t>
            </w:r>
          </w:p>
        </w:tc>
        <w:tc>
          <w:tcPr>
            <w:tcW w:type="dxa" w:w="1210"/>
          </w:tcPr>
          <w:p>
            <w:pPr>
              <w:spacing w:after="0" w:line="252" w:lineRule="auto"/>
            </w:pPr>
            <w:r>
              <w:rPr>
                <w:sz w:val="17"/>
              </w:rPr>
              <w:t>P1</w:t>
            </w:r>
          </w:p>
        </w:tc>
        <w:tc>
          <w:tcPr>
            <w:tcW w:type="dxa" w:w="10018"/>
          </w:tcPr>
          <w:p>
            <w:pPr>
              <w:spacing w:after="0" w:line="252" w:lineRule="auto"/>
            </w:pPr>
            <w:r>
              <w:rPr>
                <w:b/>
                <w:sz w:val="17"/>
              </w:rPr>
              <w:t>Technical implementation exposed to business users:</w:t>
            </w:r>
            <w:r>
              <w:rPr>
                <w:sz w:val="17"/>
              </w:rPr>
              <w:t xml:space="preserve"> rule codes and versions (</w:t>
            </w:r>
            <w:r>
              <w:rPr>
                <w:rFonts w:ascii="Consolas" w:hAnsi="Consolas" w:cs="Consolas"/>
                <w:color w:val="B42318"/>
                <w:sz w:val="16"/>
              </w:rPr>
              <w:t>EXCL-RULES v2 (demo configuration)</w:t>
            </w:r>
            <w:r>
              <w:rPr>
                <w:sz w:val="17"/>
              </w:rPr>
              <w:t>, INC-1/EXE-1/EFA-1/NOC-1/DEC-1/OBJ-1/ENF-1), action ids (</w:t>
            </w:r>
            <w:r>
              <w:rPr>
                <w:rFonts w:ascii="Consolas" w:hAnsi="Consolas" w:cs="Consolas"/>
                <w:color w:val="B42318"/>
                <w:sz w:val="16"/>
              </w:rPr>
              <w:t>ACT-MV0XEEXSR21</w:t>
            </w:r>
            <w:r>
              <w:rPr>
                <w:sz w:val="17"/>
              </w:rPr>
              <w:t xml:space="preserve">) as pills, "✓ </w:t>
            </w:r>
            <w:r>
              <w:rPr>
                <w:sz w:val="17"/>
                <w:rtl/>
                <w:rFonts w:cs="Arial"/>
                <w:szCs w:val="17"/>
              </w:rPr>
              <w:t>‫المعادلات متحققة‬</w:t>
            </w:r>
            <w:r>
              <w:rPr>
                <w:sz w:val="17"/>
              </w:rPr>
              <w:t xml:space="preserve">", </w:t>
            </w:r>
            <w:r>
              <w:rPr>
                <w:sz w:val="17"/>
                <w:rtl/>
                <w:rFonts w:cs="Arial"/>
                <w:szCs w:val="17"/>
              </w:rPr>
              <w:t>‫«أيام السماح: 0 (غير محسوم)»‬</w:t>
            </w:r>
            <w:r>
              <w:rPr>
                <w:sz w:val="17"/>
              </w:rPr>
              <w:t>, raw keys (</w:t>
            </w:r>
            <w:r>
              <w:rPr>
                <w:rFonts w:ascii="Consolas" w:hAnsi="Consolas" w:cs="Consolas"/>
                <w:color w:val="B42318"/>
                <w:sz w:val="16"/>
              </w:rPr>
              <w:t>housing_sales</w:t>
            </w:r>
            <w:r>
              <w:rPr>
                <w:sz w:val="17"/>
              </w:rPr>
              <w:t>), "Σ", "pp", "</w:t>
            </w:r>
            <w:r>
              <w:rPr>
                <w:sz w:val="17"/>
                <w:rtl/>
                <w:rFonts w:cs="Arial"/>
                <w:szCs w:val="17"/>
              </w:rPr>
              <w:t>‫عينة مضغوطة 895‬</w:t>
            </w:r>
            <w:r>
              <w:rPr>
                <w:sz w:val="17"/>
              </w:rPr>
              <w:t xml:space="preserve">", </w:t>
            </w:r>
            <w:r>
              <w:rPr>
                <w:sz w:val="17"/>
                <w:rtl/>
                <w:rFonts w:cs="Arial"/>
                <w:szCs w:val="17"/>
              </w:rPr>
              <w:t>‫«الديمو»‬</w:t>
            </w:r>
            <w:r>
              <w:rPr>
                <w:sz w:val="17"/>
              </w:rPr>
              <w:t xml:space="preserve">, </w:t>
            </w:r>
            <w:r>
              <w:rPr>
                <w:sz w:val="17"/>
                <w:rtl/>
                <w:rFonts w:cs="Arial"/>
                <w:szCs w:val="17"/>
              </w:rPr>
              <w:t>‫«خلية أمانة × مصدر»‬</w:t>
            </w:r>
            <w:r>
              <w:rPr>
                <w:sz w:val="17"/>
              </w:rPr>
              <w:t xml:space="preserve">, </w:t>
            </w:r>
            <w:r>
              <w:rPr>
                <w:sz w:val="17"/>
                <w:rtl/>
                <w:rFonts w:cs="Arial"/>
                <w:szCs w:val="17"/>
              </w:rPr>
              <w:t>‫«مقام المؤشر»‬</w:t>
            </w:r>
            <w:r>
              <w:rPr>
                <w:sz w:val="17"/>
              </w:rPr>
              <w:t xml:space="preserve">, system names </w:t>
            </w:r>
            <w:r>
              <w:rPr>
                <w:sz w:val="17"/>
                <w:rtl/>
                <w:rFonts w:cs="Arial"/>
                <w:szCs w:val="17"/>
              </w:rPr>
              <w:t>‫«تحصيل/مكين/إيفاء/فرص»‬</w:t>
            </w:r>
            <w:r>
              <w:rPr>
                <w:sz w:val="17"/>
              </w:rPr>
              <w:t xml:space="preserve"> as unexplained sources (and </w:t>
            </w:r>
            <w:r>
              <w:rPr>
                <w:sz w:val="17"/>
                <w:rtl/>
                <w:rFonts w:cs="Arial"/>
                <w:szCs w:val="17"/>
              </w:rPr>
              <w:t>‫«تحصيل»‬</w:t>
            </w:r>
            <w:r>
              <w:rPr>
                <w:sz w:val="17"/>
              </w:rPr>
              <w:t xml:space="preserve"> is also the Arabic word for "collection").</w:t>
            </w:r>
          </w:p>
        </w:tc>
        <w:tc>
          <w:tcPr>
            <w:tcW w:type="dxa" w:w="2586"/>
          </w:tcPr>
          <w:p>
            <w:pPr>
              <w:spacing w:after="0" w:line="252" w:lineRule="auto"/>
            </w:pPr>
            <w:r>
              <w:rPr>
                <w:sz w:val="17"/>
              </w:rPr>
              <w:t>Verified (UI/code)</w:t>
            </w:r>
          </w:p>
        </w:tc>
      </w:tr>
      <w:tr>
        <w:trPr>
          <w:cantSplit/>
        </w:trPr>
        <w:tc>
          <w:tcPr>
            <w:tcW w:type="dxa" w:w="1210"/>
            <w:shd w:val="clear" w:color="auto" w:fill="F9FAFB"/>
          </w:tcPr>
          <w:p>
            <w:pPr>
              <w:spacing w:after="0" w:line="252" w:lineRule="auto"/>
            </w:pPr>
            <w:r>
              <w:rPr>
                <w:b/>
                <w:sz w:val="17"/>
              </w:rPr>
              <w:t>C-04</w:t>
            </w:r>
          </w:p>
        </w:tc>
        <w:tc>
          <w:tcPr>
            <w:tcW w:type="dxa" w:w="1210"/>
            <w:shd w:val="clear" w:color="auto" w:fill="F9FAFB"/>
          </w:tcPr>
          <w:p>
            <w:pPr>
              <w:spacing w:after="0" w:line="252" w:lineRule="auto"/>
            </w:pPr>
            <w:r>
              <w:rPr>
                <w:sz w:val="17"/>
              </w:rPr>
              <w:t>P1</w:t>
            </w:r>
          </w:p>
        </w:tc>
        <w:tc>
          <w:tcPr>
            <w:tcW w:type="dxa" w:w="10018"/>
            <w:shd w:val="clear" w:color="auto" w:fill="F9FAFB"/>
          </w:tcPr>
          <w:p>
            <w:pPr>
              <w:spacing w:after="0" w:line="252" w:lineRule="auto"/>
            </w:pPr>
            <w:r>
              <w:rPr>
                <w:b/>
                <w:sz w:val="17"/>
              </w:rPr>
              <w:t>Disclaimers repeated instead of stated once.</w:t>
            </w:r>
            <w:r>
              <w:rPr>
                <w:sz w:val="17"/>
              </w:rPr>
              <w:t xml:space="preserve"> "Synthetic/demo" appears 6× on the Dashboard, 14× in a report, 22× in Planning; </w:t>
            </w:r>
            <w:r>
              <w:rPr>
                <w:sz w:val="17"/>
                <w:rtl/>
                <w:rFonts w:cs="Arial"/>
                <w:szCs w:val="17"/>
              </w:rPr>
              <w:t>‫«غير معتمد»‬</w:t>
            </w:r>
            <w:r>
              <w:rPr>
                <w:sz w:val="17"/>
              </w:rPr>
              <w:t xml:space="preserve"> 12× in Planning; the same three-sentence caveat set (basis, target is a demo, not collectible) is repeated under every insight.</w:t>
            </w:r>
          </w:p>
        </w:tc>
        <w:tc>
          <w:tcPr>
            <w:tcW w:type="dxa" w:w="2586"/>
            <w:shd w:val="clear" w:color="auto" w:fill="F9FAFB"/>
          </w:tcPr>
          <w:p>
            <w:pPr>
              <w:spacing w:after="0" w:line="252" w:lineRule="auto"/>
            </w:pPr>
            <w:r>
              <w:rPr>
                <w:sz w:val="17"/>
              </w:rPr>
              <w:t>Verified (UI)</w:t>
            </w:r>
          </w:p>
        </w:tc>
      </w:tr>
      <w:tr>
        <w:trPr>
          <w:cantSplit/>
        </w:trPr>
        <w:tc>
          <w:tcPr>
            <w:tcW w:type="dxa" w:w="1210"/>
          </w:tcPr>
          <w:p>
            <w:pPr>
              <w:spacing w:after="0" w:line="252" w:lineRule="auto"/>
            </w:pPr>
            <w:r>
              <w:rPr>
                <w:b/>
                <w:sz w:val="17"/>
              </w:rPr>
              <w:t>C-05</w:t>
            </w:r>
          </w:p>
        </w:tc>
        <w:tc>
          <w:tcPr>
            <w:tcW w:type="dxa" w:w="1210"/>
          </w:tcPr>
          <w:p>
            <w:pPr>
              <w:spacing w:after="0" w:line="252" w:lineRule="auto"/>
            </w:pPr>
            <w:r>
              <w:rPr>
                <w:sz w:val="17"/>
              </w:rPr>
              <w:t>P1</w:t>
            </w:r>
          </w:p>
        </w:tc>
        <w:tc>
          <w:tcPr>
            <w:tcW w:type="dxa" w:w="10018"/>
          </w:tcPr>
          <w:p>
            <w:pPr>
              <w:spacing w:after="0" w:line="252" w:lineRule="auto"/>
            </w:pPr>
            <w:r>
              <w:rPr>
                <w:b/>
                <w:sz w:val="17"/>
              </w:rPr>
              <w:t>Important information buried.</w:t>
            </w:r>
            <w:r>
              <w:rPr>
                <w:sz w:val="17"/>
              </w:rPr>
              <w:t xml:space="preserve"> In the monthly report the first KPI starts at 1,000 px under a 9-row context table and a report selector; the "what needs attention" items sit mid-page; in Planning, 23 controls and a 62-word plan bar precede the first section; the Dashboard has </w:t>
            </w:r>
            <w:r>
              <w:rPr>
                <w:b/>
                <w:sz w:val="17"/>
              </w:rPr>
              <w:t>no</w:t>
            </w:r>
            <w:r>
              <w:rPr>
                <w:sz w:val="17"/>
              </w:rPr>
              <w:t xml:space="preserve"> "needs attention" block at all although the engine computes insights.</w:t>
            </w:r>
          </w:p>
        </w:tc>
        <w:tc>
          <w:tcPr>
            <w:tcW w:type="dxa" w:w="2586"/>
          </w:tcPr>
          <w:p>
            <w:pPr>
              <w:spacing w:after="0" w:line="252" w:lineRule="auto"/>
            </w:pPr>
            <w:r>
              <w:rPr>
                <w:sz w:val="17"/>
              </w:rPr>
              <w:t>Verified (UI)</w:t>
            </w:r>
          </w:p>
        </w:tc>
      </w:tr>
      <w:tr>
        <w:trPr>
          <w:cantSplit/>
        </w:trPr>
        <w:tc>
          <w:tcPr>
            <w:tcW w:type="dxa" w:w="1210"/>
            <w:shd w:val="clear" w:color="auto" w:fill="F9FAFB"/>
          </w:tcPr>
          <w:p>
            <w:pPr>
              <w:spacing w:after="0" w:line="252" w:lineRule="auto"/>
            </w:pPr>
            <w:r>
              <w:rPr>
                <w:b/>
                <w:sz w:val="17"/>
              </w:rPr>
              <w:t>C-06</w:t>
            </w:r>
          </w:p>
        </w:tc>
        <w:tc>
          <w:tcPr>
            <w:tcW w:type="dxa" w:w="1210"/>
            <w:shd w:val="clear" w:color="auto" w:fill="F9FAFB"/>
          </w:tcPr>
          <w:p>
            <w:pPr>
              <w:spacing w:after="0" w:line="252" w:lineRule="auto"/>
            </w:pPr>
            <w:r>
              <w:rPr>
                <w:sz w:val="17"/>
              </w:rPr>
              <w:t>P2</w:t>
            </w:r>
          </w:p>
        </w:tc>
        <w:tc>
          <w:tcPr>
            <w:tcW w:type="dxa" w:w="10018"/>
            <w:shd w:val="clear" w:color="auto" w:fill="F9FAFB"/>
          </w:tcPr>
          <w:p>
            <w:pPr>
              <w:spacing w:after="0" w:line="252" w:lineRule="auto"/>
            </w:pPr>
            <w:r>
              <w:rPr>
                <w:b/>
                <w:sz w:val="17"/>
              </w:rPr>
              <w:t>Rhetorical headers and meta-text</w:t>
            </w:r>
            <w:r>
              <w:rPr>
                <w:sz w:val="17"/>
              </w:rPr>
              <w:t xml:space="preserve"> that explain the screen instead of using it: </w:t>
            </w:r>
            <w:r>
              <w:rPr>
                <w:sz w:val="17"/>
                <w:rtl/>
                <w:rFonts w:cs="Arial"/>
                <w:szCs w:val="17"/>
              </w:rPr>
              <w:t>‫«كيف الأداء الآن، وأين الانحراف، وأي تقرير أرفع؟…»‬</w:t>
            </w:r>
            <w:r>
              <w:rPr>
                <w:sz w:val="17"/>
              </w:rPr>
              <w:t xml:space="preserve">, </w:t>
            </w:r>
            <w:r>
              <w:rPr>
                <w:sz w:val="17"/>
                <w:rtl/>
                <w:rFonts w:cs="Arial"/>
                <w:szCs w:val="17"/>
              </w:rPr>
              <w:t>‫«ما أهدافنا؟ هل نحقق المستهدف؟ ما التوقع والفجوة؟ ماذا يتغير في السيناريوهات؟ ومن يتولى كل مبادرة؟»‬</w:t>
            </w:r>
            <w:r>
              <w:rPr>
                <w:sz w:val="17"/>
              </w:rPr>
              <w:t xml:space="preserve">, tab hints, </w:t>
            </w:r>
            <w:r>
              <w:rPr>
                <w:sz w:val="17"/>
                <w:rtl/>
                <w:rFonts w:cs="Arial"/>
                <w:szCs w:val="17"/>
              </w:rPr>
              <w:t>‫«يُفتح مباشرة»‬</w:t>
            </w:r>
            <w:r>
              <w:rPr>
                <w:sz w:val="17"/>
              </w:rPr>
              <w:t xml:space="preserve"> ×9, intro paragraph above the Amanah map.</w:t>
            </w:r>
          </w:p>
        </w:tc>
        <w:tc>
          <w:tcPr>
            <w:tcW w:type="dxa" w:w="2586"/>
            <w:shd w:val="clear" w:color="auto" w:fill="F9FAFB"/>
          </w:tcPr>
          <w:p>
            <w:pPr>
              <w:spacing w:after="0" w:line="252" w:lineRule="auto"/>
            </w:pPr>
            <w:r>
              <w:rPr>
                <w:sz w:val="17"/>
              </w:rPr>
              <w:t>Verified (UI)</w:t>
            </w:r>
          </w:p>
        </w:tc>
      </w:tr>
      <w:tr>
        <w:trPr>
          <w:cantSplit/>
        </w:trPr>
        <w:tc>
          <w:tcPr>
            <w:tcW w:type="dxa" w:w="1210"/>
          </w:tcPr>
          <w:p>
            <w:pPr>
              <w:spacing w:after="0" w:line="252" w:lineRule="auto"/>
            </w:pPr>
            <w:r>
              <w:rPr>
                <w:b/>
                <w:sz w:val="17"/>
              </w:rPr>
              <w:t>C-07</w:t>
            </w:r>
          </w:p>
        </w:tc>
        <w:tc>
          <w:tcPr>
            <w:tcW w:type="dxa" w:w="1210"/>
          </w:tcPr>
          <w:p>
            <w:pPr>
              <w:spacing w:after="0" w:line="252" w:lineRule="auto"/>
            </w:pPr>
            <w:r>
              <w:rPr>
                <w:sz w:val="17"/>
              </w:rPr>
              <w:t>P2</w:t>
            </w:r>
          </w:p>
        </w:tc>
        <w:tc>
          <w:tcPr>
            <w:tcW w:type="dxa" w:w="10018"/>
          </w:tcPr>
          <w:p>
            <w:pPr>
              <w:spacing w:after="0" w:line="252" w:lineRule="auto"/>
            </w:pPr>
            <w:r>
              <w:rPr>
                <w:b/>
                <w:sz w:val="17"/>
              </w:rPr>
              <w:t>Dense AI/assistant text.</w:t>
            </w:r>
            <w:r>
              <w:rPr>
                <w:sz w:val="17"/>
              </w:rPr>
              <w:t xml:space="preserve"> Every Smart reply opens with </w:t>
            </w:r>
            <w:r>
              <w:rPr>
                <w:sz w:val="17"/>
                <w:rtl/>
                <w:rFonts w:cs="Arial"/>
                <w:szCs w:val="17"/>
              </w:rPr>
              <w:t>‫«أعددتُ التقرير من بيانات النظام… وأبقيتُ بقية المرشحات كما هي»‬</w:t>
            </w:r>
            <w:r>
              <w:rPr>
                <w:sz w:val="17"/>
              </w:rPr>
              <w:t xml:space="preserve">; the planning assistant repeats a rule-based/simulation disclaimer in the header </w:t>
            </w:r>
            <w:r>
              <w:rPr>
                <w:b/>
                <w:sz w:val="17"/>
              </w:rPr>
              <w:t>and</w:t>
            </w:r>
            <w:r>
              <w:rPr>
                <w:sz w:val="17"/>
              </w:rPr>
              <w:t xml:space="preserve"> under every answer; a proposal card carries 15 lines.</w:t>
            </w:r>
          </w:p>
        </w:tc>
        <w:tc>
          <w:tcPr>
            <w:tcW w:type="dxa" w:w="2586"/>
          </w:tcPr>
          <w:p>
            <w:pPr>
              <w:spacing w:after="0" w:line="252" w:lineRule="auto"/>
            </w:pPr>
            <w:r>
              <w:rPr>
                <w:sz w:val="17"/>
              </w:rPr>
              <w:t>Verified (UI)</w:t>
            </w:r>
          </w:p>
        </w:tc>
      </w:tr>
      <w:tr>
        <w:trPr>
          <w:cantSplit/>
        </w:trPr>
        <w:tc>
          <w:tcPr>
            <w:tcW w:type="dxa" w:w="1210"/>
            <w:shd w:val="clear" w:color="auto" w:fill="F9FAFB"/>
          </w:tcPr>
          <w:p>
            <w:pPr>
              <w:spacing w:after="0" w:line="252" w:lineRule="auto"/>
            </w:pPr>
            <w:r>
              <w:rPr>
                <w:b/>
                <w:sz w:val="17"/>
              </w:rPr>
              <w:t>C-08</w:t>
            </w:r>
          </w:p>
        </w:tc>
        <w:tc>
          <w:tcPr>
            <w:tcW w:type="dxa" w:w="1210"/>
            <w:shd w:val="clear" w:color="auto" w:fill="F9FAFB"/>
          </w:tcPr>
          <w:p>
            <w:pPr>
              <w:spacing w:after="0" w:line="252" w:lineRule="auto"/>
            </w:pPr>
            <w:r>
              <w:rPr>
                <w:sz w:val="17"/>
              </w:rPr>
              <w:t>P2</w:t>
            </w:r>
          </w:p>
        </w:tc>
        <w:tc>
          <w:tcPr>
            <w:tcW w:type="dxa" w:w="10018"/>
            <w:shd w:val="clear" w:color="auto" w:fill="F9FAFB"/>
          </w:tcPr>
          <w:p>
            <w:pPr>
              <w:spacing w:after="0" w:line="252" w:lineRule="auto"/>
            </w:pPr>
            <w:r>
              <w:rPr>
                <w:b/>
                <w:sz w:val="17"/>
              </w:rPr>
              <w:t>Mixed language and currency style in an Arabic UI:</w:t>
            </w:r>
            <w:r>
              <w:rPr>
                <w:sz w:val="17"/>
              </w:rPr>
              <w:t xml:space="preserve"> "SAR" ×57 on the Dashboard, "pp", English strings in proposals (F-09), ISO dates with arrows («2026-01-01 → 2026-10-09»).</w:t>
            </w:r>
          </w:p>
        </w:tc>
        <w:tc>
          <w:tcPr>
            <w:tcW w:type="dxa" w:w="2586"/>
            <w:shd w:val="clear" w:color="auto" w:fill="F9FAFB"/>
          </w:tcPr>
          <w:p>
            <w:pPr>
              <w:spacing w:after="0" w:line="252" w:lineRule="auto"/>
            </w:pPr>
            <w:r>
              <w:rPr>
                <w:sz w:val="17"/>
              </w:rPr>
              <w:t>Verified (UI)</w:t>
            </w:r>
          </w:p>
        </w:tc>
      </w:tr>
      <w:tr>
        <w:trPr>
          <w:cantSplit/>
        </w:trPr>
        <w:tc>
          <w:tcPr>
            <w:tcW w:type="dxa" w:w="1210"/>
          </w:tcPr>
          <w:p>
            <w:pPr>
              <w:spacing w:after="0" w:line="252" w:lineRule="auto"/>
            </w:pPr>
            <w:r>
              <w:rPr>
                <w:b/>
                <w:sz w:val="17"/>
              </w:rPr>
              <w:t>C-09</w:t>
            </w:r>
          </w:p>
        </w:tc>
        <w:tc>
          <w:tcPr>
            <w:tcW w:type="dxa" w:w="1210"/>
          </w:tcPr>
          <w:p>
            <w:pPr>
              <w:spacing w:after="0" w:line="252" w:lineRule="auto"/>
            </w:pPr>
            <w:r>
              <w:rPr>
                <w:sz w:val="17"/>
              </w:rPr>
              <w:t>P2</w:t>
            </w:r>
          </w:p>
        </w:tc>
        <w:tc>
          <w:tcPr>
            <w:tcW w:type="dxa" w:w="10018"/>
          </w:tcPr>
          <w:p>
            <w:pPr>
              <w:spacing w:after="0" w:line="252" w:lineRule="auto"/>
            </w:pPr>
            <w:r>
              <w:rPr>
                <w:b/>
                <w:sz w:val="17"/>
              </w:rPr>
              <w:t>Tooltips carry essential information</w:t>
            </w:r>
            <w:r>
              <w:rPr>
                <w:sz w:val="17"/>
              </w:rPr>
              <w:t xml:space="preserve"> (the "?" popover holds the only explanation of each KPI's basis; </w:t>
            </w:r>
            <w:r>
              <w:rPr>
                <w:rFonts w:ascii="Consolas" w:hAnsi="Consolas" w:cs="Consolas"/>
                <w:color w:val="B42318"/>
                <w:sz w:val="16"/>
              </w:rPr>
              <w:t>title</w:t>
            </w:r>
            <w:r>
              <w:rPr>
                <w:sz w:val="17"/>
              </w:rPr>
              <w:t xml:space="preserve"> attributes ×37 are hover-only, not available on touch) and the popover lists 10 fields including system sources and rule version.</w:t>
            </w:r>
          </w:p>
        </w:tc>
        <w:tc>
          <w:tcPr>
            <w:tcW w:type="dxa" w:w="2586"/>
          </w:tcPr>
          <w:p>
            <w:pPr>
              <w:spacing w:after="0" w:line="252" w:lineRule="auto"/>
            </w:pPr>
            <w:r>
              <w:rPr>
                <w:sz w:val="17"/>
              </w:rPr>
              <w:t>Verified (UI/code)</w:t>
            </w:r>
          </w:p>
        </w:tc>
      </w:tr>
      <w:tr>
        <w:trPr>
          <w:cantSplit/>
        </w:trPr>
        <w:tc>
          <w:tcPr>
            <w:tcW w:type="dxa" w:w="1210"/>
            <w:shd w:val="clear" w:color="auto" w:fill="F9FAFB"/>
          </w:tcPr>
          <w:p>
            <w:pPr>
              <w:spacing w:after="0" w:line="252" w:lineRule="auto"/>
            </w:pPr>
            <w:r>
              <w:rPr>
                <w:b/>
                <w:sz w:val="17"/>
              </w:rPr>
              <w:t>C-10</w:t>
            </w:r>
          </w:p>
        </w:tc>
        <w:tc>
          <w:tcPr>
            <w:tcW w:type="dxa" w:w="1210"/>
            <w:shd w:val="clear" w:color="auto" w:fill="F9FAFB"/>
          </w:tcPr>
          <w:p>
            <w:pPr>
              <w:spacing w:after="0" w:line="252" w:lineRule="auto"/>
            </w:pPr>
            <w:r>
              <w:rPr>
                <w:sz w:val="17"/>
              </w:rPr>
              <w:t>P3</w:t>
            </w:r>
          </w:p>
        </w:tc>
        <w:tc>
          <w:tcPr>
            <w:tcW w:type="dxa" w:w="10018"/>
            <w:shd w:val="clear" w:color="auto" w:fill="F9FAFB"/>
          </w:tcPr>
          <w:p>
            <w:pPr>
              <w:spacing w:after="0" w:line="252" w:lineRule="auto"/>
            </w:pPr>
            <w:r>
              <w:rPr>
                <w:sz w:val="17"/>
              </w:rPr>
              <w:t xml:space="preserve">References to material the user cannot see in the product: suggestion </w:t>
            </w:r>
            <w:r>
              <w:rPr>
                <w:sz w:val="17"/>
                <w:rtl/>
                <w:rFonts w:cs="Arial"/>
                <w:szCs w:val="17"/>
              </w:rPr>
              <w:t>‫«جهّز تقريراً شهرياً مشابهاً للتقارير المرفقة»‬</w:t>
            </w:r>
            <w:r>
              <w:rPr>
                <w:sz w:val="17"/>
              </w:rPr>
              <w:t xml:space="preserve">, report purposes </w:t>
            </w:r>
            <w:r>
              <w:rPr>
                <w:sz w:val="17"/>
                <w:rtl/>
                <w:rFonts w:cs="Arial"/>
                <w:szCs w:val="17"/>
              </w:rPr>
              <w:t>‫«كما في التقارير الشهرية / ملحق التقرير الشهري»‬</w:t>
            </w:r>
            <w:r>
              <w:rPr>
                <w:sz w:val="17"/>
              </w:rPr>
              <w:t>.</w:t>
            </w:r>
          </w:p>
        </w:tc>
        <w:tc>
          <w:tcPr>
            <w:tcW w:type="dxa" w:w="2586"/>
            <w:shd w:val="clear" w:color="auto" w:fill="F9FAFB"/>
          </w:tcPr>
          <w:p>
            <w:pPr>
              <w:spacing w:after="0" w:line="252" w:lineRule="auto"/>
            </w:pPr>
            <w:r>
              <w:rPr>
                <w:sz w:val="17"/>
              </w:rPr>
              <w:t>Verified (UI)</w:t>
            </w:r>
          </w:p>
        </w:tc>
      </w:tr>
    </w:tbl>
    <w:p>
      <w:pPr>
        <w:spacing w:after="40"/>
      </w:pPr>
    </w:p>
    <w:p>
      <w:pPr>
        <w:pStyle w:val="Heading3"/>
      </w:pPr>
      <w:r>
        <w:t>10.2 Current vs proposed Arabic wording</w:t>
      </w:r>
    </w:p>
    <w:p>
      <w:r>
        <w:t>Principles used: lead with the conclusion, one idea per line, numbers before explanations, no system jargon, one unit style (</w:t>
      </w:r>
      <w:r>
        <w:rPr>
          <w:rtl/>
          <w:rFonts w:cs="Arial"/>
        </w:rPr>
        <w:t>‫«مليار ريال»‬</w:t>
      </w:r>
      <w:r>
        <w:t>), exact dates in words, caveats once and in expandable details. (The proposals are drafts for review by an Arabic content owner — see question Q16.)</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21"/>
        <w:gridCol w:w="1828"/>
        <w:gridCol w:w="3992"/>
        <w:gridCol w:w="3992"/>
        <w:gridCol w:w="3992"/>
      </w:tblGrid>
      <w:tr>
        <w:trPr>
          <w:tblHeader w:val="true"/>
          <w:cantSplit/>
        </w:trPr>
        <w:tc>
          <w:tcPr>
            <w:tcW w:type="dxa" w:w="1221"/>
            <w:shd w:val="clear" w:color="auto" w:fill="1B8354"/>
          </w:tcPr>
          <w:p>
            <w:pPr>
              <w:spacing w:after="0" w:line="252" w:lineRule="auto"/>
            </w:pPr>
            <w:r>
              <w:rPr>
                <w:b/>
                <w:color w:val="FFFFFF"/>
                <w:sz w:val="17"/>
              </w:rPr>
              <w:t>#</w:t>
            </w:r>
          </w:p>
        </w:tc>
        <w:tc>
          <w:tcPr>
            <w:tcW w:type="dxa" w:w="1828"/>
            <w:shd w:val="clear" w:color="auto" w:fill="1B8354"/>
          </w:tcPr>
          <w:p>
            <w:pPr>
              <w:spacing w:after="0" w:line="252" w:lineRule="auto"/>
            </w:pPr>
            <w:r>
              <w:rPr>
                <w:b/>
                <w:color w:val="FFFFFF"/>
                <w:sz w:val="17"/>
              </w:rPr>
              <w:t>Where</w:t>
            </w:r>
          </w:p>
        </w:tc>
        <w:tc>
          <w:tcPr>
            <w:tcW w:type="dxa" w:w="3992"/>
            <w:shd w:val="clear" w:color="auto" w:fill="1B8354"/>
          </w:tcPr>
          <w:p>
            <w:pPr>
              <w:spacing w:after="0" w:line="252" w:lineRule="auto"/>
            </w:pPr>
            <w:r>
              <w:rPr>
                <w:b/>
                <w:color w:val="FFFFFF"/>
                <w:sz w:val="17"/>
              </w:rPr>
              <w:t>Current</w:t>
            </w:r>
          </w:p>
        </w:tc>
        <w:tc>
          <w:tcPr>
            <w:tcW w:type="dxa" w:w="3992"/>
            <w:shd w:val="clear" w:color="auto" w:fill="1B8354"/>
          </w:tcPr>
          <w:p>
            <w:pPr>
              <w:spacing w:after="0" w:line="252" w:lineRule="auto"/>
            </w:pPr>
            <w:r>
              <w:rPr>
                <w:b/>
                <w:color w:val="FFFFFF"/>
                <w:sz w:val="17"/>
              </w:rPr>
              <w:t>Proposed</w:t>
            </w:r>
          </w:p>
        </w:tc>
        <w:tc>
          <w:tcPr>
            <w:tcW w:type="dxa" w:w="3992"/>
            <w:shd w:val="clear" w:color="auto" w:fill="1B8354"/>
          </w:tcPr>
          <w:p>
            <w:pPr>
              <w:spacing w:after="0" w:line="252" w:lineRule="auto"/>
            </w:pPr>
            <w:r>
              <w:rPr>
                <w:b/>
                <w:color w:val="FFFFFF"/>
                <w:sz w:val="17"/>
              </w:rPr>
              <w:t>Remove / shorten / move</w:t>
            </w:r>
          </w:p>
        </w:tc>
      </w:tr>
      <w:tr>
        <w:trPr>
          <w:cantSplit/>
        </w:trPr>
        <w:tc>
          <w:tcPr>
            <w:tcW w:type="dxa" w:w="1221"/>
          </w:tcPr>
          <w:p>
            <w:pPr>
              <w:spacing w:after="0" w:line="252" w:lineRule="auto"/>
            </w:pPr>
            <w:r>
              <w:rPr>
                <w:sz w:val="17"/>
              </w:rPr>
              <w:t>1</w:t>
            </w:r>
          </w:p>
        </w:tc>
        <w:tc>
          <w:tcPr>
            <w:tcW w:type="dxa" w:w="1828"/>
          </w:tcPr>
          <w:p>
            <w:pPr>
              <w:spacing w:after="0" w:line="252" w:lineRule="auto"/>
            </w:pPr>
            <w:r>
              <w:rPr>
                <w:sz w:val="17"/>
              </w:rPr>
              <w:t>Dashboard title + subtitle</w:t>
            </w:r>
          </w:p>
        </w:tc>
        <w:tc>
          <w:tcPr>
            <w:tcW w:type="dxa" w:w="3992"/>
          </w:tcPr>
          <w:p>
            <w:pPr>
              <w:spacing w:after="0" w:line="252" w:lineRule="auto"/>
            </w:pPr>
            <w:r>
              <w:rPr>
                <w:sz w:val="17"/>
                <w:rtl/>
                <w:rFonts w:cs="Arial"/>
                <w:szCs w:val="17"/>
              </w:rPr>
              <w:t>‫«لوحة المعلومات والتقارير»‬</w:t>
            </w:r>
            <w:r>
              <w:rPr>
                <w:sz w:val="17"/>
              </w:rPr>
              <w:t xml:space="preserve"> + </w:t>
            </w:r>
            <w:r>
              <w:rPr>
                <w:sz w:val="17"/>
                <w:rtl/>
                <w:rFonts w:cs="Arial"/>
                <w:szCs w:val="17"/>
              </w:rPr>
              <w:t>‫«كيف الأداء الآن، وأين الانحراف، وأي تقرير أرفع؟ — أرقام واحدة في كل الواجهات الثلاث.»‬</w:t>
            </w:r>
          </w:p>
        </w:tc>
        <w:tc>
          <w:tcPr>
            <w:tcW w:type="dxa" w:w="3992"/>
          </w:tcPr>
          <w:p>
            <w:pPr>
              <w:spacing w:after="0" w:line="252" w:lineRule="auto"/>
            </w:pPr>
            <w:r>
              <w:rPr>
                <w:b/>
                <w:sz w:val="17"/>
                <w:rtl/>
                <w:rFonts w:cs="Arial"/>
                <w:szCs w:val="17"/>
                <w:bCs/>
              </w:rPr>
              <w:t>‫«أداء الإيرادات والتحصيل»‬</w:t>
            </w:r>
            <w:r>
              <w:rPr>
                <w:sz w:val="17"/>
              </w:rPr>
              <w:t xml:space="preserve"> + </w:t>
            </w:r>
            <w:r>
              <w:rPr>
                <w:sz w:val="17"/>
                <w:rtl/>
                <w:rFonts w:cs="Arial"/>
                <w:szCs w:val="17"/>
              </w:rPr>
              <w:t>‫«فواتير صدرت من 1 يناير إلى 9 أكتوبر 2026 · كل الأمانات · كل المصادر»‬</w:t>
            </w:r>
          </w:p>
        </w:tc>
        <w:tc>
          <w:tcPr>
            <w:tcW w:type="dxa" w:w="3992"/>
          </w:tcPr>
          <w:p>
            <w:pPr>
              <w:spacing w:after="0" w:line="252" w:lineRule="auto"/>
            </w:pPr>
            <w:r>
              <w:rPr>
                <w:sz w:val="17"/>
              </w:rPr>
              <w:t>Remove the rhetorical sentence and the false "same numbers" claim; make the subtitle show the live period and scope.</w:t>
            </w:r>
          </w:p>
        </w:tc>
      </w:tr>
      <w:tr>
        <w:trPr>
          <w:cantSplit/>
        </w:trPr>
        <w:tc>
          <w:tcPr>
            <w:tcW w:type="dxa" w:w="1221"/>
            <w:shd w:val="clear" w:color="auto" w:fill="F9FAFB"/>
          </w:tcPr>
          <w:p>
            <w:pPr>
              <w:spacing w:after="0" w:line="252" w:lineRule="auto"/>
            </w:pPr>
            <w:r>
              <w:rPr>
                <w:sz w:val="17"/>
              </w:rPr>
              <w:t>2</w:t>
            </w:r>
          </w:p>
        </w:tc>
        <w:tc>
          <w:tcPr>
            <w:tcW w:type="dxa" w:w="1828"/>
            <w:shd w:val="clear" w:color="auto" w:fill="F9FAFB"/>
          </w:tcPr>
          <w:p>
            <w:pPr>
              <w:spacing w:after="0" w:line="252" w:lineRule="auto"/>
            </w:pPr>
            <w:r>
              <w:rPr>
                <w:sz w:val="17"/>
              </w:rPr>
              <w:t>View tabs</w:t>
            </w:r>
          </w:p>
        </w:tc>
        <w:tc>
          <w:tcPr>
            <w:tcW w:type="dxa" w:w="3992"/>
            <w:shd w:val="clear" w:color="auto" w:fill="F9FAFB"/>
          </w:tcPr>
          <w:p>
            <w:pPr>
              <w:spacing w:after="0" w:line="252" w:lineRule="auto"/>
            </w:pPr>
            <w:r>
              <w:rPr>
                <w:sz w:val="17"/>
                <w:rtl/>
                <w:rFonts w:cs="Arial"/>
                <w:szCs w:val="17"/>
              </w:rPr>
              <w:t>‫«لوحة المعلومات — رصد الأداء الآن»‬</w:t>
            </w:r>
            <w:r>
              <w:rPr>
                <w:sz w:val="17"/>
              </w:rPr>
              <w:t xml:space="preserve"> / </w:t>
            </w:r>
            <w:r>
              <w:rPr>
                <w:sz w:val="17"/>
                <w:rtl/>
                <w:rFonts w:cs="Arial"/>
                <w:szCs w:val="17"/>
              </w:rPr>
              <w:t>‫«التقارير الثابتة — صيغ قياسية تُفتح مباشرة»‬</w:t>
            </w:r>
            <w:r>
              <w:rPr>
                <w:sz w:val="17"/>
              </w:rPr>
              <w:t xml:space="preserve"> / </w:t>
            </w:r>
            <w:r>
              <w:rPr>
                <w:sz w:val="17"/>
                <w:rtl/>
                <w:rFonts w:cs="Arial"/>
                <w:szCs w:val="17"/>
              </w:rPr>
              <w:t>‫«التقارير الذكية — تحليل مخصص بالطلب»‬</w:t>
            </w:r>
          </w:p>
        </w:tc>
        <w:tc>
          <w:tcPr>
            <w:tcW w:type="dxa" w:w="3992"/>
            <w:shd w:val="clear" w:color="auto" w:fill="F9FAFB"/>
          </w:tcPr>
          <w:p>
            <w:pPr>
              <w:spacing w:after="0" w:line="252" w:lineRule="auto"/>
            </w:pPr>
            <w:r>
              <w:rPr>
                <w:sz w:val="17"/>
                <w:rtl/>
                <w:rFonts w:cs="Arial"/>
                <w:szCs w:val="17"/>
              </w:rPr>
              <w:t>‫«لوحة المعلومات»‬</w:t>
            </w:r>
            <w:r>
              <w:rPr>
                <w:sz w:val="17"/>
              </w:rPr>
              <w:t xml:space="preserve"> · </w:t>
            </w:r>
            <w:r>
              <w:rPr>
                <w:sz w:val="17"/>
                <w:rtl/>
                <w:rFonts w:cs="Arial"/>
                <w:szCs w:val="17"/>
              </w:rPr>
              <w:t>‫«التقارير الجاهزة»‬</w:t>
            </w:r>
            <w:r>
              <w:rPr>
                <w:sz w:val="17"/>
              </w:rPr>
              <w:t xml:space="preserve"> · </w:t>
            </w:r>
            <w:r>
              <w:rPr>
                <w:sz w:val="17"/>
                <w:rtl/>
                <w:rFonts w:cs="Arial"/>
                <w:szCs w:val="17"/>
              </w:rPr>
              <w:t>‫«اسأل واحصل على تقرير»‬</w:t>
            </w:r>
          </w:p>
        </w:tc>
        <w:tc>
          <w:tcPr>
            <w:tcW w:type="dxa" w:w="3992"/>
            <w:shd w:val="clear" w:color="auto" w:fill="F9FAFB"/>
          </w:tcPr>
          <w:p>
            <w:pPr>
              <w:spacing w:after="0" w:line="252" w:lineRule="auto"/>
            </w:pPr>
            <w:r>
              <w:rPr>
                <w:sz w:val="17"/>
              </w:rPr>
              <w:t>Remove the second line (also Arabic-only in EN/ZH).</w:t>
            </w:r>
          </w:p>
        </w:tc>
      </w:tr>
      <w:tr>
        <w:trPr>
          <w:cantSplit/>
        </w:trPr>
        <w:tc>
          <w:tcPr>
            <w:tcW w:type="dxa" w:w="1221"/>
          </w:tcPr>
          <w:p>
            <w:pPr>
              <w:spacing w:after="0" w:line="252" w:lineRule="auto"/>
            </w:pPr>
            <w:r>
              <w:rPr>
                <w:sz w:val="17"/>
              </w:rPr>
              <w:t>3</w:t>
            </w:r>
          </w:p>
        </w:tc>
        <w:tc>
          <w:tcPr>
            <w:tcW w:type="dxa" w:w="1828"/>
          </w:tcPr>
          <w:p>
            <w:pPr>
              <w:spacing w:after="0" w:line="252" w:lineRule="auto"/>
            </w:pPr>
            <w:r>
              <w:rPr>
                <w:sz w:val="17"/>
              </w:rPr>
              <w:t>Status strip (4 chips)</w:t>
            </w:r>
          </w:p>
        </w:tc>
        <w:tc>
          <w:tcPr>
            <w:tcW w:type="dxa" w:w="3992"/>
          </w:tcPr>
          <w:p>
            <w:pPr>
              <w:spacing w:after="0" w:line="252" w:lineRule="auto"/>
            </w:pPr>
            <w:r>
              <w:rPr>
                <w:sz w:val="17"/>
                <w:rtl/>
                <w:rFonts w:cs="Arial"/>
                <w:szCs w:val="17"/>
              </w:rPr>
              <w:t>‫«بيانات حتى 2026-10-09 (الرياض)»‬</w:t>
            </w:r>
            <w:r>
              <w:rPr>
                <w:sz w:val="17"/>
              </w:rPr>
              <w:t xml:space="preserve"> · </w:t>
            </w:r>
            <w:r>
              <w:rPr>
                <w:sz w:val="17"/>
                <w:rtl/>
                <w:rFonts w:cs="Arial"/>
                <w:szCs w:val="17"/>
              </w:rPr>
              <w:t>‫«386 فاتورة · 19 أمانة · 8 مصدر»‬</w:t>
            </w:r>
            <w:r>
              <w:rPr>
                <w:sz w:val="17"/>
              </w:rPr>
              <w:t xml:space="preserve"> · </w:t>
            </w:r>
            <w:r>
              <w:rPr>
                <w:sz w:val="17"/>
                <w:rtl/>
                <w:rFonts w:cs="Arial"/>
                <w:szCs w:val="17"/>
              </w:rPr>
              <w:t>‫«بيانات تجريبية اصطناعية — عينة مضغوطة 895»‬</w:t>
            </w:r>
            <w:r>
              <w:rPr>
                <w:sz w:val="17"/>
              </w:rPr>
              <w:t xml:space="preserve"> · </w:t>
            </w:r>
            <w:r>
              <w:rPr>
                <w:sz w:val="17"/>
                <w:rtl/>
                <w:rFonts w:cs="Arial"/>
                <w:szCs w:val="17"/>
              </w:rPr>
              <w:t>‫«فواتير صادرة في الفترة؛ التحصيل حتى 2026-10-09»‬</w:t>
            </w:r>
          </w:p>
        </w:tc>
        <w:tc>
          <w:tcPr>
            <w:tcW w:type="dxa" w:w="3992"/>
          </w:tcPr>
          <w:p>
            <w:pPr>
              <w:spacing w:after="0" w:line="252" w:lineRule="auto"/>
            </w:pPr>
            <w:r>
              <w:rPr>
                <w:sz w:val="17"/>
              </w:rPr>
              <w:t xml:space="preserve">One line: </w:t>
            </w:r>
            <w:r>
              <w:rPr>
                <w:b/>
                <w:sz w:val="17"/>
                <w:rtl/>
                <w:rFonts w:cs="Arial"/>
                <w:szCs w:val="17"/>
                <w:bCs/>
              </w:rPr>
              <w:t>‫«386 فاتورة صدرت في هذه الفترة · المحصّل محسوب حتى 9 أكتوبر 2026»‬</w:t>
            </w:r>
            <w:r>
              <w:rPr>
                <w:sz w:val="17"/>
              </w:rPr>
              <w:t xml:space="preserve"> + one global badge </w:t>
            </w:r>
            <w:r>
              <w:rPr>
                <w:sz w:val="17"/>
                <w:rtl/>
                <w:rFonts w:cs="Arial"/>
                <w:szCs w:val="17"/>
              </w:rPr>
              <w:t>‫«بيانات تجريبية»‬</w:t>
            </w:r>
            <w:r>
              <w:rPr>
                <w:sz w:val="17"/>
              </w:rPr>
              <w:t xml:space="preserve"> in the header</w:t>
            </w:r>
          </w:p>
        </w:tc>
        <w:tc>
          <w:tcPr>
            <w:tcW w:type="dxa" w:w="3992"/>
          </w:tcPr>
          <w:p>
            <w:pPr>
              <w:spacing w:after="0" w:line="252" w:lineRule="auto"/>
            </w:pPr>
            <w:r>
              <w:rPr>
                <w:sz w:val="17"/>
              </w:rPr>
              <w:t>Merge four chips into one sentence; move "</w:t>
            </w:r>
            <w:r>
              <w:rPr>
                <w:sz w:val="17"/>
                <w:rtl/>
                <w:rFonts w:cs="Arial"/>
                <w:szCs w:val="17"/>
              </w:rPr>
              <w:t>‫عينة 895‬</w:t>
            </w:r>
            <w:r>
              <w:rPr>
                <w:sz w:val="17"/>
              </w:rPr>
              <w:t>" and "</w:t>
            </w:r>
            <w:r>
              <w:rPr>
                <w:sz w:val="17"/>
                <w:rtl/>
                <w:rFonts w:cs="Arial"/>
                <w:szCs w:val="17"/>
              </w:rPr>
              <w:t>‫الرياض‬</w:t>
            </w:r>
            <w:r>
              <w:rPr>
                <w:sz w:val="17"/>
              </w:rPr>
              <w:t>" into the badge's details. The 386 vs 895 pair is confusing side by side.</w:t>
            </w:r>
          </w:p>
        </w:tc>
      </w:tr>
      <w:tr>
        <w:trPr>
          <w:cantSplit/>
        </w:trPr>
        <w:tc>
          <w:tcPr>
            <w:tcW w:type="dxa" w:w="1221"/>
            <w:shd w:val="clear" w:color="auto" w:fill="F9FAFB"/>
          </w:tcPr>
          <w:p>
            <w:pPr>
              <w:spacing w:after="0" w:line="252" w:lineRule="auto"/>
            </w:pPr>
            <w:r>
              <w:rPr>
                <w:sz w:val="17"/>
              </w:rPr>
              <w:t>4</w:t>
            </w:r>
          </w:p>
        </w:tc>
        <w:tc>
          <w:tcPr>
            <w:tcW w:type="dxa" w:w="1828"/>
            <w:shd w:val="clear" w:color="auto" w:fill="F9FAFB"/>
          </w:tcPr>
          <w:p>
            <w:pPr>
              <w:spacing w:after="0" w:line="252" w:lineRule="auto"/>
            </w:pPr>
            <w:r>
              <w:rPr>
                <w:sz w:val="17"/>
              </w:rPr>
              <w:t>KPI delta</w:t>
            </w:r>
          </w:p>
        </w:tc>
        <w:tc>
          <w:tcPr>
            <w:tcW w:type="dxa" w:w="3992"/>
            <w:shd w:val="clear" w:color="auto" w:fill="F9FAFB"/>
          </w:tcPr>
          <w:p>
            <w:pPr>
              <w:spacing w:after="0" w:line="252" w:lineRule="auto"/>
            </w:pPr>
            <w:r>
              <w:rPr>
                <w:sz w:val="17"/>
                <w:rtl/>
                <w:rFonts w:cs="Arial"/>
                <w:szCs w:val="17"/>
              </w:rPr>
              <w:t>‫«▲ +6.7 pp مقابل نفس الفترة من العام السابق»‬</w:t>
            </w:r>
          </w:p>
        </w:tc>
        <w:tc>
          <w:tcPr>
            <w:tcW w:type="dxa" w:w="3992"/>
            <w:shd w:val="clear" w:color="auto" w:fill="F9FAFB"/>
          </w:tcPr>
          <w:p>
            <w:pPr>
              <w:spacing w:after="0" w:line="252" w:lineRule="auto"/>
            </w:pPr>
            <w:r>
              <w:rPr>
                <w:sz w:val="17"/>
                <w:rtl/>
                <w:rFonts w:cs="Arial"/>
                <w:szCs w:val="17"/>
              </w:rPr>
              <w:t>‫«▲ 6.7 نقطة مئوية عن العام الماضي»‬</w:t>
            </w:r>
          </w:p>
        </w:tc>
        <w:tc>
          <w:tcPr>
            <w:tcW w:type="dxa" w:w="3992"/>
            <w:shd w:val="clear" w:color="auto" w:fill="F9FAFB"/>
          </w:tcPr>
          <w:p>
            <w:pPr>
              <w:spacing w:after="0" w:line="252" w:lineRule="auto"/>
            </w:pPr>
            <w:r>
              <w:rPr>
                <w:sz w:val="17"/>
              </w:rPr>
              <w:t>Replace "pp" and shorten. (Value and delta must use the same as-of date — F-01.)</w:t>
            </w:r>
          </w:p>
        </w:tc>
      </w:tr>
      <w:tr>
        <w:trPr>
          <w:cantSplit/>
        </w:trPr>
        <w:tc>
          <w:tcPr>
            <w:tcW w:type="dxa" w:w="1221"/>
          </w:tcPr>
          <w:p>
            <w:pPr>
              <w:spacing w:after="0" w:line="252" w:lineRule="auto"/>
            </w:pPr>
            <w:r>
              <w:rPr>
                <w:sz w:val="17"/>
              </w:rPr>
              <w:t>5</w:t>
            </w:r>
          </w:p>
        </w:tc>
        <w:tc>
          <w:tcPr>
            <w:tcW w:type="dxa" w:w="1828"/>
          </w:tcPr>
          <w:p>
            <w:pPr>
              <w:spacing w:after="0" w:line="252" w:lineRule="auto"/>
            </w:pPr>
            <w:r>
              <w:rPr>
                <w:sz w:val="17"/>
              </w:rPr>
              <w:t>KPI sub-lines + relations caption</w:t>
            </w:r>
          </w:p>
        </w:tc>
        <w:tc>
          <w:tcPr>
            <w:tcW w:type="dxa" w:w="3992"/>
          </w:tcPr>
          <w:p>
            <w:pPr>
              <w:spacing w:after="0" w:line="252" w:lineRule="auto"/>
            </w:pPr>
            <w:r>
              <w:rPr>
                <w:sz w:val="17"/>
                <w:rtl/>
                <w:rFonts w:cs="Arial"/>
                <w:szCs w:val="17"/>
              </w:rPr>
              <w:t>‫«قبل الاستبعادات»‬</w:t>
            </w:r>
            <w:r>
              <w:rPr>
                <w:sz w:val="17"/>
              </w:rPr>
              <w:t xml:space="preserve"> · </w:t>
            </w:r>
            <w:r>
              <w:rPr>
                <w:sz w:val="17"/>
                <w:rtl/>
                <w:rFonts w:cs="Arial"/>
                <w:szCs w:val="17"/>
              </w:rPr>
              <w:t>‫«الإجمالي − الاستبعادات»‬</w:t>
            </w:r>
            <w:r>
              <w:rPr>
                <w:sz w:val="17"/>
              </w:rPr>
              <w:t xml:space="preserve"> · </w:t>
            </w:r>
            <w:r>
              <w:rPr>
                <w:sz w:val="17"/>
                <w:rtl/>
                <w:rFonts w:cs="Arial"/>
                <w:szCs w:val="17"/>
              </w:rPr>
              <w:t>‫«ضمن صافي المفوتر»‬</w:t>
            </w:r>
            <w:r>
              <w:rPr>
                <w:sz w:val="17"/>
              </w:rPr>
              <w:t xml:space="preserve"> · </w:t>
            </w:r>
            <w:r>
              <w:rPr>
                <w:sz w:val="17"/>
                <w:rtl/>
                <w:rFonts w:cs="Arial"/>
                <w:szCs w:val="17"/>
              </w:rPr>
              <w:t>‫«الصافي − المحصّل»‬</w:t>
            </w:r>
            <w:r>
              <w:rPr>
                <w:sz w:val="17"/>
              </w:rPr>
              <w:t xml:space="preserve"> · </w:t>
            </w:r>
            <w:r>
              <w:rPr>
                <w:sz w:val="17"/>
                <w:rtl/>
                <w:rFonts w:cs="Arial"/>
                <w:szCs w:val="17"/>
              </w:rPr>
              <w:t>‫«المحصّل ÷ صافي المفوتر × 100»‬</w:t>
            </w:r>
            <w:r>
              <w:rPr>
                <w:sz w:val="17"/>
              </w:rPr>
              <w:t xml:space="preserve"> + two caption lines repeating the same identities under the bar</w:t>
            </w:r>
          </w:p>
        </w:tc>
        <w:tc>
          <w:tcPr>
            <w:tcW w:type="dxa" w:w="3992"/>
          </w:tcPr>
          <w:p>
            <w:pPr>
              <w:spacing w:after="0" w:line="252" w:lineRule="auto"/>
            </w:pPr>
            <w:r>
              <w:rPr>
                <w:sz w:val="17"/>
              </w:rPr>
              <w:t>Keep one short descriptor per tile (</w:t>
            </w:r>
            <w:r>
              <w:rPr>
                <w:sz w:val="17"/>
                <w:rtl/>
                <w:rFonts w:cs="Arial"/>
                <w:szCs w:val="17"/>
              </w:rPr>
              <w:t>‫«قبل الاستبعادات»‬</w:t>
            </w:r>
            <w:r>
              <w:rPr>
                <w:sz w:val="17"/>
              </w:rPr>
              <w:t xml:space="preserve">, </w:t>
            </w:r>
            <w:r>
              <w:rPr>
                <w:sz w:val="17"/>
                <w:rtl/>
                <w:rFonts w:cs="Arial"/>
                <w:szCs w:val="17"/>
              </w:rPr>
              <w:t>‫«بعد الاستبعادات»‬</w:t>
            </w:r>
            <w:r>
              <w:rPr>
                <w:sz w:val="17"/>
              </w:rPr>
              <w:t xml:space="preserve">, </w:t>
            </w:r>
            <w:r>
              <w:rPr>
                <w:sz w:val="17"/>
                <w:rtl/>
                <w:rFonts w:cs="Arial"/>
                <w:szCs w:val="17"/>
              </w:rPr>
              <w:t>‫«من الصافي»‬</w:t>
            </w:r>
            <w:r>
              <w:rPr>
                <w:sz w:val="17"/>
              </w:rPr>
              <w:t xml:space="preserve">, </w:t>
            </w:r>
            <w:r>
              <w:rPr>
                <w:sz w:val="17"/>
                <w:rtl/>
                <w:rFonts w:cs="Arial"/>
                <w:szCs w:val="17"/>
              </w:rPr>
              <w:t>‫«المتبقي من الصافي»‬</w:t>
            </w:r>
            <w:r>
              <w:rPr>
                <w:sz w:val="17"/>
              </w:rPr>
              <w:t xml:space="preserve">, </w:t>
            </w:r>
            <w:r>
              <w:rPr>
                <w:sz w:val="17"/>
                <w:rtl/>
                <w:rFonts w:cs="Arial"/>
                <w:szCs w:val="17"/>
              </w:rPr>
              <w:t>‫«من الصافي»‬</w:t>
            </w:r>
            <w:r>
              <w:rPr>
                <w:sz w:val="17"/>
              </w:rPr>
              <w:t xml:space="preserve">); show the two identities </w:t>
            </w:r>
            <w:r>
              <w:rPr>
                <w:b/>
                <w:sz w:val="17"/>
              </w:rPr>
              <w:t>once</w:t>
            </w:r>
            <w:r>
              <w:rPr>
                <w:sz w:val="17"/>
              </w:rPr>
              <w:t xml:space="preserve"> as the bar caption</w:t>
            </w:r>
          </w:p>
        </w:tc>
        <w:tc>
          <w:tcPr>
            <w:tcW w:type="dxa" w:w="3992"/>
          </w:tcPr>
          <w:p>
            <w:pPr>
              <w:spacing w:after="0" w:line="252" w:lineRule="auto"/>
            </w:pPr>
            <w:r>
              <w:rPr>
                <w:sz w:val="17"/>
              </w:rPr>
              <w:t>Remove the repeated formulas from tiles; the formula belongs in the "?" panel.</w:t>
            </w:r>
          </w:p>
        </w:tc>
      </w:tr>
      <w:tr>
        <w:trPr>
          <w:cantSplit/>
        </w:trPr>
        <w:tc>
          <w:tcPr>
            <w:tcW w:type="dxa" w:w="1221"/>
            <w:shd w:val="clear" w:color="auto" w:fill="F9FAFB"/>
          </w:tcPr>
          <w:p>
            <w:pPr>
              <w:spacing w:after="0" w:line="252" w:lineRule="auto"/>
            </w:pPr>
            <w:r>
              <w:rPr>
                <w:sz w:val="17"/>
              </w:rPr>
              <w:t>6</w:t>
            </w:r>
          </w:p>
        </w:tc>
        <w:tc>
          <w:tcPr>
            <w:tcW w:type="dxa" w:w="1828"/>
            <w:shd w:val="clear" w:color="auto" w:fill="F9FAFB"/>
          </w:tcPr>
          <w:p>
            <w:pPr>
              <w:spacing w:after="0" w:line="252" w:lineRule="auto"/>
            </w:pPr>
            <w:r>
              <w:rPr>
                <w:sz w:val="17"/>
              </w:rPr>
              <w:t>Uncollected naming</w:t>
            </w:r>
          </w:p>
        </w:tc>
        <w:tc>
          <w:tcPr>
            <w:tcW w:type="dxa" w:w="3992"/>
            <w:shd w:val="clear" w:color="auto" w:fill="F9FAFB"/>
          </w:tcPr>
          <w:p>
            <w:pPr>
              <w:spacing w:after="0" w:line="252" w:lineRule="auto"/>
            </w:pPr>
            <w:r>
              <w:rPr>
                <w:sz w:val="17"/>
              </w:rPr>
              <w:t xml:space="preserve">tile </w:t>
            </w:r>
            <w:r>
              <w:rPr>
                <w:sz w:val="17"/>
                <w:rtl/>
                <w:rFonts w:cs="Arial"/>
                <w:szCs w:val="17"/>
              </w:rPr>
              <w:t>‫«غير المحصّل»‬</w:t>
            </w:r>
            <w:r>
              <w:rPr>
                <w:sz w:val="17"/>
              </w:rPr>
              <w:t xml:space="preserve"> · table </w:t>
            </w:r>
            <w:r>
              <w:rPr>
                <w:sz w:val="17"/>
                <w:rtl/>
                <w:rFonts w:cs="Arial"/>
                <w:szCs w:val="17"/>
              </w:rPr>
              <w:t>‫«الإجمالي القائم»‬</w:t>
            </w:r>
            <w:r>
              <w:rPr>
                <w:sz w:val="17"/>
              </w:rPr>
              <w:t xml:space="preserve"> · </w:t>
            </w:r>
            <w:r>
              <w:rPr>
                <w:sz w:val="17"/>
                <w:rtl/>
                <w:rFonts w:cs="Arial"/>
                <w:szCs w:val="17"/>
              </w:rPr>
              <w:t>‫«رصيد قائم»‬</w:t>
            </w:r>
            <w:r>
              <w:rPr>
                <w:sz w:val="17"/>
              </w:rPr>
              <w:t xml:space="preserve"> · </w:t>
            </w:r>
            <w:r>
              <w:rPr>
                <w:sz w:val="17"/>
                <w:rtl/>
                <w:rFonts w:cs="Arial"/>
                <w:szCs w:val="17"/>
              </w:rPr>
              <w:t>‫«المتبقي»‬</w:t>
            </w:r>
          </w:p>
        </w:tc>
        <w:tc>
          <w:tcPr>
            <w:tcW w:type="dxa" w:w="3992"/>
            <w:shd w:val="clear" w:color="auto" w:fill="F9FAFB"/>
          </w:tcPr>
          <w:p>
            <w:pPr>
              <w:spacing w:after="0" w:line="252" w:lineRule="auto"/>
            </w:pPr>
            <w:r>
              <w:rPr>
                <w:sz w:val="17"/>
              </w:rPr>
              <w:t xml:space="preserve">tile </w:t>
            </w:r>
            <w:r>
              <w:rPr>
                <w:b/>
                <w:sz w:val="17"/>
                <w:rtl/>
                <w:rFonts w:cs="Arial"/>
                <w:szCs w:val="17"/>
                <w:bCs/>
              </w:rPr>
              <w:t>‫«غير محصّل من فواتير الفترة»‬</w:t>
            </w:r>
            <w:r>
              <w:rPr>
                <w:sz w:val="17"/>
              </w:rPr>
              <w:t xml:space="preserve">; table </w:t>
            </w:r>
            <w:r>
              <w:rPr>
                <w:b/>
                <w:sz w:val="17"/>
                <w:rtl/>
                <w:rFonts w:cs="Arial"/>
                <w:szCs w:val="17"/>
                <w:bCs/>
              </w:rPr>
              <w:t>‫«الرصيد القائم — كل الفواتير غير المسددة حتى 9 أكتوبر»‬</w:t>
            </w:r>
            <w:r>
              <w:rPr>
                <w:sz w:val="17"/>
              </w:rPr>
              <w:t xml:space="preserve">; use </w:t>
            </w:r>
            <w:r>
              <w:rPr>
                <w:sz w:val="17"/>
                <w:rtl/>
                <w:rFonts w:cs="Arial"/>
                <w:szCs w:val="17"/>
              </w:rPr>
              <w:t>‫«المتبقي»‬</w:t>
            </w:r>
            <w:r>
              <w:rPr>
                <w:sz w:val="17"/>
              </w:rPr>
              <w:t xml:space="preserve"> nowhere</w:t>
            </w:r>
          </w:p>
        </w:tc>
        <w:tc>
          <w:tcPr>
            <w:tcW w:type="dxa" w:w="3992"/>
            <w:shd w:val="clear" w:color="auto" w:fill="F9FAFB"/>
          </w:tcPr>
          <w:p>
            <w:pPr>
              <w:spacing w:after="0" w:line="252" w:lineRule="auto"/>
            </w:pPr>
            <w:r>
              <w:rPr>
                <w:sz w:val="17"/>
              </w:rPr>
              <w:t>One name per concept, across Dashboard, Collection, Planning, exports.</w:t>
            </w:r>
          </w:p>
        </w:tc>
      </w:tr>
      <w:tr>
        <w:trPr>
          <w:cantSplit/>
        </w:trPr>
        <w:tc>
          <w:tcPr>
            <w:tcW w:type="dxa" w:w="1221"/>
          </w:tcPr>
          <w:p>
            <w:pPr>
              <w:spacing w:after="0" w:line="252" w:lineRule="auto"/>
            </w:pPr>
            <w:r>
              <w:rPr>
                <w:sz w:val="17"/>
              </w:rPr>
              <w:t>7</w:t>
            </w:r>
          </w:p>
        </w:tc>
        <w:tc>
          <w:tcPr>
            <w:tcW w:type="dxa" w:w="1828"/>
          </w:tcPr>
          <w:p>
            <w:pPr>
              <w:spacing w:after="0" w:line="252" w:lineRule="auto"/>
            </w:pPr>
            <w:r>
              <w:rPr>
                <w:sz w:val="17"/>
              </w:rPr>
              <w:t>Standing-balance note</w:t>
            </w:r>
          </w:p>
        </w:tc>
        <w:tc>
          <w:tcPr>
            <w:tcW w:type="dxa" w:w="3992"/>
          </w:tcPr>
          <w:p>
            <w:pPr>
              <w:spacing w:after="0" w:line="252" w:lineRule="auto"/>
            </w:pPr>
            <w:r>
              <w:rPr>
                <w:sz w:val="17"/>
                <w:rtl/>
                <w:rFonts w:cs="Arial"/>
                <w:szCs w:val="17"/>
              </w:rPr>
              <w:t>‫«رصيد في 2026-10-09 لكل ما صدر حتى ذلك التاريخ، وليس غير محصّل الفترة.»‬</w:t>
            </w:r>
          </w:p>
        </w:tc>
        <w:tc>
          <w:tcPr>
            <w:tcW w:type="dxa" w:w="3992"/>
          </w:tcPr>
          <w:p>
            <w:pPr>
              <w:spacing w:after="0" w:line="252" w:lineRule="auto"/>
            </w:pPr>
            <w:r>
              <w:rPr>
                <w:sz w:val="17"/>
                <w:rtl/>
                <w:rFonts w:cs="Arial"/>
                <w:szCs w:val="17"/>
              </w:rPr>
              <w:t>‫«يشمل كل الفواتير غير المسددة مهما كان تاريخ إصدارها.»‬</w:t>
            </w:r>
          </w:p>
        </w:tc>
        <w:tc>
          <w:tcPr>
            <w:tcW w:type="dxa" w:w="3992"/>
          </w:tcPr>
          <w:p>
            <w:pPr>
              <w:spacing w:after="0" w:line="252" w:lineRule="auto"/>
            </w:pPr>
            <w:r>
              <w:rPr>
                <w:sz w:val="17"/>
              </w:rPr>
              <w:t>Shorten; the title already says "</w:t>
            </w:r>
            <w:r>
              <w:rPr>
                <w:sz w:val="17"/>
                <w:rtl/>
                <w:rFonts w:cs="Arial"/>
                <w:szCs w:val="17"/>
              </w:rPr>
              <w:t>‫حتى 9 أكتوبر‬</w:t>
            </w:r>
            <w:r>
              <w:rPr>
                <w:sz w:val="17"/>
              </w:rPr>
              <w:t>".</w:t>
            </w:r>
          </w:p>
        </w:tc>
      </w:tr>
      <w:tr>
        <w:trPr>
          <w:cantSplit/>
        </w:trPr>
        <w:tc>
          <w:tcPr>
            <w:tcW w:type="dxa" w:w="1221"/>
            <w:shd w:val="clear" w:color="auto" w:fill="F9FAFB"/>
          </w:tcPr>
          <w:p>
            <w:pPr>
              <w:spacing w:after="0" w:line="252" w:lineRule="auto"/>
            </w:pPr>
            <w:r>
              <w:rPr>
                <w:sz w:val="17"/>
              </w:rPr>
              <w:t>8</w:t>
            </w:r>
          </w:p>
        </w:tc>
        <w:tc>
          <w:tcPr>
            <w:tcW w:type="dxa" w:w="1828"/>
            <w:shd w:val="clear" w:color="auto" w:fill="F9FAFB"/>
          </w:tcPr>
          <w:p>
            <w:pPr>
              <w:spacing w:after="0" w:line="252" w:lineRule="auto"/>
            </w:pPr>
            <w:r>
              <w:rPr>
                <w:sz w:val="17"/>
              </w:rPr>
              <w:t>Comparison note</w:t>
            </w:r>
          </w:p>
        </w:tc>
        <w:tc>
          <w:tcPr>
            <w:tcW w:type="dxa" w:w="3992"/>
            <w:shd w:val="clear" w:color="auto" w:fill="F9FAFB"/>
          </w:tcPr>
          <w:p>
            <w:pPr>
              <w:spacing w:after="0" w:line="252" w:lineRule="auto"/>
            </w:pPr>
            <w:r>
              <w:rPr>
                <w:sz w:val="17"/>
                <w:rtl/>
                <w:rFonts w:cs="Arial"/>
                <w:szCs w:val="17"/>
              </w:rPr>
              <w:t>‫«المقارنة بالفترة المكافئة (2025-01-01 → 2025-10-09): نسبة التحصيل 51.1% سابقاً.»‬</w:t>
            </w:r>
          </w:p>
        </w:tc>
        <w:tc>
          <w:tcPr>
            <w:tcW w:type="dxa" w:w="3992"/>
            <w:shd w:val="clear" w:color="auto" w:fill="F9FAFB"/>
          </w:tcPr>
          <w:p>
            <w:pPr>
              <w:spacing w:after="0" w:line="252" w:lineRule="auto"/>
            </w:pPr>
            <w:r>
              <w:rPr>
                <w:sz w:val="17"/>
                <w:rtl/>
                <w:rFonts w:cs="Arial"/>
                <w:szCs w:val="17"/>
              </w:rPr>
              <w:t>‫«في الفترة نفسها من العام الماضي (1 يناير – 9 أكتوبر 2025): 51.1٪»‬</w:t>
            </w:r>
          </w:p>
        </w:tc>
        <w:tc>
          <w:tcPr>
            <w:tcW w:type="dxa" w:w="3992"/>
            <w:shd w:val="clear" w:color="auto" w:fill="F9FAFB"/>
          </w:tcPr>
          <w:p>
            <w:pPr>
              <w:spacing w:after="0" w:line="252" w:lineRule="auto"/>
            </w:pPr>
            <w:r>
              <w:rPr>
                <w:sz w:val="17"/>
              </w:rPr>
              <w:t>Dates in words; drop "</w:t>
            </w:r>
            <w:r>
              <w:rPr>
                <w:sz w:val="17"/>
                <w:rtl/>
                <w:rFonts w:cs="Arial"/>
                <w:szCs w:val="17"/>
              </w:rPr>
              <w:t>‫المكافئة‬</w:t>
            </w:r>
            <w:r>
              <w:rPr>
                <w:sz w:val="17"/>
              </w:rPr>
              <w:t>".</w:t>
            </w:r>
          </w:p>
        </w:tc>
      </w:tr>
      <w:tr>
        <w:trPr>
          <w:cantSplit/>
        </w:trPr>
        <w:tc>
          <w:tcPr>
            <w:tcW w:type="dxa" w:w="1221"/>
          </w:tcPr>
          <w:p>
            <w:pPr>
              <w:spacing w:after="0" w:line="252" w:lineRule="auto"/>
            </w:pPr>
            <w:r>
              <w:rPr>
                <w:sz w:val="17"/>
              </w:rPr>
              <w:t>9</w:t>
            </w:r>
          </w:p>
        </w:tc>
        <w:tc>
          <w:tcPr>
            <w:tcW w:type="dxa" w:w="1828"/>
          </w:tcPr>
          <w:p>
            <w:pPr>
              <w:spacing w:after="0" w:line="252" w:lineRule="auto"/>
            </w:pPr>
            <w:r>
              <w:rPr>
                <w:sz w:val="17"/>
              </w:rPr>
              <w:t>Amanah map</w:t>
            </w:r>
          </w:p>
        </w:tc>
        <w:tc>
          <w:tcPr>
            <w:tcW w:type="dxa" w:w="3992"/>
          </w:tcPr>
          <w:p>
            <w:pPr>
              <w:spacing w:after="0" w:line="252" w:lineRule="auto"/>
            </w:pPr>
            <w:r>
              <w:rPr>
                <w:sz w:val="17"/>
              </w:rPr>
              <w:t xml:space="preserve">intro </w:t>
            </w:r>
            <w:r>
              <w:rPr>
                <w:sz w:val="17"/>
                <w:rtl/>
                <w:rFonts w:cs="Arial"/>
                <w:szCs w:val="17"/>
              </w:rPr>
              <w:t>‫«النسبة والمبلغ والاتجاه معاً، مع حجم كل أمانة… فالمبلغ وحده يرتب الأكبر فقط.»‬</w:t>
            </w:r>
            <w:r>
              <w:rPr>
                <w:sz w:val="17"/>
              </w:rPr>
              <w:t xml:space="preserve">; columns </w:t>
            </w:r>
            <w:r>
              <w:rPr>
                <w:sz w:val="17"/>
                <w:rtl/>
                <w:rFonts w:cs="Arial"/>
                <w:szCs w:val="17"/>
              </w:rPr>
              <w:t>‫«الاتجاه (نقطة)»‬</w:t>
            </w:r>
            <w:r>
              <w:rPr>
                <w:sz w:val="17"/>
              </w:rPr>
              <w:t xml:space="preserve">, </w:t>
            </w:r>
            <w:r>
              <w:rPr>
                <w:sz w:val="17"/>
                <w:rtl/>
                <w:rFonts w:cs="Arial"/>
                <w:szCs w:val="17"/>
              </w:rPr>
              <w:t>‫«المتبقي»‬</w:t>
            </w:r>
            <w:r>
              <w:rPr>
                <w:sz w:val="17"/>
              </w:rPr>
              <w:t xml:space="preserve">, </w:t>
            </w:r>
            <w:r>
              <w:rPr>
                <w:sz w:val="17"/>
                <w:rtl/>
                <w:rFonts w:cs="Arial"/>
                <w:szCs w:val="17"/>
              </w:rPr>
              <w:t>‫«% من صافيها»‬</w:t>
            </w:r>
            <w:r>
              <w:rPr>
                <w:sz w:val="17"/>
              </w:rPr>
              <w:t xml:space="preserve">, </w:t>
            </w:r>
            <w:r>
              <w:rPr>
                <w:sz w:val="17"/>
                <w:rtl/>
                <w:rFonts w:cs="Arial"/>
                <w:szCs w:val="17"/>
              </w:rPr>
              <w:t>‫«% من الإجمالي»‬</w:t>
            </w:r>
            <w:r>
              <w:rPr>
                <w:sz w:val="17"/>
              </w:rPr>
              <w:t xml:space="preserve">; tag </w:t>
            </w:r>
            <w:r>
              <w:rPr>
                <w:sz w:val="17"/>
                <w:rtl/>
                <w:rFonts w:cs="Arial"/>
                <w:szCs w:val="17"/>
              </w:rPr>
              <w:t>‫«عينة صغيرة»‬</w:t>
            </w:r>
          </w:p>
        </w:tc>
        <w:tc>
          <w:tcPr>
            <w:tcW w:type="dxa" w:w="3992"/>
          </w:tcPr>
          <w:p>
            <w:pPr>
              <w:spacing w:after="0" w:line="252" w:lineRule="auto"/>
            </w:pPr>
            <w:r>
              <w:rPr>
                <w:sz w:val="17"/>
              </w:rPr>
              <w:t xml:space="preserve">no intro; columns </w:t>
            </w:r>
            <w:r>
              <w:rPr>
                <w:b/>
                <w:sz w:val="17"/>
                <w:rtl/>
                <w:rFonts w:cs="Arial"/>
                <w:szCs w:val="17"/>
                <w:bCs/>
              </w:rPr>
              <w:t>‫«التغير عن العام الماضي (نقطة)»‬</w:t>
            </w:r>
            <w:r>
              <w:rPr>
                <w:sz w:val="17"/>
              </w:rPr>
              <w:t xml:space="preserve">, </w:t>
            </w:r>
            <w:r>
              <w:rPr>
                <w:b/>
                <w:sz w:val="17"/>
                <w:rtl/>
                <w:rFonts w:cs="Arial"/>
                <w:szCs w:val="17"/>
                <w:bCs/>
              </w:rPr>
              <w:t>‫«غير المحصّل»‬</w:t>
            </w:r>
            <w:r>
              <w:rPr>
                <w:sz w:val="17"/>
              </w:rPr>
              <w:t xml:space="preserve">, </w:t>
            </w:r>
            <w:r>
              <w:rPr>
                <w:b/>
                <w:sz w:val="17"/>
                <w:rtl/>
                <w:rFonts w:cs="Arial"/>
                <w:szCs w:val="17"/>
                <w:bCs/>
              </w:rPr>
              <w:t>‫«نسبة غير المحصّل من صافيها»‬</w:t>
            </w:r>
            <w:r>
              <w:rPr>
                <w:sz w:val="17"/>
              </w:rPr>
              <w:t xml:space="preserve">, </w:t>
            </w:r>
            <w:r>
              <w:rPr>
                <w:b/>
                <w:sz w:val="17"/>
                <w:rtl/>
                <w:rFonts w:cs="Arial"/>
                <w:szCs w:val="17"/>
                <w:bCs/>
              </w:rPr>
              <w:t>‫«حصتها من غير المحصّل»‬</w:t>
            </w:r>
            <w:r>
              <w:rPr>
                <w:sz w:val="17"/>
              </w:rPr>
              <w:t xml:space="preserve">; tag </w:t>
            </w:r>
            <w:r>
              <w:rPr>
                <w:b/>
                <w:sz w:val="17"/>
                <w:rtl/>
                <w:rFonts w:cs="Arial"/>
                <w:szCs w:val="17"/>
                <w:bCs/>
              </w:rPr>
              <w:t>‫«أقل من 10 فواتير»‬</w:t>
            </w:r>
          </w:p>
        </w:tc>
        <w:tc>
          <w:tcPr>
            <w:tcW w:type="dxa" w:w="3992"/>
          </w:tcPr>
          <w:p>
            <w:pPr>
              <w:spacing w:after="0" w:line="252" w:lineRule="auto"/>
            </w:pPr>
            <w:r>
              <w:rPr>
                <w:sz w:val="17"/>
              </w:rPr>
              <w:t>Remove the paragraph; name columns by what they show.</w:t>
            </w:r>
          </w:p>
        </w:tc>
      </w:tr>
      <w:tr>
        <w:trPr>
          <w:cantSplit/>
        </w:trPr>
        <w:tc>
          <w:tcPr>
            <w:tcW w:type="dxa" w:w="1221"/>
            <w:shd w:val="clear" w:color="auto" w:fill="F9FAFB"/>
          </w:tcPr>
          <w:p>
            <w:pPr>
              <w:spacing w:after="0" w:line="252" w:lineRule="auto"/>
            </w:pPr>
            <w:r>
              <w:rPr>
                <w:sz w:val="17"/>
              </w:rPr>
              <w:t>10</w:t>
            </w:r>
          </w:p>
        </w:tc>
        <w:tc>
          <w:tcPr>
            <w:tcW w:type="dxa" w:w="1828"/>
            <w:shd w:val="clear" w:color="auto" w:fill="F9FAFB"/>
          </w:tcPr>
          <w:p>
            <w:pPr>
              <w:spacing w:after="0" w:line="252" w:lineRule="auto"/>
            </w:pPr>
            <w:r>
              <w:rPr>
                <w:sz w:val="17"/>
              </w:rPr>
              <w:t>Budget card</w:t>
            </w:r>
          </w:p>
        </w:tc>
        <w:tc>
          <w:tcPr>
            <w:tcW w:type="dxa" w:w="3992"/>
            <w:shd w:val="clear" w:color="auto" w:fill="F9FAFB"/>
          </w:tcPr>
          <w:p>
            <w:pPr>
              <w:spacing w:after="0" w:line="252" w:lineRule="auto"/>
            </w:pPr>
            <w:r>
              <w:rPr>
                <w:sz w:val="17"/>
              </w:rPr>
              <w:t xml:space="preserve">tag </w:t>
            </w:r>
            <w:r>
              <w:rPr>
                <w:sz w:val="17"/>
                <w:rtl/>
                <w:rFonts w:cs="Arial"/>
                <w:szCs w:val="17"/>
              </w:rPr>
              <w:t>‫«تجريبية اصطناعية»‬</w:t>
            </w:r>
            <w:r>
              <w:rPr>
                <w:sz w:val="17"/>
              </w:rPr>
              <w:t xml:space="preserve"> + </w:t>
            </w:r>
            <w:r>
              <w:rPr>
                <w:sz w:val="17"/>
                <w:rtl/>
                <w:rFonts w:cs="Arial"/>
                <w:szCs w:val="17"/>
              </w:rPr>
              <w:t>‫«الميزانية المتناسبة حتى اليوم»‬</w:t>
            </w:r>
            <w:r>
              <w:rPr>
                <w:sz w:val="17"/>
              </w:rPr>
              <w:t xml:space="preserve"> + </w:t>
            </w:r>
            <w:r>
              <w:rPr>
                <w:sz w:val="17"/>
                <w:rtl/>
                <w:rFonts w:cs="Arial"/>
                <w:szCs w:val="17"/>
              </w:rPr>
              <w:t>‫«تغطية الإنفاق التشغيلي (أبواب 1–3)… مقبوضات ÷ صرف نقدي للفترة نفسها»‬</w:t>
            </w:r>
            <w:r>
              <w:rPr>
                <w:sz w:val="17"/>
              </w:rPr>
              <w:t xml:space="preserve"> + </w:t>
            </w:r>
            <w:r>
              <w:rPr>
                <w:sz w:val="17"/>
                <w:rtl/>
                <w:rFonts w:cs="Arial"/>
                <w:szCs w:val="17"/>
              </w:rPr>
              <w:t>‫«تجريبية اصطناعية — ليست بيانات إنفاق فعلية للوزارة.»‬</w:t>
            </w:r>
          </w:p>
        </w:tc>
        <w:tc>
          <w:tcPr>
            <w:tcW w:type="dxa" w:w="3992"/>
            <w:shd w:val="clear" w:color="auto" w:fill="F9FAFB"/>
          </w:tcPr>
          <w:p>
            <w:pPr>
              <w:spacing w:after="0" w:line="252" w:lineRule="auto"/>
            </w:pPr>
            <w:r>
              <w:rPr>
                <w:sz w:val="17"/>
              </w:rPr>
              <w:t xml:space="preserve">title </w:t>
            </w:r>
            <w:r>
              <w:rPr>
                <w:sz w:val="17"/>
                <w:rtl/>
                <w:rFonts w:cs="Arial"/>
                <w:szCs w:val="17"/>
              </w:rPr>
              <w:t>‫«الميزانية والصرف (بيانات تجريبية)»‬</w:t>
            </w:r>
            <w:r>
              <w:rPr>
                <w:sz w:val="17"/>
              </w:rPr>
              <w:t xml:space="preserve">; tiles </w:t>
            </w:r>
            <w:r>
              <w:rPr>
                <w:sz w:val="17"/>
                <w:rtl/>
                <w:rFonts w:cs="Arial"/>
                <w:szCs w:val="17"/>
              </w:rPr>
              <w:t>‫«الميزانية حتى اليوم»‬</w:t>
            </w:r>
            <w:r>
              <w:rPr>
                <w:sz w:val="17"/>
              </w:rPr>
              <w:t xml:space="preserve"> · </w:t>
            </w:r>
            <w:r>
              <w:rPr>
                <w:sz w:val="17"/>
                <w:rtl/>
                <w:rFonts w:cs="Arial"/>
                <w:szCs w:val="17"/>
              </w:rPr>
              <w:t>‫«الالتزامات»‬</w:t>
            </w:r>
            <w:r>
              <w:rPr>
                <w:sz w:val="17"/>
              </w:rPr>
              <w:t xml:space="preserve"> · </w:t>
            </w:r>
            <w:r>
              <w:rPr>
                <w:sz w:val="17"/>
                <w:rtl/>
                <w:rFonts w:cs="Arial"/>
                <w:szCs w:val="17"/>
              </w:rPr>
              <w:t>‫«المصروف نقداً»‬</w:t>
            </w:r>
            <w:r>
              <w:rPr>
                <w:sz w:val="17"/>
              </w:rPr>
              <w:t xml:space="preserve"> · </w:t>
            </w:r>
            <w:r>
              <w:rPr>
                <w:sz w:val="17"/>
                <w:rtl/>
                <w:rFonts w:cs="Arial"/>
                <w:szCs w:val="17"/>
              </w:rPr>
              <w:t>‫«تغطية المصروفات التشغيلية: 56٪ (المقبوضات ÷ المصروف)»‬</w:t>
            </w:r>
          </w:p>
        </w:tc>
        <w:tc>
          <w:tcPr>
            <w:tcW w:type="dxa" w:w="3992"/>
            <w:shd w:val="clear" w:color="auto" w:fill="F9FAFB"/>
          </w:tcPr>
          <w:p>
            <w:pPr>
              <w:spacing w:after="0" w:line="252" w:lineRule="auto"/>
            </w:pPr>
            <w:r>
              <w:rPr>
                <w:sz w:val="17"/>
              </w:rPr>
              <w:t>One synthetic marker; "</w:t>
            </w:r>
            <w:r>
              <w:rPr>
                <w:sz w:val="17"/>
                <w:rtl/>
                <w:rFonts w:cs="Arial"/>
                <w:szCs w:val="17"/>
              </w:rPr>
              <w:t>‫المتناسبة‬</w:t>
            </w:r>
            <w:r>
              <w:rPr>
                <w:sz w:val="17"/>
              </w:rPr>
              <w:t>" replaced by plain wording; definition in "?".</w:t>
            </w:r>
          </w:p>
        </w:tc>
      </w:tr>
      <w:tr>
        <w:trPr>
          <w:cantSplit/>
        </w:trPr>
        <w:tc>
          <w:tcPr>
            <w:tcW w:type="dxa" w:w="1221"/>
          </w:tcPr>
          <w:p>
            <w:pPr>
              <w:spacing w:after="0" w:line="252" w:lineRule="auto"/>
            </w:pPr>
            <w:r>
              <w:rPr>
                <w:sz w:val="17"/>
              </w:rPr>
              <w:t>11</w:t>
            </w:r>
          </w:p>
        </w:tc>
        <w:tc>
          <w:tcPr>
            <w:tcW w:type="dxa" w:w="1828"/>
          </w:tcPr>
          <w:p>
            <w:pPr>
              <w:spacing w:after="0" w:line="252" w:lineRule="auto"/>
            </w:pPr>
            <w:r>
              <w:rPr>
                <w:sz w:val="17"/>
              </w:rPr>
              <w:t>Operational links line</w:t>
            </w:r>
          </w:p>
        </w:tc>
        <w:tc>
          <w:tcPr>
            <w:tcW w:type="dxa" w:w="3992"/>
          </w:tcPr>
          <w:p>
            <w:pPr>
              <w:spacing w:after="0" w:line="252" w:lineRule="auto"/>
            </w:pPr>
            <w:r>
              <w:rPr>
                <w:sz w:val="17"/>
                <w:rtl/>
                <w:rFonts w:cs="Arial"/>
                <w:szCs w:val="17"/>
              </w:rPr>
              <w:t>‫«وحدات تشغيلية: الفواتير · قائمة التحصيل · العقود… »‬</w:t>
            </w:r>
          </w:p>
        </w:tc>
        <w:tc>
          <w:tcPr>
            <w:tcW w:type="dxa" w:w="3992"/>
          </w:tcPr>
          <w:p>
            <w:pPr>
              <w:spacing w:after="0" w:line="252" w:lineRule="auto"/>
            </w:pPr>
            <w:r>
              <w:rPr>
                <w:sz w:val="17"/>
              </w:rPr>
              <w:t>—</w:t>
            </w:r>
          </w:p>
        </w:tc>
        <w:tc>
          <w:tcPr>
            <w:tcW w:type="dxa" w:w="3992"/>
          </w:tcPr>
          <w:p>
            <w:pPr>
              <w:spacing w:after="0" w:line="252" w:lineRule="auto"/>
            </w:pPr>
            <w:r>
              <w:rPr>
                <w:sz w:val="17"/>
              </w:rPr>
              <w:t>Remove from the page; it belongs to navigation (§5.1).</w:t>
            </w:r>
          </w:p>
        </w:tc>
      </w:tr>
      <w:tr>
        <w:trPr>
          <w:cantSplit/>
        </w:trPr>
        <w:tc>
          <w:tcPr>
            <w:tcW w:type="dxa" w:w="1221"/>
            <w:shd w:val="clear" w:color="auto" w:fill="F9FAFB"/>
          </w:tcPr>
          <w:p>
            <w:pPr>
              <w:spacing w:after="0" w:line="252" w:lineRule="auto"/>
            </w:pPr>
            <w:r>
              <w:rPr>
                <w:sz w:val="17"/>
              </w:rPr>
              <w:t>12</w:t>
            </w:r>
          </w:p>
        </w:tc>
        <w:tc>
          <w:tcPr>
            <w:tcW w:type="dxa" w:w="1828"/>
            <w:shd w:val="clear" w:color="auto" w:fill="F9FAFB"/>
          </w:tcPr>
          <w:p>
            <w:pPr>
              <w:spacing w:after="0" w:line="252" w:lineRule="auto"/>
            </w:pPr>
            <w:r>
              <w:rPr>
                <w:sz w:val="17"/>
              </w:rPr>
              <w:t>Data-status chips</w:t>
            </w:r>
          </w:p>
        </w:tc>
        <w:tc>
          <w:tcPr>
            <w:tcW w:type="dxa" w:w="3992"/>
            <w:shd w:val="clear" w:color="auto" w:fill="F9FAFB"/>
          </w:tcPr>
          <w:p>
            <w:pPr>
              <w:spacing w:after="0" w:line="252" w:lineRule="auto"/>
            </w:pPr>
            <w:r>
              <w:rPr>
                <w:sz w:val="17"/>
                <w:rtl/>
                <w:rFonts w:cs="Arial"/>
                <w:szCs w:val="17"/>
              </w:rPr>
              <w:t>‫«✓ المعادلات متحققة»‬</w:t>
            </w:r>
            <w:r>
              <w:rPr>
                <w:sz w:val="17"/>
              </w:rPr>
              <w:t xml:space="preserve"> · </w:t>
            </w:r>
            <w:r>
              <w:rPr>
                <w:sz w:val="17"/>
                <w:rtl/>
                <w:rFonts w:cs="Arial"/>
                <w:szCs w:val="17"/>
              </w:rPr>
              <w:t>‫«قواعد الاستبعاد: v2 · مراجعة»‬</w:t>
            </w:r>
            <w:r>
              <w:rPr>
                <w:sz w:val="17"/>
              </w:rPr>
              <w:t xml:space="preserve"> · </w:t>
            </w:r>
            <w:r>
              <w:rPr>
                <w:sz w:val="17"/>
                <w:rtl/>
                <w:rFonts w:cs="Arial"/>
                <w:szCs w:val="17"/>
              </w:rPr>
              <w:t>‫«أيام السماح: 0 (غير محسوم)»‬</w:t>
            </w:r>
            <w:r>
              <w:rPr>
                <w:sz w:val="17"/>
              </w:rPr>
              <w:t xml:space="preserve"> · «EXCL-RULES v2 (demo configuration)»</w:t>
            </w:r>
          </w:p>
        </w:tc>
        <w:tc>
          <w:tcPr>
            <w:tcW w:type="dxa" w:w="3992"/>
            <w:shd w:val="clear" w:color="auto" w:fill="F9FAFB"/>
          </w:tcPr>
          <w:p>
            <w:pPr>
              <w:spacing w:after="0" w:line="252" w:lineRule="auto"/>
            </w:pPr>
            <w:r>
              <w:rPr>
                <w:sz w:val="17"/>
              </w:rPr>
              <w:t xml:space="preserve">nothing in the normal state; show a </w:t>
            </w:r>
            <w:r>
              <w:rPr>
                <w:b/>
                <w:sz w:val="17"/>
              </w:rPr>
              <w:t>warning chip only when relevant</w:t>
            </w:r>
            <w:r>
              <w:rPr>
                <w:sz w:val="17"/>
              </w:rPr>
              <w:t xml:space="preserve">: </w:t>
            </w:r>
            <w:r>
              <w:rPr>
                <w:sz w:val="17"/>
                <w:rtl/>
                <w:rFonts w:cs="Arial"/>
                <w:szCs w:val="17"/>
              </w:rPr>
              <w:t>‫«استبعادات غير معتمدة تؤثر على 811 مليون ريال»‬</w:t>
            </w:r>
            <w:r>
              <w:rPr>
                <w:sz w:val="17"/>
              </w:rPr>
              <w:t xml:space="preserve"> → opens the details</w:t>
            </w:r>
          </w:p>
        </w:tc>
        <w:tc>
          <w:tcPr>
            <w:tcW w:type="dxa" w:w="3992"/>
            <w:shd w:val="clear" w:color="auto" w:fill="F9FAFB"/>
          </w:tcPr>
          <w:p>
            <w:pPr>
              <w:spacing w:after="0" w:line="252" w:lineRule="auto"/>
            </w:pPr>
            <w:r>
              <w:rPr>
                <w:sz w:val="17"/>
              </w:rPr>
              <w:t xml:space="preserve">Move all of these into a </w:t>
            </w:r>
            <w:r>
              <w:rPr>
                <w:sz w:val="17"/>
                <w:rtl/>
                <w:rFonts w:cs="Arial"/>
                <w:szCs w:val="17"/>
              </w:rPr>
              <w:t>‫«حالة البيانات ▾»‬</w:t>
            </w:r>
            <w:r>
              <w:rPr>
                <w:sz w:val="17"/>
              </w:rPr>
              <w:t xml:space="preserve"> panel.</w:t>
            </w:r>
          </w:p>
        </w:tc>
      </w:tr>
      <w:tr>
        <w:trPr>
          <w:cantSplit/>
        </w:trPr>
        <w:tc>
          <w:tcPr>
            <w:tcW w:type="dxa" w:w="1221"/>
          </w:tcPr>
          <w:p>
            <w:pPr>
              <w:spacing w:after="0" w:line="252" w:lineRule="auto"/>
            </w:pPr>
            <w:r>
              <w:rPr>
                <w:sz w:val="17"/>
              </w:rPr>
              <w:t>13</w:t>
            </w:r>
          </w:p>
        </w:tc>
        <w:tc>
          <w:tcPr>
            <w:tcW w:type="dxa" w:w="1828"/>
          </w:tcPr>
          <w:p>
            <w:pPr>
              <w:spacing w:after="0" w:line="252" w:lineRule="auto"/>
            </w:pPr>
            <w:r>
              <w:rPr>
                <w:sz w:val="17"/>
              </w:rPr>
              <w:t>KPI "?" panel (10 fields)</w:t>
            </w:r>
          </w:p>
        </w:tc>
        <w:tc>
          <w:tcPr>
            <w:tcW w:type="dxa" w:w="3992"/>
          </w:tcPr>
          <w:p>
            <w:pPr>
              <w:spacing w:after="0" w:line="252" w:lineRule="auto"/>
            </w:pPr>
            <w:r>
              <w:rPr>
                <w:sz w:val="17"/>
                <w:rtl/>
                <w:rFonts w:cs="Arial"/>
                <w:szCs w:val="17"/>
              </w:rPr>
              <w:t>‫التعريف‬</w:t>
            </w:r>
            <w:r>
              <w:rPr>
                <w:sz w:val="17"/>
              </w:rPr>
              <w:t xml:space="preserve"> · </w:t>
            </w:r>
            <w:r>
              <w:rPr>
                <w:sz w:val="17"/>
                <w:rtl/>
                <w:rFonts w:cs="Arial"/>
                <w:szCs w:val="17"/>
              </w:rPr>
              <w:t>‫المعادلة‬</w:t>
            </w:r>
            <w:r>
              <w:rPr>
                <w:sz w:val="17"/>
              </w:rPr>
              <w:t xml:space="preserve"> (with Σ) · </w:t>
            </w:r>
            <w:r>
              <w:rPr>
                <w:sz w:val="17"/>
                <w:rtl/>
                <w:rFonts w:cs="Arial"/>
                <w:szCs w:val="17"/>
              </w:rPr>
              <w:t>‫الفترة‬</w:t>
            </w:r>
            <w:r>
              <w:rPr>
                <w:sz w:val="17"/>
              </w:rPr>
              <w:t xml:space="preserve"> · </w:t>
            </w:r>
            <w:r>
              <w:rPr>
                <w:sz w:val="17"/>
                <w:rtl/>
                <w:rFonts w:cs="Arial"/>
                <w:szCs w:val="17"/>
              </w:rPr>
              <w:t>‫أساس التاريخ‬</w:t>
            </w:r>
            <w:r>
              <w:rPr>
                <w:sz w:val="17"/>
              </w:rPr>
              <w:t xml:space="preserve"> · </w:t>
            </w:r>
            <w:r>
              <w:rPr>
                <w:sz w:val="17"/>
                <w:rtl/>
                <w:rFonts w:cs="Arial"/>
                <w:szCs w:val="17"/>
              </w:rPr>
              <w:t>‫النطاق‬</w:t>
            </w:r>
            <w:r>
              <w:rPr>
                <w:sz w:val="17"/>
              </w:rPr>
              <w:t xml:space="preserve"> · </w:t>
            </w:r>
            <w:r>
              <w:rPr>
                <w:sz w:val="17"/>
                <w:rtl/>
                <w:rFonts w:cs="Arial"/>
                <w:szCs w:val="17"/>
              </w:rPr>
              <w:t>‫المصادر‬</w:t>
            </w:r>
            <w:r>
              <w:rPr>
                <w:sz w:val="17"/>
              </w:rPr>
              <w:t xml:space="preserve"> </w:t>
            </w:r>
            <w:r>
              <w:rPr>
                <w:sz w:val="17"/>
                <w:rtl/>
                <w:rFonts w:cs="Arial"/>
                <w:szCs w:val="17"/>
              </w:rPr>
              <w:t>‫«تحصيل، مكين»‬</w:t>
            </w:r>
            <w:r>
              <w:rPr>
                <w:sz w:val="17"/>
              </w:rPr>
              <w:t xml:space="preserve"> · </w:t>
            </w:r>
            <w:r>
              <w:rPr>
                <w:sz w:val="17"/>
                <w:rtl/>
                <w:rFonts w:cs="Arial"/>
                <w:szCs w:val="17"/>
              </w:rPr>
              <w:t>‫آخر تحديث‬</w:t>
            </w:r>
            <w:r>
              <w:rPr>
                <w:sz w:val="17"/>
              </w:rPr>
              <w:t xml:space="preserve"> · </w:t>
            </w:r>
            <w:r>
              <w:rPr>
                <w:sz w:val="17"/>
                <w:rtl/>
                <w:rFonts w:cs="Arial"/>
                <w:szCs w:val="17"/>
              </w:rPr>
              <w:t>‫إصدار القاعدة‬</w:t>
            </w:r>
            <w:r>
              <w:rPr>
                <w:sz w:val="17"/>
              </w:rPr>
              <w:t xml:space="preserve"> · </w:t>
            </w:r>
            <w:r>
              <w:rPr>
                <w:sz w:val="17"/>
                <w:rtl/>
                <w:rFonts w:cs="Arial"/>
                <w:szCs w:val="17"/>
              </w:rPr>
              <w:t>‫اكتمال البيانات 93%‬</w:t>
            </w:r>
          </w:p>
        </w:tc>
        <w:tc>
          <w:tcPr>
            <w:tcW w:type="dxa" w:w="3992"/>
          </w:tcPr>
          <w:p>
            <w:pPr>
              <w:spacing w:after="0" w:line="252" w:lineRule="auto"/>
            </w:pPr>
            <w:r>
              <w:rPr>
                <w:b/>
                <w:sz w:val="17"/>
              </w:rPr>
              <w:t>Visible:</w:t>
            </w:r>
            <w:r>
              <w:rPr>
                <w:sz w:val="17"/>
              </w:rPr>
              <w:t xml:space="preserve"> </w:t>
            </w:r>
            <w:r>
              <w:rPr>
                <w:sz w:val="17"/>
                <w:rtl/>
                <w:rFonts w:cs="Arial"/>
                <w:szCs w:val="17"/>
              </w:rPr>
              <w:t>‫«ما هو؟»‬</w:t>
            </w:r>
            <w:r>
              <w:rPr>
                <w:sz w:val="17"/>
              </w:rPr>
              <w:t xml:space="preserve"> (one sentence), </w:t>
            </w:r>
            <w:r>
              <w:rPr>
                <w:sz w:val="17"/>
                <w:rtl/>
                <w:rFonts w:cs="Arial"/>
                <w:szCs w:val="17"/>
              </w:rPr>
              <w:t>‫«كيف يُحسب؟»‬</w:t>
            </w:r>
            <w:r>
              <w:rPr>
                <w:sz w:val="17"/>
              </w:rPr>
              <w:t xml:space="preserve"> (words, not Σ), </w:t>
            </w:r>
            <w:r>
              <w:rPr>
                <w:sz w:val="17"/>
                <w:rtl/>
                <w:rFonts w:cs="Arial"/>
                <w:szCs w:val="17"/>
              </w:rPr>
              <w:t>‫«ما الذي لا يشمله؟»‬</w:t>
            </w:r>
            <w:r>
              <w:rPr>
                <w:sz w:val="17"/>
              </w:rPr>
              <w:t xml:space="preserve">. </w:t>
            </w:r>
            <w:r>
              <w:rPr>
                <w:b/>
                <w:sz w:val="17"/>
                <w:rtl/>
                <w:rFonts w:cs="Arial"/>
                <w:szCs w:val="17"/>
                <w:bCs/>
              </w:rPr>
              <w:t>‫تفاصيل تقنية‬</w:t>
            </w:r>
            <w:r>
              <w:rPr>
                <w:b/>
                <w:sz w:val="17"/>
              </w:rPr>
              <w:t xml:space="preserve"> ▾:</w:t>
            </w:r>
            <w:r>
              <w:rPr>
                <w:sz w:val="17"/>
              </w:rPr>
              <w:t xml:space="preserve"> </w:t>
            </w:r>
            <w:r>
              <w:rPr>
                <w:sz w:val="17"/>
                <w:rtl/>
                <w:rFonts w:cs="Arial"/>
                <w:szCs w:val="17"/>
              </w:rPr>
              <w:t>‫المصادر، إصدار القواعد، آخر تحديث‬</w:t>
            </w:r>
          </w:p>
        </w:tc>
        <w:tc>
          <w:tcPr>
            <w:tcW w:type="dxa" w:w="3992"/>
          </w:tcPr>
          <w:p>
            <w:pPr>
              <w:spacing w:after="0" w:line="252" w:lineRule="auto"/>
            </w:pPr>
            <w:r>
              <w:rPr>
                <w:sz w:val="17"/>
              </w:rPr>
              <w:t>Define or remove "</w:t>
            </w:r>
            <w:r>
              <w:rPr>
                <w:sz w:val="17"/>
                <w:rtl/>
                <w:rFonts w:cs="Arial"/>
                <w:szCs w:val="17"/>
              </w:rPr>
              <w:t>‫اكتمال البيانات 93%‬</w:t>
            </w:r>
            <w:r>
              <w:rPr>
                <w:sz w:val="17"/>
              </w:rPr>
              <w:t>". Panel must open on keyboard focus and tap, not only hover (NN/g tooltip guidelines).</w:t>
            </w:r>
          </w:p>
        </w:tc>
      </w:tr>
      <w:tr>
        <w:trPr>
          <w:cantSplit/>
        </w:trPr>
        <w:tc>
          <w:tcPr>
            <w:tcW w:type="dxa" w:w="1221"/>
            <w:shd w:val="clear" w:color="auto" w:fill="F9FAFB"/>
          </w:tcPr>
          <w:p>
            <w:pPr>
              <w:spacing w:after="0" w:line="252" w:lineRule="auto"/>
            </w:pPr>
            <w:r>
              <w:rPr>
                <w:sz w:val="17"/>
              </w:rPr>
              <w:t>14</w:t>
            </w:r>
          </w:p>
        </w:tc>
        <w:tc>
          <w:tcPr>
            <w:tcW w:type="dxa" w:w="1828"/>
            <w:shd w:val="clear" w:color="auto" w:fill="F9FAFB"/>
          </w:tcPr>
          <w:p>
            <w:pPr>
              <w:spacing w:after="0" w:line="252" w:lineRule="auto"/>
            </w:pPr>
            <w:r>
              <w:rPr>
                <w:sz w:val="17"/>
              </w:rPr>
              <w:t>Fixed-report cards</w:t>
            </w:r>
          </w:p>
        </w:tc>
        <w:tc>
          <w:tcPr>
            <w:tcW w:type="dxa" w:w="3992"/>
            <w:shd w:val="clear" w:color="auto" w:fill="F9FAFB"/>
          </w:tcPr>
          <w:p>
            <w:pPr>
              <w:spacing w:after="0" w:line="252" w:lineRule="auto"/>
            </w:pPr>
            <w:r>
              <w:rPr>
                <w:sz w:val="17"/>
                <w:rtl/>
                <w:rFonts w:cs="Arial"/>
                <w:szCs w:val="17"/>
              </w:rPr>
              <w:t>‫«1. الملخص التنفيذي الشهري للإيرادات — الصيغة الشهرية المعتادة: الأداء مقابل نفس الفترة من العام السابق، المصادر، الأمانات، الاستبعادات وأكبر فجوات التحصيل. [يُفتح مباشرة]»‬</w:t>
            </w:r>
          </w:p>
        </w:tc>
        <w:tc>
          <w:tcPr>
            <w:tcW w:type="dxa" w:w="3992"/>
            <w:shd w:val="clear" w:color="auto" w:fill="F9FAFB"/>
          </w:tcPr>
          <w:p>
            <w:pPr>
              <w:spacing w:after="0" w:line="252" w:lineRule="auto"/>
            </w:pPr>
            <w:r>
              <w:rPr>
                <w:sz w:val="17"/>
                <w:rtl/>
                <w:rFonts w:cs="Arial"/>
                <w:szCs w:val="17"/>
              </w:rPr>
              <w:t>‫«ملخص شهري — الأداء والمقارنة بالعام الماضي وأبرز الفجوات»‬</w:t>
            </w:r>
            <w:r>
              <w:rPr>
                <w:sz w:val="17"/>
              </w:rPr>
              <w:t xml:space="preserve"> (no number, no tag) grouped under </w:t>
            </w:r>
            <w:r>
              <w:rPr>
                <w:sz w:val="17"/>
                <w:rtl/>
                <w:rFonts w:cs="Arial"/>
                <w:szCs w:val="17"/>
              </w:rPr>
              <w:t>‫«ملخصات»‬</w:t>
            </w:r>
            <w:r>
              <w:rPr>
                <w:sz w:val="17"/>
              </w:rPr>
              <w:t xml:space="preserve"> · </w:t>
            </w:r>
            <w:r>
              <w:rPr>
                <w:sz w:val="17"/>
                <w:rtl/>
                <w:rFonts w:cs="Arial"/>
                <w:szCs w:val="17"/>
              </w:rPr>
              <w:t>‫«تحليل»‬</w:t>
            </w:r>
            <w:r>
              <w:rPr>
                <w:sz w:val="17"/>
              </w:rPr>
              <w:t xml:space="preserve"> · </w:t>
            </w:r>
            <w:r>
              <w:rPr>
                <w:sz w:val="17"/>
                <w:rtl/>
                <w:rFonts w:cs="Arial"/>
                <w:szCs w:val="17"/>
              </w:rPr>
              <w:t>‫«متابعة وجودة»‬</w:t>
            </w:r>
          </w:p>
        </w:tc>
        <w:tc>
          <w:tcPr>
            <w:tcW w:type="dxa" w:w="3992"/>
            <w:shd w:val="clear" w:color="auto" w:fill="F9FAFB"/>
          </w:tcPr>
          <w:p>
            <w:pPr>
              <w:spacing w:after="0" w:line="252" w:lineRule="auto"/>
            </w:pPr>
            <w:r>
              <w:rPr>
                <w:sz w:val="17"/>
              </w:rPr>
              <w:t>Remove numbers (they imply a sequence), the repeated tag, and the references to source monthly reports.</w:t>
            </w:r>
          </w:p>
        </w:tc>
      </w:tr>
      <w:tr>
        <w:trPr>
          <w:cantSplit/>
        </w:trPr>
        <w:tc>
          <w:tcPr>
            <w:tcW w:type="dxa" w:w="1221"/>
          </w:tcPr>
          <w:p>
            <w:pPr>
              <w:spacing w:after="0" w:line="252" w:lineRule="auto"/>
            </w:pPr>
            <w:r>
              <w:rPr>
                <w:sz w:val="17"/>
              </w:rPr>
              <w:t>15</w:t>
            </w:r>
          </w:p>
        </w:tc>
        <w:tc>
          <w:tcPr>
            <w:tcW w:type="dxa" w:w="1828"/>
          </w:tcPr>
          <w:p>
            <w:pPr>
              <w:spacing w:after="0" w:line="252" w:lineRule="auto"/>
            </w:pPr>
            <w:r>
              <w:rPr>
                <w:sz w:val="17"/>
              </w:rPr>
              <w:t>Fixed-report header</w:t>
            </w:r>
          </w:p>
        </w:tc>
        <w:tc>
          <w:tcPr>
            <w:tcW w:type="dxa" w:w="3992"/>
          </w:tcPr>
          <w:p>
            <w:pPr>
              <w:spacing w:after="0" w:line="252" w:lineRule="auto"/>
            </w:pPr>
            <w:r>
              <w:rPr>
                <w:sz w:val="17"/>
              </w:rPr>
              <w:t>9-row context table + report picker before the first KPI</w:t>
            </w:r>
          </w:p>
        </w:tc>
        <w:tc>
          <w:tcPr>
            <w:tcW w:type="dxa" w:w="3992"/>
          </w:tcPr>
          <w:p>
            <w:pPr>
              <w:spacing w:after="0" w:line="252" w:lineRule="auto"/>
            </w:pPr>
            <w:r>
              <w:rPr>
                <w:sz w:val="17"/>
              </w:rPr>
              <w:t xml:space="preserve">one line </w:t>
            </w:r>
            <w:r>
              <w:rPr>
                <w:sz w:val="17"/>
                <w:rtl/>
                <w:rFonts w:cs="Arial"/>
                <w:szCs w:val="17"/>
              </w:rPr>
              <w:t>‫«1 يناير – 9 أكتوبر 2026 · كل الأمانات · كل المصادر · المحصّل حتى 9 أكتوبر»‬</w:t>
            </w:r>
            <w:r>
              <w:rPr>
                <w:sz w:val="17"/>
              </w:rPr>
              <w:t xml:space="preserve"> + </w:t>
            </w:r>
            <w:r>
              <w:rPr>
                <w:sz w:val="17"/>
                <w:rtl/>
                <w:rFonts w:cs="Arial"/>
                <w:szCs w:val="17"/>
              </w:rPr>
              <w:t>‫«تفاصيل التقرير ▾»‬</w:t>
            </w:r>
          </w:p>
        </w:tc>
        <w:tc>
          <w:tcPr>
            <w:tcW w:type="dxa" w:w="3992"/>
          </w:tcPr>
          <w:p>
            <w:pPr>
              <w:spacing w:after="0" w:line="252" w:lineRule="auto"/>
            </w:pPr>
            <w:r>
              <w:rPr>
                <w:sz w:val="17"/>
              </w:rPr>
              <w:t>First KPI must be visible without scrolling.</w:t>
            </w:r>
          </w:p>
        </w:tc>
      </w:tr>
      <w:tr>
        <w:trPr>
          <w:cantSplit/>
        </w:trPr>
        <w:tc>
          <w:tcPr>
            <w:tcW w:type="dxa" w:w="1221"/>
            <w:shd w:val="clear" w:color="auto" w:fill="F9FAFB"/>
          </w:tcPr>
          <w:p>
            <w:pPr>
              <w:spacing w:after="0" w:line="252" w:lineRule="auto"/>
            </w:pPr>
            <w:r>
              <w:rPr>
                <w:sz w:val="17"/>
              </w:rPr>
              <w:t>16</w:t>
            </w:r>
          </w:p>
        </w:tc>
        <w:tc>
          <w:tcPr>
            <w:tcW w:type="dxa" w:w="1828"/>
            <w:shd w:val="clear" w:color="auto" w:fill="F9FAFB"/>
          </w:tcPr>
          <w:p>
            <w:pPr>
              <w:spacing w:after="0" w:line="252" w:lineRule="auto"/>
            </w:pPr>
            <w:r>
              <w:rPr>
                <w:sz w:val="17"/>
              </w:rPr>
              <w:t>Insight card (12 lines)</w:t>
            </w:r>
          </w:p>
        </w:tc>
        <w:tc>
          <w:tcPr>
            <w:tcW w:type="dxa" w:w="3992"/>
            <w:shd w:val="clear" w:color="auto" w:fill="F9FAFB"/>
          </w:tcPr>
          <w:p>
            <w:pPr>
              <w:spacing w:after="0" w:line="252" w:lineRule="auto"/>
            </w:pPr>
            <w:r>
              <w:rPr>
                <w:sz w:val="17"/>
                <w:rtl/>
                <w:rFonts w:cs="Arial"/>
                <w:szCs w:val="17"/>
              </w:rPr>
              <w:t>‫«فرصة متابعة: قطاع الإسكان — رسوم الأراضي البيضاء · تقدير — راجع الافتراضات · يستدعي إجراء · نسبة التحصيل 26.4% مقابل مستهدف تجريبي 60%. الفجوة التقديرية 977.58 مليون SAR هي ما يلزم تحصيله للوصول للمستهدف على صافي هذه الخلية. [5 أرقام] · الأساس: … · تحفظ: …»‬</w:t>
            </w:r>
          </w:p>
        </w:tc>
        <w:tc>
          <w:tcPr>
            <w:tcW w:type="dxa" w:w="3992"/>
            <w:shd w:val="clear" w:color="auto" w:fill="F9FAFB"/>
          </w:tcPr>
          <w:p>
            <w:pPr>
              <w:spacing w:after="0" w:line="252" w:lineRule="auto"/>
            </w:pPr>
            <w:r>
              <w:rPr>
                <w:b/>
                <w:sz w:val="17"/>
                <w:rtl/>
                <w:rFonts w:cs="Arial"/>
                <w:szCs w:val="17"/>
                <w:bCs/>
              </w:rPr>
              <w:t>‫«رسوم الأراضي البيضاء (قطاع الإسكان): التحصيل 26.4٪ مقابل 60٪ مستهدف»‬</w:t>
            </w:r>
            <w:r>
              <w:rPr>
                <w:sz w:val="17"/>
              </w:rPr>
              <w:t xml:space="preserve"> · </w:t>
            </w:r>
            <w:r>
              <w:rPr>
                <w:sz w:val="17"/>
                <w:rtl/>
                <w:rFonts w:cs="Arial"/>
                <w:szCs w:val="17"/>
              </w:rPr>
              <w:t>‫«غير المحصّل 2.14 مليار ريال»‬</w:t>
            </w:r>
            <w:r>
              <w:rPr>
                <w:sz w:val="17"/>
              </w:rPr>
              <w:t xml:space="preserve"> · [</w:t>
            </w:r>
            <w:r>
              <w:rPr>
                <w:sz w:val="17"/>
                <w:rtl/>
                <w:rFonts w:cs="Arial"/>
                <w:szCs w:val="17"/>
              </w:rPr>
              <w:t>‫عرض الفواتير‬</w:t>
            </w:r>
            <w:r>
              <w:rPr>
                <w:sz w:val="17"/>
              </w:rPr>
              <w:t xml:space="preserve">] · </w:t>
            </w:r>
            <w:r>
              <w:rPr>
                <w:sz w:val="17"/>
                <w:rtl/>
                <w:rFonts w:cs="Arial"/>
                <w:szCs w:val="17"/>
              </w:rPr>
              <w:t>‫«الأساس والتحفظات ▾»‬</w:t>
            </w:r>
          </w:p>
        </w:tc>
        <w:tc>
          <w:tcPr>
            <w:tcW w:type="dxa" w:w="3992"/>
            <w:shd w:val="clear" w:color="auto" w:fill="F9FAFB"/>
          </w:tcPr>
          <w:p>
            <w:pPr>
              <w:spacing w:after="0" w:line="252" w:lineRule="auto"/>
            </w:pPr>
            <w:r>
              <w:rPr>
                <w:sz w:val="17"/>
              </w:rPr>
              <w:t>12 lines → 3 visible; basis/caveat in the expander.</w:t>
            </w:r>
          </w:p>
        </w:tc>
      </w:tr>
      <w:tr>
        <w:trPr>
          <w:cantSplit/>
        </w:trPr>
        <w:tc>
          <w:tcPr>
            <w:tcW w:type="dxa" w:w="1221"/>
          </w:tcPr>
          <w:p>
            <w:pPr>
              <w:spacing w:after="0" w:line="252" w:lineRule="auto"/>
            </w:pPr>
            <w:r>
              <w:rPr>
                <w:sz w:val="17"/>
              </w:rPr>
              <w:t>17</w:t>
            </w:r>
          </w:p>
        </w:tc>
        <w:tc>
          <w:tcPr>
            <w:tcW w:type="dxa" w:w="1828"/>
          </w:tcPr>
          <w:p>
            <w:pPr>
              <w:spacing w:after="0" w:line="252" w:lineRule="auto"/>
            </w:pPr>
            <w:r>
              <w:rPr>
                <w:sz w:val="17"/>
              </w:rPr>
              <w:t>Report tail callouts</w:t>
            </w:r>
          </w:p>
        </w:tc>
        <w:tc>
          <w:tcPr>
            <w:tcW w:type="dxa" w:w="3992"/>
          </w:tcPr>
          <w:p>
            <w:pPr>
              <w:spacing w:after="0" w:line="252" w:lineRule="auto"/>
            </w:pPr>
            <w:r>
              <w:rPr>
                <w:sz w:val="17"/>
                <w:rtl/>
                <w:rFonts w:cs="Arial"/>
                <w:szCs w:val="17"/>
              </w:rPr>
              <w:t>‫«غير متاح في هذا الديمو: التحصيل الفعلي من «تحصيل»‬</w:t>
            </w:r>
            <w:r>
              <w:rPr>
                <w:sz w:val="17"/>
              </w:rPr>
              <w:t xml:space="preserve"> (</w:t>
            </w:r>
            <w:r>
              <w:rPr>
                <w:sz w:val="17"/>
                <w:rtl/>
                <w:rFonts w:cs="Arial"/>
                <w:szCs w:val="17"/>
              </w:rPr>
              <w:t>‫غير مربوط)، مستهدفات… لا تُقدَّر‬</w:t>
            </w:r>
            <w:r>
              <w:rPr>
                <w:sz w:val="17"/>
              </w:rPr>
              <w:t>.» + 8 assumption bullets</w:t>
            </w:r>
          </w:p>
        </w:tc>
        <w:tc>
          <w:tcPr>
            <w:tcW w:type="dxa" w:w="3992"/>
          </w:tcPr>
          <w:p>
            <w:pPr>
              <w:spacing w:after="0" w:line="252" w:lineRule="auto"/>
            </w:pPr>
            <w:r>
              <w:rPr>
                <w:sz w:val="17"/>
                <w:rtl/>
                <w:rFonts w:cs="Arial"/>
                <w:szCs w:val="17"/>
              </w:rPr>
              <w:t>‫«بيانات غير متوفرة حالياً (5) ▾»‬</w:t>
            </w:r>
            <w:r>
              <w:rPr>
                <w:sz w:val="17"/>
              </w:rPr>
              <w:t xml:space="preserve"> listing them + </w:t>
            </w:r>
            <w:r>
              <w:rPr>
                <w:sz w:val="17"/>
                <w:rtl/>
                <w:rFonts w:cs="Arial"/>
                <w:szCs w:val="17"/>
              </w:rPr>
              <w:t>‫«ملاحظات منهجية ▾»‬</w:t>
            </w:r>
            <w:r>
              <w:rPr>
                <w:sz w:val="17"/>
              </w:rPr>
              <w:t xml:space="preserve"> (3 bullets max)</w:t>
            </w:r>
          </w:p>
        </w:tc>
        <w:tc>
          <w:tcPr>
            <w:tcW w:type="dxa" w:w="3992"/>
          </w:tcPr>
          <w:p>
            <w:pPr>
              <w:spacing w:after="0" w:line="252" w:lineRule="auto"/>
            </w:pPr>
            <w:r>
              <w:rPr>
                <w:sz w:val="17"/>
              </w:rPr>
              <w:t xml:space="preserve">Remove </w:t>
            </w:r>
            <w:r>
              <w:rPr>
                <w:sz w:val="17"/>
                <w:rtl/>
                <w:rFonts w:cs="Arial"/>
                <w:szCs w:val="17"/>
              </w:rPr>
              <w:t>‫«الديمو»‬</w:t>
            </w:r>
            <w:r>
              <w:rPr>
                <w:sz w:val="17"/>
              </w:rPr>
              <w:t xml:space="preserve">, </w:t>
            </w:r>
            <w:r>
              <w:rPr>
                <w:sz w:val="17"/>
                <w:rtl/>
                <w:rFonts w:cs="Arial"/>
                <w:szCs w:val="17"/>
              </w:rPr>
              <w:t>‫«موسومة»‬</w:t>
            </w:r>
            <w:r>
              <w:rPr>
                <w:sz w:val="17"/>
              </w:rPr>
              <w:t xml:space="preserve">, </w:t>
            </w:r>
            <w:r>
              <w:rPr>
                <w:sz w:val="17"/>
                <w:rtl/>
                <w:rFonts w:cs="Arial"/>
                <w:szCs w:val="17"/>
              </w:rPr>
              <w:t>‫«بطرح تقارير تراكمية»‬</w:t>
            </w:r>
            <w:r>
              <w:rPr>
                <w:sz w:val="17"/>
              </w:rPr>
              <w:t>; keep only what changes how to read the numbers.</w:t>
            </w:r>
          </w:p>
        </w:tc>
      </w:tr>
      <w:tr>
        <w:trPr>
          <w:cantSplit/>
        </w:trPr>
        <w:tc>
          <w:tcPr>
            <w:tcW w:type="dxa" w:w="1221"/>
            <w:shd w:val="clear" w:color="auto" w:fill="F9FAFB"/>
          </w:tcPr>
          <w:p>
            <w:pPr>
              <w:spacing w:after="0" w:line="252" w:lineRule="auto"/>
            </w:pPr>
            <w:r>
              <w:rPr>
                <w:sz w:val="17"/>
              </w:rPr>
              <w:t>18</w:t>
            </w:r>
          </w:p>
        </w:tc>
        <w:tc>
          <w:tcPr>
            <w:tcW w:type="dxa" w:w="1828"/>
            <w:shd w:val="clear" w:color="auto" w:fill="F9FAFB"/>
          </w:tcPr>
          <w:p>
            <w:pPr>
              <w:spacing w:after="0" w:line="252" w:lineRule="auto"/>
            </w:pPr>
            <w:r>
              <w:rPr>
                <w:sz w:val="17"/>
              </w:rPr>
              <w:t>Empty selection</w:t>
            </w:r>
          </w:p>
        </w:tc>
        <w:tc>
          <w:tcPr>
            <w:tcW w:type="dxa" w:w="3992"/>
            <w:shd w:val="clear" w:color="auto" w:fill="F9FAFB"/>
          </w:tcPr>
          <w:p>
            <w:pPr>
              <w:spacing w:after="0" w:line="252" w:lineRule="auto"/>
            </w:pPr>
            <w:r>
              <w:rPr>
                <w:sz w:val="17"/>
                <w:rtl/>
                <w:rFonts w:cs="Arial"/>
                <w:szCs w:val="17"/>
              </w:rPr>
              <w:t>‫«لا فواتير في هذا الاختيار. البيانات غير متاحة لهذه المرشحات؛ وسّع الفترة أو أزل مرشحاً. لا تُعرض أصفار بدلاً من الغياب.»‬</w:t>
            </w:r>
          </w:p>
        </w:tc>
        <w:tc>
          <w:tcPr>
            <w:tcW w:type="dxa" w:w="3992"/>
            <w:shd w:val="clear" w:color="auto" w:fill="F9FAFB"/>
          </w:tcPr>
          <w:p>
            <w:pPr>
              <w:spacing w:after="0" w:line="252" w:lineRule="auto"/>
            </w:pPr>
            <w:r>
              <w:rPr>
                <w:b/>
                <w:sz w:val="17"/>
                <w:rtl/>
                <w:rFonts w:cs="Arial"/>
                <w:szCs w:val="17"/>
                <w:bCs/>
              </w:rPr>
              <w:t>‫«لا توجد فواتير ضمن هذا الاختيار.»‬</w:t>
            </w:r>
            <w:r>
              <w:rPr>
                <w:sz w:val="17"/>
              </w:rPr>
              <w:t xml:space="preserve"> + </w:t>
            </w:r>
            <w:r>
              <w:rPr>
                <w:sz w:val="17"/>
                <w:rtl/>
                <w:rFonts w:cs="Arial"/>
                <w:szCs w:val="17"/>
              </w:rPr>
              <w:t>‫«جرّب فترة أوسع أو أزل أحد المرشحات.»‬</w:t>
            </w:r>
            <w:r>
              <w:rPr>
                <w:sz w:val="17"/>
              </w:rPr>
              <w:t xml:space="preserve"> + button </w:t>
            </w:r>
            <w:r>
              <w:rPr>
                <w:b/>
                <w:sz w:val="17"/>
              </w:rPr>
              <w:t>[</w:t>
            </w:r>
            <w:r>
              <w:rPr>
                <w:b/>
                <w:sz w:val="17"/>
                <w:rtl/>
                <w:rFonts w:cs="Arial"/>
                <w:szCs w:val="17"/>
                <w:bCs/>
              </w:rPr>
              <w:t>‫إعادة ضبط المرشحات‬</w:t>
            </w:r>
            <w:r>
              <w:rPr>
                <w:b/>
                <w:sz w:val="17"/>
              </w:rPr>
              <w:t>]</w:t>
            </w:r>
          </w:p>
        </w:tc>
        <w:tc>
          <w:tcPr>
            <w:tcW w:type="dxa" w:w="3992"/>
            <w:shd w:val="clear" w:color="auto" w:fill="F9FAFB"/>
          </w:tcPr>
          <w:p>
            <w:pPr>
              <w:spacing w:after="0" w:line="252" w:lineRule="auto"/>
            </w:pPr>
            <w:r>
              <w:rPr>
                <w:sz w:val="17"/>
              </w:rPr>
              <w:t>Remove the developer rationale; add the missing reset action.</w:t>
            </w:r>
          </w:p>
        </w:tc>
      </w:tr>
      <w:tr>
        <w:trPr>
          <w:cantSplit/>
        </w:trPr>
        <w:tc>
          <w:tcPr>
            <w:tcW w:type="dxa" w:w="1221"/>
          </w:tcPr>
          <w:p>
            <w:pPr>
              <w:spacing w:after="0" w:line="252" w:lineRule="auto"/>
            </w:pPr>
            <w:r>
              <w:rPr>
                <w:sz w:val="17"/>
              </w:rPr>
              <w:t>19</w:t>
            </w:r>
          </w:p>
        </w:tc>
        <w:tc>
          <w:tcPr>
            <w:tcW w:type="dxa" w:w="1828"/>
          </w:tcPr>
          <w:p>
            <w:pPr>
              <w:spacing w:after="0" w:line="252" w:lineRule="auto"/>
            </w:pPr>
            <w:r>
              <w:rPr>
                <w:sz w:val="17"/>
              </w:rPr>
              <w:t>Invalid range</w:t>
            </w:r>
          </w:p>
        </w:tc>
        <w:tc>
          <w:tcPr>
            <w:tcW w:type="dxa" w:w="3992"/>
          </w:tcPr>
          <w:p>
            <w:pPr>
              <w:spacing w:after="0" w:line="252" w:lineRule="auto"/>
            </w:pPr>
            <w:r>
              <w:rPr>
                <w:sz w:val="17"/>
              </w:rPr>
              <w:t>(no message; falls into the empty state)</w:t>
            </w:r>
          </w:p>
        </w:tc>
        <w:tc>
          <w:tcPr>
            <w:tcW w:type="dxa" w:w="3992"/>
          </w:tcPr>
          <w:p>
            <w:pPr>
              <w:spacing w:after="0" w:line="252" w:lineRule="auto"/>
            </w:pPr>
            <w:r>
              <w:rPr>
                <w:sz w:val="17"/>
                <w:rtl/>
                <w:rFonts w:cs="Arial"/>
                <w:szCs w:val="17"/>
              </w:rPr>
              <w:t>‫«تاريخ البداية بعد تاريخ النهاية — صحّح الفترة.»‬</w:t>
            </w:r>
            <w:r>
              <w:rPr>
                <w:sz w:val="17"/>
              </w:rPr>
              <w:t xml:space="preserve"> inline under the fields</w:t>
            </w:r>
          </w:p>
        </w:tc>
        <w:tc>
          <w:tcPr>
            <w:tcW w:type="dxa" w:w="3992"/>
          </w:tcPr>
          <w:p>
            <w:pPr>
              <w:spacing w:after="0" w:line="252" w:lineRule="auto"/>
            </w:pPr>
            <w:r>
              <w:rPr>
                <w:sz w:val="17"/>
              </w:rPr>
              <w:t>New message (D-01).</w:t>
            </w:r>
          </w:p>
        </w:tc>
      </w:tr>
      <w:tr>
        <w:trPr>
          <w:cantSplit/>
        </w:trPr>
        <w:tc>
          <w:tcPr>
            <w:tcW w:type="dxa" w:w="1221"/>
            <w:shd w:val="clear" w:color="auto" w:fill="F9FAFB"/>
          </w:tcPr>
          <w:p>
            <w:pPr>
              <w:spacing w:after="0" w:line="252" w:lineRule="auto"/>
            </w:pPr>
            <w:r>
              <w:rPr>
                <w:sz w:val="17"/>
              </w:rPr>
              <w:t>20</w:t>
            </w:r>
          </w:p>
        </w:tc>
        <w:tc>
          <w:tcPr>
            <w:tcW w:type="dxa" w:w="1828"/>
            <w:shd w:val="clear" w:color="auto" w:fill="F9FAFB"/>
          </w:tcPr>
          <w:p>
            <w:pPr>
              <w:spacing w:after="0" w:line="252" w:lineRule="auto"/>
            </w:pPr>
            <w:r>
              <w:rPr>
                <w:sz w:val="17"/>
              </w:rPr>
              <w:t>Smart banner (33 words)</w:t>
            </w:r>
          </w:p>
        </w:tc>
        <w:tc>
          <w:tcPr>
            <w:tcW w:type="dxa" w:w="3992"/>
            <w:shd w:val="clear" w:color="auto" w:fill="F9FAFB"/>
          </w:tcPr>
          <w:p>
            <w:pPr>
              <w:spacing w:after="0" w:line="252" w:lineRule="auto"/>
            </w:pPr>
            <w:r>
              <w:rPr>
                <w:sz w:val="17"/>
                <w:rtl/>
                <w:rFonts w:cs="Arial"/>
                <w:szCs w:val="17"/>
              </w:rPr>
              <w:t>‫«يفهم هذا المساعد طلبات محددة (الفترة، الأمانة، البلدية، المصدر، الحالة، المقارنة، أقسام التقرير) بقواعد حسابية — وليس نموذجاً لغوياً — وتُبنى التقارير مباشرة من بيانات النظام. البيانات تجريبية اصطناعية.»‬</w:t>
            </w:r>
          </w:p>
        </w:tc>
        <w:tc>
          <w:tcPr>
            <w:tcW w:type="dxa" w:w="3992"/>
            <w:shd w:val="clear" w:color="auto" w:fill="F9FAFB"/>
          </w:tcPr>
          <w:p>
            <w:pPr>
              <w:spacing w:after="0" w:line="252" w:lineRule="auto"/>
            </w:pPr>
            <w:r>
              <w:rPr>
                <w:sz w:val="17"/>
                <w:rtl/>
                <w:rFonts w:cs="Arial"/>
                <w:szCs w:val="17"/>
              </w:rPr>
              <w:t>‫«اكتب طلبك: الفترة، الأمانة، المصدر، أو المقارنة.»‬</w:t>
            </w:r>
            <w:r>
              <w:rPr>
                <w:sz w:val="17"/>
              </w:rPr>
              <w:t xml:space="preserve"> + </w:t>
            </w:r>
            <w:r>
              <w:rPr>
                <w:sz w:val="17"/>
                <w:rtl/>
                <w:rFonts w:cs="Arial"/>
                <w:szCs w:val="17"/>
              </w:rPr>
              <w:t>‫«أمثلة ▾»‬</w:t>
            </w:r>
            <w:r>
              <w:rPr>
                <w:sz w:val="17"/>
              </w:rPr>
              <w:t xml:space="preserve"> + </w:t>
            </w:r>
            <w:r>
              <w:rPr>
                <w:sz w:val="17"/>
                <w:rtl/>
                <w:rFonts w:cs="Arial"/>
                <w:szCs w:val="17"/>
              </w:rPr>
              <w:t>‫«عن المساعد ▾»‬</w:t>
            </w:r>
            <w:r>
              <w:rPr>
                <w:sz w:val="17"/>
              </w:rPr>
              <w:t xml:space="preserve"> (rule-based, not a language model)</w:t>
            </w:r>
          </w:p>
        </w:tc>
        <w:tc>
          <w:tcPr>
            <w:tcW w:type="dxa" w:w="3992"/>
            <w:shd w:val="clear" w:color="auto" w:fill="F9FAFB"/>
          </w:tcPr>
          <w:p>
            <w:pPr>
              <w:spacing w:after="0" w:line="252" w:lineRule="auto"/>
            </w:pPr>
            <w:r>
              <w:rPr>
                <w:sz w:val="17"/>
              </w:rPr>
              <w:t>Keep the honesty note, but not as the first thing a manager reads.</w:t>
            </w:r>
          </w:p>
        </w:tc>
      </w:tr>
      <w:tr>
        <w:trPr>
          <w:cantSplit/>
        </w:trPr>
        <w:tc>
          <w:tcPr>
            <w:tcW w:type="dxa" w:w="1221"/>
          </w:tcPr>
          <w:p>
            <w:pPr>
              <w:spacing w:after="0" w:line="252" w:lineRule="auto"/>
            </w:pPr>
            <w:r>
              <w:rPr>
                <w:sz w:val="17"/>
              </w:rPr>
              <w:t>21</w:t>
            </w:r>
          </w:p>
        </w:tc>
        <w:tc>
          <w:tcPr>
            <w:tcW w:type="dxa" w:w="1828"/>
          </w:tcPr>
          <w:p>
            <w:pPr>
              <w:spacing w:after="0" w:line="252" w:lineRule="auto"/>
            </w:pPr>
            <w:r>
              <w:rPr>
                <w:sz w:val="17"/>
              </w:rPr>
              <w:t>Smart reply</w:t>
            </w:r>
          </w:p>
        </w:tc>
        <w:tc>
          <w:tcPr>
            <w:tcW w:type="dxa" w:w="3992"/>
          </w:tcPr>
          <w:p>
            <w:pPr>
              <w:spacing w:after="0" w:line="252" w:lineRule="auto"/>
            </w:pPr>
            <w:r>
              <w:rPr>
                <w:sz w:val="17"/>
                <w:rtl/>
                <w:rFonts w:cs="Arial"/>
                <w:szCs w:val="17"/>
              </w:rPr>
              <w:t>‫«أعددتُ التقرير من بيانات النظام. الفترة: 2026-10-01 → 2026-10-09 وأبقيتُ بقية المرشحات كما هي.»‬</w:t>
            </w:r>
            <w:r>
              <w:rPr>
                <w:sz w:val="17"/>
              </w:rPr>
              <w:t xml:space="preserve"> (also after clarification questions — F-16c)</w:t>
            </w:r>
          </w:p>
        </w:tc>
        <w:tc>
          <w:tcPr>
            <w:tcW w:type="dxa" w:w="3992"/>
          </w:tcPr>
          <w:p>
            <w:pPr>
              <w:spacing w:after="0" w:line="252" w:lineRule="auto"/>
            </w:pPr>
            <w:r>
              <w:rPr>
                <w:sz w:val="17"/>
                <w:rtl/>
                <w:rFonts w:cs="Arial"/>
                <w:szCs w:val="17"/>
              </w:rPr>
              <w:t>‫«تقرير الإيرادات · 1–9 أكتوبر 2026 · كل الأمانات»‬</w:t>
            </w:r>
            <w:r>
              <w:rPr>
                <w:sz w:val="17"/>
              </w:rPr>
              <w:t xml:space="preserve"> + chips of </w:t>
            </w:r>
            <w:r>
              <w:rPr>
                <w:b/>
                <w:sz w:val="17"/>
              </w:rPr>
              <w:t>what changed</w:t>
            </w:r>
            <w:r>
              <w:rPr>
                <w:sz w:val="17"/>
              </w:rPr>
              <w:t xml:space="preserve"> (</w:t>
            </w:r>
            <w:r>
              <w:rPr>
                <w:sz w:val="17"/>
                <w:rtl/>
                <w:rFonts w:cs="Arial"/>
                <w:szCs w:val="17"/>
              </w:rPr>
              <w:t>‫«تغيّرت الفترة»‬</w:t>
            </w:r>
            <w:r>
              <w:rPr>
                <w:sz w:val="17"/>
              </w:rPr>
              <w:t>)</w:t>
            </w:r>
          </w:p>
        </w:tc>
        <w:tc>
          <w:tcPr>
            <w:tcW w:type="dxa" w:w="3992"/>
          </w:tcPr>
          <w:p>
            <w:pPr>
              <w:spacing w:after="0" w:line="252" w:lineRule="auto"/>
            </w:pPr>
            <w:r>
              <w:rPr>
                <w:sz w:val="17"/>
              </w:rPr>
              <w:t>Say what was understood, not that data came from "system data".</w:t>
            </w:r>
          </w:p>
        </w:tc>
      </w:tr>
      <w:tr>
        <w:trPr>
          <w:cantSplit/>
        </w:trPr>
        <w:tc>
          <w:tcPr>
            <w:tcW w:type="dxa" w:w="1221"/>
            <w:shd w:val="clear" w:color="auto" w:fill="F9FAFB"/>
          </w:tcPr>
          <w:p>
            <w:pPr>
              <w:spacing w:after="0" w:line="252" w:lineRule="auto"/>
            </w:pPr>
            <w:r>
              <w:rPr>
                <w:sz w:val="17"/>
              </w:rPr>
              <w:t>22</w:t>
            </w:r>
          </w:p>
        </w:tc>
        <w:tc>
          <w:tcPr>
            <w:tcW w:type="dxa" w:w="1828"/>
            <w:shd w:val="clear" w:color="auto" w:fill="F9FAFB"/>
          </w:tcPr>
          <w:p>
            <w:pPr>
              <w:spacing w:after="0" w:line="252" w:lineRule="auto"/>
            </w:pPr>
            <w:r>
              <w:rPr>
                <w:sz w:val="17"/>
              </w:rPr>
              <w:t>Smart unsupported</w:t>
            </w:r>
          </w:p>
        </w:tc>
        <w:tc>
          <w:tcPr>
            <w:tcW w:type="dxa" w:w="3992"/>
            <w:shd w:val="clear" w:color="auto" w:fill="F9FAFB"/>
          </w:tcPr>
          <w:p>
            <w:pPr>
              <w:spacing w:after="0" w:line="252" w:lineRule="auto"/>
            </w:pPr>
            <w:r>
              <w:rPr>
                <w:sz w:val="17"/>
                <w:rtl/>
                <w:rFonts w:cs="Arial"/>
                <w:szCs w:val="17"/>
              </w:rPr>
              <w:t>‫«لم أستطع تحويل هذا الطلب إلى تقرير. أفهم طلبات محددة بقواعد وليس نصاً حراً. جرّب أحد الاقتراحات أو أعد صياغة الطلب:»‬</w:t>
            </w:r>
          </w:p>
        </w:tc>
        <w:tc>
          <w:tcPr>
            <w:tcW w:type="dxa" w:w="3992"/>
            <w:shd w:val="clear" w:color="auto" w:fill="F9FAFB"/>
          </w:tcPr>
          <w:p>
            <w:pPr>
              <w:spacing w:after="0" w:line="252" w:lineRule="auto"/>
            </w:pPr>
            <w:r>
              <w:rPr>
                <w:sz w:val="17"/>
                <w:rtl/>
                <w:rFonts w:cs="Arial"/>
                <w:szCs w:val="17"/>
              </w:rPr>
              <w:t>‫«لم أفهم الطلب. جرّب مثلاً: …»‬</w:t>
            </w:r>
            <w:r>
              <w:rPr>
                <w:sz w:val="17"/>
              </w:rPr>
              <w:t xml:space="preserve"> (3 examples)</w:t>
            </w:r>
          </w:p>
        </w:tc>
        <w:tc>
          <w:tcPr>
            <w:tcW w:type="dxa" w:w="3992"/>
            <w:shd w:val="clear" w:color="auto" w:fill="F9FAFB"/>
          </w:tcPr>
          <w:p>
            <w:pPr>
              <w:spacing w:after="0" w:line="252" w:lineRule="auto"/>
            </w:pPr>
            <w:r>
              <w:rPr>
                <w:sz w:val="17"/>
              </w:rPr>
              <w:t>Shorter, no "</w:t>
            </w:r>
            <w:r>
              <w:rPr>
                <w:sz w:val="17"/>
                <w:rtl/>
                <w:rFonts w:cs="Arial"/>
                <w:szCs w:val="17"/>
              </w:rPr>
              <w:t>‫نصاً حراً‬</w:t>
            </w:r>
            <w:r>
              <w:rPr>
                <w:sz w:val="17"/>
              </w:rPr>
              <w:t>".</w:t>
            </w:r>
          </w:p>
        </w:tc>
      </w:tr>
      <w:tr>
        <w:trPr>
          <w:cantSplit/>
        </w:trPr>
        <w:tc>
          <w:tcPr>
            <w:tcW w:type="dxa" w:w="1221"/>
          </w:tcPr>
          <w:p>
            <w:pPr>
              <w:spacing w:after="0" w:line="252" w:lineRule="auto"/>
            </w:pPr>
            <w:r>
              <w:rPr>
                <w:sz w:val="17"/>
              </w:rPr>
              <w:t>23</w:t>
            </w:r>
          </w:p>
        </w:tc>
        <w:tc>
          <w:tcPr>
            <w:tcW w:type="dxa" w:w="1828"/>
          </w:tcPr>
          <w:p>
            <w:pPr>
              <w:spacing w:after="0" w:line="252" w:lineRule="auto"/>
            </w:pPr>
            <w:r>
              <w:rPr>
                <w:sz w:val="17"/>
              </w:rPr>
              <w:t>Planning header</w:t>
            </w:r>
          </w:p>
        </w:tc>
        <w:tc>
          <w:tcPr>
            <w:tcW w:type="dxa" w:w="3992"/>
          </w:tcPr>
          <w:p>
            <w:pPr>
              <w:spacing w:after="0" w:line="252" w:lineRule="auto"/>
            </w:pPr>
            <w:r>
              <w:rPr>
                <w:sz w:val="17"/>
                <w:rtl/>
                <w:rFonts w:cs="Arial"/>
                <w:szCs w:val="17"/>
              </w:rPr>
              <w:t>‫«ما أهدافنا؟ هل نحقق المستهدف؟ ما التوقع والفجوة؟ ماذا يتغير في السيناريوهات؟ ومن يتولى كل مبادرة؟»‬</w:t>
            </w:r>
          </w:p>
        </w:tc>
        <w:tc>
          <w:tcPr>
            <w:tcW w:type="dxa" w:w="3992"/>
          </w:tcPr>
          <w:p>
            <w:pPr>
              <w:spacing w:after="0" w:line="252" w:lineRule="auto"/>
            </w:pPr>
            <w:r>
              <w:rPr>
                <w:sz w:val="17"/>
                <w:rtl/>
                <w:rFonts w:cs="Arial"/>
                <w:szCs w:val="17"/>
              </w:rPr>
              <w:t>‫«خطة {الاسم} · الإصدار {n} · {الفترة} · {النطاق}»‬</w:t>
            </w:r>
          </w:p>
        </w:tc>
        <w:tc>
          <w:tcPr>
            <w:tcW w:type="dxa" w:w="3992"/>
          </w:tcPr>
          <w:p>
            <w:pPr>
              <w:spacing w:after="0" w:line="252" w:lineRule="auto"/>
            </w:pPr>
            <w:r>
              <w:rPr>
                <w:sz w:val="17"/>
              </w:rPr>
              <w:t>Remove the five questions; the plan bar already says what this is.</w:t>
            </w:r>
          </w:p>
        </w:tc>
      </w:tr>
      <w:tr>
        <w:trPr>
          <w:cantSplit/>
        </w:trPr>
        <w:tc>
          <w:tcPr>
            <w:tcW w:type="dxa" w:w="1221"/>
            <w:shd w:val="clear" w:color="auto" w:fill="F9FAFB"/>
          </w:tcPr>
          <w:p>
            <w:pPr>
              <w:spacing w:after="0" w:line="252" w:lineRule="auto"/>
            </w:pPr>
            <w:r>
              <w:rPr>
                <w:sz w:val="17"/>
              </w:rPr>
              <w:t>24</w:t>
            </w:r>
          </w:p>
        </w:tc>
        <w:tc>
          <w:tcPr>
            <w:tcW w:type="dxa" w:w="1828"/>
            <w:shd w:val="clear" w:color="auto" w:fill="F9FAFB"/>
          </w:tcPr>
          <w:p>
            <w:pPr>
              <w:spacing w:after="0" w:line="252" w:lineRule="auto"/>
            </w:pPr>
            <w:r>
              <w:rPr>
                <w:sz w:val="17"/>
              </w:rPr>
              <w:t>Target disclaimers (12×)</w:t>
            </w:r>
          </w:p>
        </w:tc>
        <w:tc>
          <w:tcPr>
            <w:tcW w:type="dxa" w:w="3992"/>
            <w:shd w:val="clear" w:color="auto" w:fill="F9FAFB"/>
          </w:tcPr>
          <w:p>
            <w:pPr>
              <w:spacing w:after="0" w:line="252" w:lineRule="auto"/>
            </w:pPr>
            <w:r>
              <w:rPr>
                <w:sz w:val="17"/>
                <w:rtl/>
                <w:rFonts w:cs="Arial"/>
                <w:szCs w:val="17"/>
              </w:rPr>
              <w:t>‫«لا مستهدفات معتمدة في البيانات؛ ما يُعرض مُدخل ينتظر اعتماداً»‬</w:t>
            </w:r>
            <w:r>
              <w:rPr>
                <w:sz w:val="17"/>
              </w:rPr>
              <w:t xml:space="preserve"> · </w:t>
            </w:r>
            <w:r>
              <w:rPr>
                <w:sz w:val="17"/>
                <w:rtl/>
                <w:rFonts w:cs="Arial"/>
                <w:szCs w:val="17"/>
              </w:rPr>
              <w:t>‫«مُدخل تجريبي — يُعدَّل من الحقل أدناه»‬</w:t>
            </w:r>
            <w:r>
              <w:rPr>
                <w:sz w:val="17"/>
              </w:rPr>
              <w:t xml:space="preserve"> · </w:t>
            </w:r>
            <w:r>
              <w:rPr>
                <w:sz w:val="17"/>
                <w:rtl/>
                <w:rFonts w:cs="Arial"/>
                <w:szCs w:val="17"/>
              </w:rPr>
              <w:t>‫«مدخلات المستهدف (غير معتمدة)»‬</w:t>
            </w:r>
            <w:r>
              <w:rPr>
                <w:sz w:val="17"/>
              </w:rPr>
              <w:t xml:space="preserve"> · </w:t>
            </w:r>
            <w:r>
              <w:rPr>
                <w:sz w:val="17"/>
                <w:rtl/>
                <w:rFonts w:cs="Arial"/>
                <w:szCs w:val="17"/>
              </w:rPr>
              <w:t>‫«محسوبة من مستهدف غير معتمد»‬</w:t>
            </w:r>
            <w:r>
              <w:rPr>
                <w:sz w:val="17"/>
              </w:rPr>
              <w:t xml:space="preserve"> · </w:t>
            </w:r>
            <w:r>
              <w:rPr>
                <w:sz w:val="17"/>
                <w:rtl/>
                <w:rFonts w:cs="Arial"/>
                <w:szCs w:val="17"/>
              </w:rPr>
              <w:t>‫«مستهدف الإيرادات — غير معتمد»‬</w:t>
            </w:r>
          </w:p>
        </w:tc>
        <w:tc>
          <w:tcPr>
            <w:tcW w:type="dxa" w:w="3992"/>
            <w:shd w:val="clear" w:color="auto" w:fill="F9FAFB"/>
          </w:tcPr>
          <w:p>
            <w:pPr>
              <w:spacing w:after="0" w:line="252" w:lineRule="auto"/>
            </w:pPr>
            <w:r>
              <w:rPr>
                <w:b/>
                <w:sz w:val="17"/>
              </w:rPr>
              <w:t>One banner:</w:t>
            </w:r>
            <w:r>
              <w:rPr>
                <w:sz w:val="17"/>
              </w:rPr>
              <w:t xml:space="preserve"> </w:t>
            </w:r>
            <w:r>
              <w:rPr>
                <w:sz w:val="17"/>
                <w:rtl/>
                <w:rFonts w:cs="Arial"/>
                <w:szCs w:val="17"/>
              </w:rPr>
              <w:t>‫«المستهدفات الحالية تجريبية وغير معتمدة.»‬</w:t>
            </w:r>
            <w:r>
              <w:rPr>
                <w:sz w:val="17"/>
              </w:rPr>
              <w:t xml:space="preserve"> + one </w:t>
            </w:r>
            <w:r>
              <w:rPr>
                <w:sz w:val="17"/>
                <w:rtl/>
                <w:rFonts w:cs="Arial"/>
                <w:szCs w:val="17"/>
              </w:rPr>
              <w:t>‫«تجريبي»‬</w:t>
            </w:r>
            <w:r>
              <w:rPr>
                <w:sz w:val="17"/>
              </w:rPr>
              <w:t xml:space="preserve"> chip on target columns + one legend </w:t>
            </w:r>
            <w:r>
              <w:rPr>
                <w:sz w:val="17"/>
                <w:rtl/>
                <w:rFonts w:cs="Arial"/>
                <w:szCs w:val="17"/>
              </w:rPr>
              <w:t>‫«فعلي · مستهدف · تنبؤ · سيناريو»‬</w:t>
            </w:r>
          </w:p>
        </w:tc>
        <w:tc>
          <w:tcPr>
            <w:tcW w:type="dxa" w:w="3992"/>
            <w:shd w:val="clear" w:color="auto" w:fill="F9FAFB"/>
          </w:tcPr>
          <w:p>
            <w:pPr>
              <w:spacing w:after="0" w:line="252" w:lineRule="auto"/>
            </w:pPr>
            <w:r>
              <w:rPr>
                <w:sz w:val="17"/>
              </w:rPr>
              <w:t>41 pills / 23 texts → ≤ 6.</w:t>
            </w:r>
          </w:p>
        </w:tc>
      </w:tr>
      <w:tr>
        <w:trPr>
          <w:cantSplit/>
        </w:trPr>
        <w:tc>
          <w:tcPr>
            <w:tcW w:type="dxa" w:w="1221"/>
          </w:tcPr>
          <w:p>
            <w:pPr>
              <w:spacing w:after="0" w:line="252" w:lineRule="auto"/>
            </w:pPr>
            <w:r>
              <w:rPr>
                <w:sz w:val="17"/>
              </w:rPr>
              <w:t>25</w:t>
            </w:r>
          </w:p>
        </w:tc>
        <w:tc>
          <w:tcPr>
            <w:tcW w:type="dxa" w:w="1828"/>
          </w:tcPr>
          <w:p>
            <w:pPr>
              <w:spacing w:after="0" w:line="252" w:lineRule="auto"/>
            </w:pPr>
            <w:r>
              <w:rPr>
                <w:sz w:val="17"/>
              </w:rPr>
              <w:t>Plan-bar disclaimer</w:t>
            </w:r>
          </w:p>
        </w:tc>
        <w:tc>
          <w:tcPr>
            <w:tcW w:type="dxa" w:w="3992"/>
          </w:tcPr>
          <w:p>
            <w:pPr>
              <w:spacing w:after="0" w:line="252" w:lineRule="auto"/>
            </w:pPr>
            <w:r>
              <w:rPr>
                <w:sz w:val="17"/>
                <w:rtl/>
                <w:rFonts w:cs="Arial"/>
                <w:szCs w:val="17"/>
              </w:rPr>
              <w:t>‫«اعتماد الخطة يخص افتراضاتها فقط؛ لا يجعل أي مستهدف معتمداً ولا يغيّر أي بيانات فعلية.»‬</w:t>
            </w:r>
          </w:p>
        </w:tc>
        <w:tc>
          <w:tcPr>
            <w:tcW w:type="dxa" w:w="3992"/>
          </w:tcPr>
          <w:p>
            <w:pPr>
              <w:spacing w:after="0" w:line="252" w:lineRule="auto"/>
            </w:pPr>
            <w:r>
              <w:rPr>
                <w:sz w:val="17"/>
              </w:rPr>
              <w:t xml:space="preserve">tooltip on </w:t>
            </w:r>
            <w:r>
              <w:rPr>
                <w:b/>
                <w:sz w:val="17"/>
                <w:rtl/>
                <w:rFonts w:cs="Arial"/>
                <w:szCs w:val="17"/>
                <w:bCs/>
              </w:rPr>
              <w:t>‫«اعتماد الخطة»‬</w:t>
            </w:r>
            <w:r>
              <w:rPr>
                <w:sz w:val="17"/>
              </w:rPr>
              <w:t xml:space="preserve">: </w:t>
            </w:r>
            <w:r>
              <w:rPr>
                <w:sz w:val="17"/>
                <w:rtl/>
                <w:rFonts w:cs="Arial"/>
                <w:szCs w:val="17"/>
              </w:rPr>
              <w:t>‫«يعتمد افتراضات الخطة فقط، لا المستهدفات.»‬</w:t>
            </w:r>
          </w:p>
        </w:tc>
        <w:tc>
          <w:tcPr>
            <w:tcW w:type="dxa" w:w="3992"/>
          </w:tcPr>
          <w:p>
            <w:pPr>
              <w:spacing w:after="0" w:line="252" w:lineRule="auto"/>
            </w:pPr>
            <w:r>
              <w:rPr>
                <w:sz w:val="17"/>
              </w:rPr>
              <w:t>Move to tooltip.</w:t>
            </w:r>
          </w:p>
        </w:tc>
      </w:tr>
      <w:tr>
        <w:trPr>
          <w:cantSplit/>
        </w:trPr>
        <w:tc>
          <w:tcPr>
            <w:tcW w:type="dxa" w:w="1221"/>
            <w:shd w:val="clear" w:color="auto" w:fill="F9FAFB"/>
          </w:tcPr>
          <w:p>
            <w:pPr>
              <w:spacing w:after="0" w:line="252" w:lineRule="auto"/>
            </w:pPr>
            <w:r>
              <w:rPr>
                <w:sz w:val="17"/>
              </w:rPr>
              <w:t>26</w:t>
            </w:r>
          </w:p>
        </w:tc>
        <w:tc>
          <w:tcPr>
            <w:tcW w:type="dxa" w:w="1828"/>
            <w:shd w:val="clear" w:color="auto" w:fill="F9FAFB"/>
          </w:tcPr>
          <w:p>
            <w:pPr>
              <w:spacing w:after="0" w:line="252" w:lineRule="auto"/>
            </w:pPr>
            <w:r>
              <w:rPr>
                <w:sz w:val="17"/>
              </w:rPr>
              <w:t>Scenario levers</w:t>
            </w:r>
          </w:p>
        </w:tc>
        <w:tc>
          <w:tcPr>
            <w:tcW w:type="dxa" w:w="3992"/>
            <w:shd w:val="clear" w:color="auto" w:fill="F9FAFB"/>
          </w:tcPr>
          <w:p>
            <w:pPr>
              <w:spacing w:after="0" w:line="252" w:lineRule="auto"/>
            </w:pPr>
            <w:r>
              <w:rPr>
                <w:sz w:val="17"/>
                <w:rtl/>
                <w:rFonts w:cs="Arial"/>
                <w:szCs w:val="17"/>
              </w:rPr>
              <w:t>‫«نسبة التحصيل الإضافي التي تصل بعد تاريخ التخطيط (0 … 100 %)»‬</w:t>
            </w:r>
            <w:r>
              <w:rPr>
                <w:sz w:val="17"/>
              </w:rPr>
              <w:t xml:space="preserve"> + 25-word hint; </w:t>
            </w:r>
            <w:r>
              <w:rPr>
                <w:sz w:val="17"/>
                <w:rtl/>
                <w:rFonts w:cs="Arial"/>
                <w:szCs w:val="17"/>
              </w:rPr>
              <w:t>‫«حسم الحالات المعلقة»‬</w:t>
            </w:r>
            <w:r>
              <w:rPr>
                <w:sz w:val="17"/>
              </w:rPr>
              <w:t xml:space="preserve"> / </w:t>
            </w:r>
            <w:r>
              <w:rPr>
                <w:sz w:val="17"/>
                <w:rtl/>
                <w:rFonts w:cs="Arial"/>
                <w:szCs w:val="17"/>
              </w:rPr>
              <w:t>‫«منها تُحسم كاستبعاد»‬</w:t>
            </w:r>
            <w:r>
              <w:rPr>
                <w:sz w:val="17"/>
              </w:rPr>
              <w:t xml:space="preserve"> + hints; button </w:t>
            </w:r>
            <w:r>
              <w:rPr>
                <w:sz w:val="17"/>
                <w:rtl/>
                <w:rFonts w:cs="Arial"/>
                <w:szCs w:val="17"/>
              </w:rPr>
              <w:t>‫«اقتراح إجراء من هذا السيناريو»‬</w:t>
            </w:r>
          </w:p>
        </w:tc>
        <w:tc>
          <w:tcPr>
            <w:tcW w:type="dxa" w:w="3992"/>
            <w:shd w:val="clear" w:color="auto" w:fill="F9FAFB"/>
          </w:tcPr>
          <w:p>
            <w:pPr>
              <w:spacing w:after="0" w:line="252" w:lineRule="auto"/>
            </w:pPr>
            <w:r>
              <w:rPr>
                <w:sz w:val="17"/>
                <w:rtl/>
                <w:rFonts w:cs="Arial"/>
                <w:szCs w:val="17"/>
              </w:rPr>
              <w:t>‫«تأخّر المقبوضات الإضافية عن تاريخ الخطة (٪)»‬</w:t>
            </w:r>
            <w:r>
              <w:rPr>
                <w:sz w:val="17"/>
              </w:rPr>
              <w:t xml:space="preserve">; </w:t>
            </w:r>
            <w:r>
              <w:rPr>
                <w:sz w:val="17"/>
                <w:rtl/>
                <w:rFonts w:cs="Arial"/>
                <w:szCs w:val="17"/>
              </w:rPr>
              <w:t>‫«مراجعة الاستبعادات المعلّقة (٪)»‬</w:t>
            </w:r>
            <w:r>
              <w:rPr>
                <w:sz w:val="17"/>
              </w:rPr>
              <w:t xml:space="preserve"> / </w:t>
            </w:r>
            <w:r>
              <w:rPr>
                <w:sz w:val="17"/>
                <w:rtl/>
                <w:rFonts w:cs="Arial"/>
                <w:szCs w:val="17"/>
              </w:rPr>
              <w:t>‫«نسبة ما يُقبل استبعاده (٪)»‬</w:t>
            </w:r>
            <w:r>
              <w:rPr>
                <w:sz w:val="17"/>
              </w:rPr>
              <w:t xml:space="preserve">; hint in ⓘ; button </w:t>
            </w:r>
            <w:r>
              <w:rPr>
                <w:b/>
                <w:sz w:val="17"/>
                <w:rtl/>
                <w:rFonts w:cs="Arial"/>
                <w:szCs w:val="17"/>
                <w:bCs/>
              </w:rPr>
              <w:t>‫«إنشاء مقترح»‬</w:t>
            </w:r>
            <w:r>
              <w:rPr>
                <w:sz w:val="17"/>
              </w:rPr>
              <w:t xml:space="preserve"> (and it must create a </w:t>
            </w:r>
            <w:r>
              <w:rPr>
                <w:i/>
                <w:sz w:val="17"/>
              </w:rPr>
              <w:t>proposal</w:t>
            </w:r>
            <w:r>
              <w:rPr>
                <w:sz w:val="17"/>
              </w:rPr>
              <w:t>, F-06)</w:t>
            </w:r>
          </w:p>
        </w:tc>
        <w:tc>
          <w:tcPr>
            <w:tcW w:type="dxa" w:w="3992"/>
            <w:shd w:val="clear" w:color="auto" w:fill="F9FAFB"/>
          </w:tcPr>
          <w:p>
            <w:pPr>
              <w:spacing w:after="0" w:line="252" w:lineRule="auto"/>
            </w:pPr>
            <w:r>
              <w:rPr>
                <w:sz w:val="17"/>
              </w:rPr>
              <w:t>Visible text per lever ≤ 8 words; range shown on focus.</w:t>
            </w:r>
          </w:p>
        </w:tc>
      </w:tr>
      <w:tr>
        <w:trPr>
          <w:cantSplit/>
        </w:trPr>
        <w:tc>
          <w:tcPr>
            <w:tcW w:type="dxa" w:w="1221"/>
          </w:tcPr>
          <w:p>
            <w:pPr>
              <w:spacing w:after="0" w:line="252" w:lineRule="auto"/>
            </w:pPr>
            <w:r>
              <w:rPr>
                <w:sz w:val="17"/>
              </w:rPr>
              <w:t>27</w:t>
            </w:r>
          </w:p>
        </w:tc>
        <w:tc>
          <w:tcPr>
            <w:tcW w:type="dxa" w:w="1828"/>
          </w:tcPr>
          <w:p>
            <w:pPr>
              <w:spacing w:after="0" w:line="252" w:lineRule="auto"/>
            </w:pPr>
            <w:r>
              <w:rPr>
                <w:sz w:val="17"/>
              </w:rPr>
              <w:t>Scenario result tile</w:t>
            </w:r>
          </w:p>
        </w:tc>
        <w:tc>
          <w:tcPr>
            <w:tcW w:type="dxa" w:w="3992"/>
          </w:tcPr>
          <w:p>
            <w:pPr>
              <w:spacing w:after="0" w:line="252" w:lineRule="auto"/>
            </w:pPr>
            <w:r>
              <w:rPr>
                <w:sz w:val="17"/>
                <w:rtl/>
                <w:rFonts w:cs="Arial"/>
                <w:szCs w:val="17"/>
              </w:rPr>
              <w:t>‫«فجوة المستهدف (غير معتمد) 0 SAR — الأساس 0.3 مليار SAR · مستهدف 60%»‬</w:t>
            </w:r>
          </w:p>
        </w:tc>
        <w:tc>
          <w:tcPr>
            <w:tcW w:type="dxa" w:w="3992"/>
          </w:tcPr>
          <w:p>
            <w:pPr>
              <w:spacing w:after="0" w:line="252" w:lineRule="auto"/>
            </w:pPr>
            <w:r>
              <w:rPr>
                <w:sz w:val="17"/>
                <w:rtl/>
                <w:rFonts w:cs="Arial"/>
                <w:szCs w:val="17"/>
              </w:rPr>
              <w:t>‫«المتبقي للوصول إلى 60٪: لا شيء (كان 0.3 مليار ريال)»‬</w:t>
            </w:r>
          </w:p>
        </w:tc>
        <w:tc>
          <w:tcPr>
            <w:tcW w:type="dxa" w:w="3992"/>
          </w:tcPr>
          <w:p>
            <w:pPr>
              <w:spacing w:after="0" w:line="252" w:lineRule="auto"/>
            </w:pPr>
            <w:r>
              <w:rPr>
                <w:sz w:val="17"/>
              </w:rPr>
              <w:t>Plain wording; zero explained.</w:t>
            </w:r>
          </w:p>
        </w:tc>
      </w:tr>
      <w:tr>
        <w:trPr>
          <w:cantSplit/>
        </w:trPr>
        <w:tc>
          <w:tcPr>
            <w:tcW w:type="dxa" w:w="1221"/>
            <w:shd w:val="clear" w:color="auto" w:fill="F9FAFB"/>
          </w:tcPr>
          <w:p>
            <w:pPr>
              <w:spacing w:after="0" w:line="252" w:lineRule="auto"/>
            </w:pPr>
            <w:r>
              <w:rPr>
                <w:sz w:val="17"/>
              </w:rPr>
              <w:t>28</w:t>
            </w:r>
          </w:p>
        </w:tc>
        <w:tc>
          <w:tcPr>
            <w:tcW w:type="dxa" w:w="1828"/>
            <w:shd w:val="clear" w:color="auto" w:fill="F9FAFB"/>
          </w:tcPr>
          <w:p>
            <w:pPr>
              <w:spacing w:after="0" w:line="252" w:lineRule="auto"/>
            </w:pPr>
            <w:r>
              <w:rPr>
                <w:sz w:val="17"/>
              </w:rPr>
              <w:t>Proposal card (15 lines, partly English)</w:t>
            </w:r>
          </w:p>
        </w:tc>
        <w:tc>
          <w:tcPr>
            <w:tcW w:type="dxa" w:w="3992"/>
            <w:shd w:val="clear" w:color="auto" w:fill="F9FAFB"/>
          </w:tcPr>
          <w:p>
            <w:pPr>
              <w:spacing w:after="0" w:line="252" w:lineRule="auto"/>
            </w:pPr>
            <w:r>
              <w:rPr>
                <w:sz w:val="17"/>
              </w:rPr>
              <w:t xml:space="preserve">title · priority · </w:t>
            </w:r>
            <w:r>
              <w:rPr>
                <w:sz w:val="17"/>
                <w:rtl/>
                <w:rFonts w:cs="Arial"/>
                <w:szCs w:val="17"/>
              </w:rPr>
              <w:t>‫«مقترح — لم يُعتمد»‬</w:t>
            </w:r>
            <w:r>
              <w:rPr>
                <w:sz w:val="17"/>
              </w:rPr>
              <w:t xml:space="preserve"> · issue sentence · </w:t>
            </w:r>
            <w:r>
              <w:rPr>
                <w:sz w:val="17"/>
                <w:rtl/>
                <w:rFonts w:cs="Arial"/>
                <w:szCs w:val="17"/>
              </w:rPr>
              <w:t>‫«الإجراء المقترح: …»‬</w:t>
            </w:r>
            <w:r>
              <w:rPr>
                <w:sz w:val="17"/>
              </w:rPr>
              <w:t xml:space="preserve"> · evidence line · 5 evidence figures · </w:t>
            </w:r>
            <w:r>
              <w:rPr>
                <w:sz w:val="17"/>
                <w:rtl/>
                <w:rFonts w:cs="Arial"/>
                <w:szCs w:val="17"/>
              </w:rPr>
              <w:t>‫«الأثر المتوقع: … (تقدير) · … · جهة مقترحة للمراجع: … · خلال 30 يوماً (مقترح)»‬</w:t>
            </w:r>
            <w:r>
              <w:rPr>
                <w:sz w:val="17"/>
              </w:rPr>
              <w:t xml:space="preserve"> · 2 buttons</w:t>
            </w:r>
          </w:p>
        </w:tc>
        <w:tc>
          <w:tcPr>
            <w:tcW w:type="dxa" w:w="3992"/>
            <w:shd w:val="clear" w:color="auto" w:fill="F9FAFB"/>
          </w:tcPr>
          <w:p>
            <w:pPr>
              <w:spacing w:after="0" w:line="252" w:lineRule="auto"/>
            </w:pPr>
            <w:r>
              <w:rPr>
                <w:b/>
                <w:sz w:val="17"/>
              </w:rPr>
              <w:t xml:space="preserve">title · </w:t>
            </w:r>
            <w:r>
              <w:rPr>
                <w:b/>
                <w:sz w:val="17"/>
                <w:rtl/>
                <w:rFonts w:cs="Arial"/>
                <w:szCs w:val="17"/>
                <w:bCs/>
              </w:rPr>
              <w:t>‫«التحصيل 26.4٪ مقابل 60٪ المستهدف»‬</w:t>
            </w:r>
            <w:r>
              <w:rPr>
                <w:b/>
                <w:sz w:val="17"/>
              </w:rPr>
              <w:t xml:space="preserve"> · </w:t>
            </w:r>
            <w:r>
              <w:rPr>
                <w:b/>
                <w:sz w:val="17"/>
                <w:rtl/>
                <w:rFonts w:cs="Arial"/>
                <w:szCs w:val="17"/>
                <w:bCs/>
              </w:rPr>
              <w:t>‫«الأثر الأعلى المحتمل: 977 مليون ريال»‬</w:t>
            </w:r>
            <w:r>
              <w:rPr>
                <w:b/>
                <w:sz w:val="17"/>
              </w:rPr>
              <w:t xml:space="preserve"> · [</w:t>
            </w:r>
            <w:r>
              <w:rPr>
                <w:b/>
                <w:sz w:val="17"/>
                <w:rtl/>
                <w:rFonts w:cs="Arial"/>
                <w:szCs w:val="17"/>
                <w:bCs/>
              </w:rPr>
              <w:t>‫مراجعة‬</w:t>
            </w:r>
            <w:r>
              <w:rPr>
                <w:b/>
                <w:sz w:val="17"/>
              </w:rPr>
              <w:t>] [</w:t>
            </w:r>
            <w:r>
              <w:rPr>
                <w:b/>
                <w:sz w:val="17"/>
                <w:rtl/>
                <w:rFonts w:cs="Arial"/>
                <w:szCs w:val="17"/>
                <w:bCs/>
              </w:rPr>
              <w:t>‫رفض‬</w:t>
            </w:r>
            <w:r>
              <w:rPr>
                <w:b/>
                <w:sz w:val="17"/>
              </w:rPr>
              <w:t>]</w:t>
            </w:r>
            <w:r>
              <w:rPr>
                <w:sz w:val="17"/>
              </w:rPr>
              <w:t xml:space="preserve"> and </w:t>
            </w:r>
            <w:r>
              <w:rPr>
                <w:sz w:val="17"/>
                <w:rtl/>
                <w:rFonts w:cs="Arial"/>
                <w:szCs w:val="17"/>
              </w:rPr>
              <w:t>‫«التفاصيل ▾»‬</w:t>
            </w:r>
            <w:r>
              <w:rPr>
                <w:sz w:val="17"/>
              </w:rPr>
              <w:t xml:space="preserve"> for evidence, owner hint, timeframe</w:t>
            </w:r>
          </w:p>
        </w:tc>
        <w:tc>
          <w:tcPr>
            <w:tcW w:type="dxa" w:w="3992"/>
            <w:shd w:val="clear" w:color="auto" w:fill="F9FAFB"/>
          </w:tcPr>
          <w:p>
            <w:pPr>
              <w:spacing w:after="0" w:line="252" w:lineRule="auto"/>
            </w:pPr>
            <w:r>
              <w:rPr>
                <w:sz w:val="17"/>
              </w:rPr>
              <w:t>15 → 5 visible lines; fix language swap (F-09).</w:t>
            </w:r>
          </w:p>
        </w:tc>
      </w:tr>
      <w:tr>
        <w:trPr>
          <w:cantSplit/>
        </w:trPr>
        <w:tc>
          <w:tcPr>
            <w:tcW w:type="dxa" w:w="1221"/>
          </w:tcPr>
          <w:p>
            <w:pPr>
              <w:spacing w:after="0" w:line="252" w:lineRule="auto"/>
            </w:pPr>
            <w:r>
              <w:rPr>
                <w:sz w:val="17"/>
              </w:rPr>
              <w:t>29</w:t>
            </w:r>
          </w:p>
        </w:tc>
        <w:tc>
          <w:tcPr>
            <w:tcW w:type="dxa" w:w="1828"/>
          </w:tcPr>
          <w:p>
            <w:pPr>
              <w:spacing w:after="0" w:line="252" w:lineRule="auto"/>
            </w:pPr>
            <w:r>
              <w:rPr>
                <w:sz w:val="17"/>
              </w:rPr>
              <w:t>Assistant disclaimers (planning)</w:t>
            </w:r>
          </w:p>
        </w:tc>
        <w:tc>
          <w:tcPr>
            <w:tcW w:type="dxa" w:w="3992"/>
          </w:tcPr>
          <w:p>
            <w:pPr>
              <w:spacing w:after="0" w:line="252" w:lineRule="auto"/>
            </w:pPr>
            <w:r>
              <w:rPr>
                <w:sz w:val="17"/>
              </w:rPr>
              <w:t xml:space="preserve">header </w:t>
            </w:r>
            <w:r>
              <w:rPr>
                <w:sz w:val="17"/>
                <w:rtl/>
                <w:rFonts w:cs="Arial"/>
                <w:szCs w:val="17"/>
              </w:rPr>
              <w:t>‫«محاكاة مساعد بقواعد حسابية — ليس نموذجاً لغوياً · بيانات تجريبية»‬</w:t>
            </w:r>
            <w:r>
              <w:rPr>
                <w:sz w:val="17"/>
              </w:rPr>
              <w:t xml:space="preserve"> + footer under every answer </w:t>
            </w:r>
            <w:r>
              <w:rPr>
                <w:sz w:val="17"/>
                <w:rtl/>
                <w:rFonts w:cs="Arial"/>
                <w:szCs w:val="17"/>
              </w:rPr>
              <w:t>‫«إجابة محسوبة بقواعد (محاكاة) من البيانات التجريبية؛ لا تُنسب أسباب غير مسجلة.»‬</w:t>
            </w:r>
          </w:p>
        </w:tc>
        <w:tc>
          <w:tcPr>
            <w:tcW w:type="dxa" w:w="3992"/>
          </w:tcPr>
          <w:p>
            <w:pPr>
              <w:spacing w:after="0" w:line="252" w:lineRule="auto"/>
            </w:pPr>
            <w:r>
              <w:rPr>
                <w:sz w:val="17"/>
              </w:rPr>
              <w:t xml:space="preserve">header only: </w:t>
            </w:r>
            <w:r>
              <w:rPr>
                <w:sz w:val="17"/>
                <w:rtl/>
                <w:rFonts w:cs="Arial"/>
                <w:szCs w:val="17"/>
              </w:rPr>
              <w:t>‫«مساعد التخطيط (يعمل بقواعد محددة)»‬</w:t>
            </w:r>
            <w:r>
              <w:rPr>
                <w:sz w:val="17"/>
              </w:rPr>
              <w:t>; no per-answer footer</w:t>
            </w:r>
          </w:p>
        </w:tc>
        <w:tc>
          <w:tcPr>
            <w:tcW w:type="dxa" w:w="3992"/>
          </w:tcPr>
          <w:p>
            <w:pPr>
              <w:spacing w:after="0" w:line="252" w:lineRule="auto"/>
            </w:pPr>
            <w:r>
              <w:rPr>
                <w:sz w:val="17"/>
              </w:rPr>
              <w:t>Say it once.</w:t>
            </w:r>
          </w:p>
        </w:tc>
      </w:tr>
      <w:tr>
        <w:trPr>
          <w:cantSplit/>
        </w:trPr>
        <w:tc>
          <w:tcPr>
            <w:tcW w:type="dxa" w:w="1221"/>
            <w:shd w:val="clear" w:color="auto" w:fill="F9FAFB"/>
          </w:tcPr>
          <w:p>
            <w:pPr>
              <w:spacing w:after="0" w:line="252" w:lineRule="auto"/>
            </w:pPr>
            <w:r>
              <w:rPr>
                <w:sz w:val="17"/>
              </w:rPr>
              <w:t>30</w:t>
            </w:r>
          </w:p>
        </w:tc>
        <w:tc>
          <w:tcPr>
            <w:tcW w:type="dxa" w:w="1828"/>
            <w:shd w:val="clear" w:color="auto" w:fill="F9FAFB"/>
          </w:tcPr>
          <w:p>
            <w:pPr>
              <w:spacing w:after="0" w:line="252" w:lineRule="auto"/>
            </w:pPr>
            <w:r>
              <w:rPr>
                <w:sz w:val="17"/>
              </w:rPr>
              <w:t>Money and dates everywhere</w:t>
            </w:r>
          </w:p>
        </w:tc>
        <w:tc>
          <w:tcPr>
            <w:tcW w:type="dxa" w:w="3992"/>
            <w:shd w:val="clear" w:color="auto" w:fill="F9FAFB"/>
          </w:tcPr>
          <w:p>
            <w:pPr>
              <w:spacing w:after="0" w:line="252" w:lineRule="auto"/>
            </w:pPr>
            <w:r>
              <w:rPr>
                <w:sz w:val="17"/>
                <w:rtl/>
                <w:rFonts w:cs="Arial"/>
                <w:szCs w:val="17"/>
              </w:rPr>
              <w:t>‫«13.56 مليار SAR»‬</w:t>
            </w:r>
            <w:r>
              <w:rPr>
                <w:sz w:val="17"/>
              </w:rPr>
              <w:t>, «2026-01-01 → 2026-10-09»</w:t>
            </w:r>
          </w:p>
        </w:tc>
        <w:tc>
          <w:tcPr>
            <w:tcW w:type="dxa" w:w="3992"/>
            <w:shd w:val="clear" w:color="auto" w:fill="F9FAFB"/>
          </w:tcPr>
          <w:p>
            <w:pPr>
              <w:spacing w:after="0" w:line="252" w:lineRule="auto"/>
            </w:pPr>
            <w:r>
              <w:rPr>
                <w:sz w:val="17"/>
                <w:rtl/>
                <w:rFonts w:cs="Arial"/>
                <w:szCs w:val="17"/>
              </w:rPr>
              <w:t>‫«13.56 مليار ريال»‬</w:t>
            </w:r>
            <w:r>
              <w:rPr>
                <w:sz w:val="17"/>
              </w:rPr>
              <w:t xml:space="preserve">, </w:t>
            </w:r>
            <w:r>
              <w:rPr>
                <w:sz w:val="17"/>
                <w:rtl/>
                <w:rFonts w:cs="Arial"/>
                <w:szCs w:val="17"/>
              </w:rPr>
              <w:t>‫«1 يناير – 9 أكتوبر 2026»‬</w:t>
            </w:r>
            <w:r>
              <w:rPr>
                <w:sz w:val="17"/>
              </w:rPr>
              <w:t xml:space="preserve"> (ISO stays in exports/URLs)</w:t>
            </w:r>
          </w:p>
        </w:tc>
        <w:tc>
          <w:tcPr>
            <w:tcW w:type="dxa" w:w="3992"/>
            <w:shd w:val="clear" w:color="auto" w:fill="F9FAFB"/>
          </w:tcPr>
          <w:p>
            <w:pPr>
              <w:spacing w:after="0" w:line="252" w:lineRule="auto"/>
            </w:pPr>
            <w:r>
              <w:rPr>
                <w:sz w:val="17"/>
              </w:rPr>
              <w:t>One style; see D-10 and Q12.</w:t>
            </w:r>
          </w:p>
        </w:tc>
      </w:tr>
    </w:tbl>
    <w:p>
      <w:pPr>
        <w:spacing w:after="40"/>
      </w:pPr>
    </w:p>
    <w:p>
      <w:pPr>
        <w:pStyle w:val="Heading3"/>
      </w:pPr>
      <w:r>
        <w:t>10.3 Glossary to freeze (one term per concept, Arabic)</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5606"/>
        <w:gridCol w:w="6410"/>
        <w:gridCol w:w="3008"/>
      </w:tblGrid>
      <w:tr>
        <w:trPr>
          <w:tblHeader w:val="true"/>
          <w:cantSplit/>
        </w:trPr>
        <w:tc>
          <w:tcPr>
            <w:tcW w:type="dxa" w:w="5606"/>
            <w:shd w:val="clear" w:color="auto" w:fill="1B8354"/>
          </w:tcPr>
          <w:p>
            <w:pPr>
              <w:spacing w:after="0" w:line="252" w:lineRule="auto"/>
            </w:pPr>
            <w:r>
              <w:rPr>
                <w:b/>
                <w:color w:val="FFFFFF"/>
                <w:sz w:val="17"/>
              </w:rPr>
              <w:t>Concept</w:t>
            </w:r>
          </w:p>
        </w:tc>
        <w:tc>
          <w:tcPr>
            <w:tcW w:type="dxa" w:w="6410"/>
            <w:shd w:val="clear" w:color="auto" w:fill="1B8354"/>
          </w:tcPr>
          <w:p>
            <w:pPr>
              <w:spacing w:after="0" w:line="252" w:lineRule="auto"/>
            </w:pPr>
            <w:r>
              <w:rPr>
                <w:b/>
                <w:color w:val="FFFFFF"/>
                <w:sz w:val="17"/>
              </w:rPr>
              <w:t>Use</w:t>
            </w:r>
          </w:p>
        </w:tc>
        <w:tc>
          <w:tcPr>
            <w:tcW w:type="dxa" w:w="3008"/>
            <w:shd w:val="clear" w:color="auto" w:fill="1B8354"/>
          </w:tcPr>
          <w:p>
            <w:pPr>
              <w:spacing w:after="0" w:line="252" w:lineRule="auto"/>
            </w:pPr>
            <w:r>
              <w:rPr>
                <w:b/>
                <w:color w:val="FFFFFF"/>
                <w:sz w:val="17"/>
              </w:rPr>
              <w:t>Do not use</w:t>
            </w:r>
          </w:p>
        </w:tc>
      </w:tr>
      <w:tr>
        <w:trPr>
          <w:cantSplit/>
        </w:trPr>
        <w:tc>
          <w:tcPr>
            <w:tcW w:type="dxa" w:w="5606"/>
          </w:tcPr>
          <w:p>
            <w:pPr>
              <w:spacing w:after="0" w:line="252" w:lineRule="auto"/>
            </w:pPr>
            <w:r>
              <w:rPr>
                <w:sz w:val="17"/>
              </w:rPr>
              <w:t>Invoices issued in the period, before exclusions</w:t>
            </w:r>
          </w:p>
        </w:tc>
        <w:tc>
          <w:tcPr>
            <w:tcW w:type="dxa" w:w="6410"/>
          </w:tcPr>
          <w:p>
            <w:pPr>
              <w:spacing w:after="0" w:line="252" w:lineRule="auto"/>
            </w:pPr>
            <w:r>
              <w:rPr>
                <w:b/>
                <w:sz w:val="17"/>
                <w:rtl/>
                <w:rFonts w:cs="Arial"/>
                <w:szCs w:val="17"/>
                <w:bCs/>
              </w:rPr>
              <w:t>‫إجمالي المفوتر‬</w:t>
            </w:r>
          </w:p>
        </w:tc>
        <w:tc>
          <w:tcPr>
            <w:tcW w:type="dxa" w:w="3008"/>
          </w:tcPr>
          <w:p>
            <w:pPr>
              <w:spacing w:after="0" w:line="252" w:lineRule="auto"/>
            </w:pPr>
            <w:r>
              <w:rPr>
                <w:sz w:val="17"/>
              </w:rPr>
              <w:t>–</w:t>
            </w:r>
          </w:p>
        </w:tc>
      </w:tr>
      <w:tr>
        <w:trPr>
          <w:cantSplit/>
        </w:trPr>
        <w:tc>
          <w:tcPr>
            <w:tcW w:type="dxa" w:w="5606"/>
            <w:shd w:val="clear" w:color="auto" w:fill="F9FAFB"/>
          </w:tcPr>
          <w:p>
            <w:pPr>
              <w:spacing w:after="0" w:line="252" w:lineRule="auto"/>
            </w:pPr>
            <w:r>
              <w:rPr>
                <w:sz w:val="17"/>
              </w:rPr>
              <w:t>Removed from the base</w:t>
            </w:r>
          </w:p>
        </w:tc>
        <w:tc>
          <w:tcPr>
            <w:tcW w:type="dxa" w:w="6410"/>
            <w:shd w:val="clear" w:color="auto" w:fill="F9FAFB"/>
          </w:tcPr>
          <w:p>
            <w:pPr>
              <w:spacing w:after="0" w:line="252" w:lineRule="auto"/>
            </w:pPr>
            <w:r>
              <w:rPr>
                <w:b/>
                <w:sz w:val="17"/>
                <w:rtl/>
                <w:rFonts w:cs="Arial"/>
                <w:szCs w:val="17"/>
                <w:bCs/>
              </w:rPr>
              <w:t>‫الاستبعادات‬</w:t>
            </w:r>
            <w:r>
              <w:rPr>
                <w:sz w:val="17"/>
              </w:rPr>
              <w:t xml:space="preserve"> (and state which part is cancelled vs rule-based)</w:t>
            </w:r>
          </w:p>
        </w:tc>
        <w:tc>
          <w:tcPr>
            <w:tcW w:type="dxa" w:w="3008"/>
            <w:shd w:val="clear" w:color="auto" w:fill="F9FAFB"/>
          </w:tcPr>
          <w:p>
            <w:pPr>
              <w:spacing w:after="0" w:line="252" w:lineRule="auto"/>
            </w:pPr>
            <w:r>
              <w:rPr>
                <w:sz w:val="17"/>
                <w:rtl/>
                <w:rFonts w:cs="Arial"/>
                <w:szCs w:val="17"/>
              </w:rPr>
              <w:t>‫«مقام المؤشر»‬</w:t>
            </w:r>
          </w:p>
        </w:tc>
      </w:tr>
      <w:tr>
        <w:trPr>
          <w:cantSplit/>
        </w:trPr>
        <w:tc>
          <w:tcPr>
            <w:tcW w:type="dxa" w:w="5606"/>
          </w:tcPr>
          <w:p>
            <w:pPr>
              <w:spacing w:after="0" w:line="252" w:lineRule="auto"/>
            </w:pPr>
            <w:r>
              <w:rPr>
                <w:sz w:val="17"/>
              </w:rPr>
              <w:t>After exclusions</w:t>
            </w:r>
          </w:p>
        </w:tc>
        <w:tc>
          <w:tcPr>
            <w:tcW w:type="dxa" w:w="6410"/>
          </w:tcPr>
          <w:p>
            <w:pPr>
              <w:spacing w:after="0" w:line="252" w:lineRule="auto"/>
            </w:pPr>
            <w:r>
              <w:rPr>
                <w:b/>
                <w:sz w:val="17"/>
                <w:rtl/>
                <w:rFonts w:cs="Arial"/>
                <w:szCs w:val="17"/>
                <w:bCs/>
              </w:rPr>
              <w:t>‫صافي المفوتر‬</w:t>
            </w:r>
          </w:p>
        </w:tc>
        <w:tc>
          <w:tcPr>
            <w:tcW w:type="dxa" w:w="3008"/>
          </w:tcPr>
          <w:p>
            <w:pPr>
              <w:spacing w:after="0" w:line="252" w:lineRule="auto"/>
            </w:pPr>
            <w:r>
              <w:rPr>
                <w:sz w:val="17"/>
              </w:rPr>
              <w:t>–</w:t>
            </w:r>
          </w:p>
        </w:tc>
      </w:tr>
      <w:tr>
        <w:trPr>
          <w:cantSplit/>
        </w:trPr>
        <w:tc>
          <w:tcPr>
            <w:tcW w:type="dxa" w:w="5606"/>
            <w:shd w:val="clear" w:color="auto" w:fill="F9FAFB"/>
          </w:tcPr>
          <w:p>
            <w:pPr>
              <w:spacing w:after="0" w:line="252" w:lineRule="auto"/>
            </w:pPr>
            <w:r>
              <w:rPr>
                <w:sz w:val="17"/>
              </w:rPr>
              <w:t>Paid on the period's invoices up to the stated date</w:t>
            </w:r>
          </w:p>
        </w:tc>
        <w:tc>
          <w:tcPr>
            <w:tcW w:type="dxa" w:w="6410"/>
            <w:shd w:val="clear" w:color="auto" w:fill="F9FAFB"/>
          </w:tcPr>
          <w:p>
            <w:pPr>
              <w:spacing w:after="0" w:line="252" w:lineRule="auto"/>
            </w:pPr>
            <w:r>
              <w:rPr>
                <w:b/>
                <w:sz w:val="17"/>
                <w:rtl/>
                <w:rFonts w:cs="Arial"/>
                <w:szCs w:val="17"/>
                <w:bCs/>
              </w:rPr>
              <w:t>‫المحصّل‬</w:t>
            </w:r>
            <w:r>
              <w:rPr>
                <w:sz w:val="17"/>
              </w:rPr>
              <w:t xml:space="preserve"> (</w:t>
            </w:r>
            <w:r>
              <w:rPr>
                <w:sz w:val="17"/>
                <w:rtl/>
                <w:rFonts w:cs="Arial"/>
                <w:szCs w:val="17"/>
              </w:rPr>
              <w:t>‫«حتى {تاريخ}»‬</w:t>
            </w:r>
            <w:r>
              <w:rPr>
                <w:sz w:val="17"/>
              </w:rPr>
              <w:t>)</w:t>
            </w:r>
          </w:p>
        </w:tc>
        <w:tc>
          <w:tcPr>
            <w:tcW w:type="dxa" w:w="3008"/>
            <w:shd w:val="clear" w:color="auto" w:fill="F9FAFB"/>
          </w:tcPr>
          <w:p>
            <w:pPr>
              <w:spacing w:after="0" w:line="252" w:lineRule="auto"/>
            </w:pPr>
            <w:r>
              <w:rPr>
                <w:sz w:val="17"/>
                <w:rtl/>
                <w:rFonts w:cs="Arial"/>
                <w:szCs w:val="17"/>
              </w:rPr>
              <w:t>‫المقبوض‬</w:t>
            </w:r>
            <w:r>
              <w:rPr>
                <w:sz w:val="17"/>
              </w:rPr>
              <w:t xml:space="preserve"> (different measure)</w:t>
            </w:r>
          </w:p>
        </w:tc>
      </w:tr>
      <w:tr>
        <w:trPr>
          <w:cantSplit/>
        </w:trPr>
        <w:tc>
          <w:tcPr>
            <w:tcW w:type="dxa" w:w="5606"/>
          </w:tcPr>
          <w:p>
            <w:pPr>
              <w:spacing w:after="0" w:line="252" w:lineRule="auto"/>
            </w:pPr>
            <w:r>
              <w:rPr>
                <w:sz w:val="17"/>
              </w:rPr>
              <w:t>Cash received in the period by payment date</w:t>
            </w:r>
          </w:p>
        </w:tc>
        <w:tc>
          <w:tcPr>
            <w:tcW w:type="dxa" w:w="6410"/>
          </w:tcPr>
          <w:p>
            <w:pPr>
              <w:spacing w:after="0" w:line="252" w:lineRule="auto"/>
            </w:pPr>
            <w:r>
              <w:rPr>
                <w:b/>
                <w:sz w:val="17"/>
                <w:rtl/>
                <w:rFonts w:cs="Arial"/>
                <w:szCs w:val="17"/>
                <w:bCs/>
              </w:rPr>
              <w:t>‫المقبوضات‬</w:t>
            </w:r>
          </w:p>
        </w:tc>
        <w:tc>
          <w:tcPr>
            <w:tcW w:type="dxa" w:w="3008"/>
          </w:tcPr>
          <w:p>
            <w:pPr>
              <w:spacing w:after="0" w:line="252" w:lineRule="auto"/>
            </w:pPr>
            <w:r>
              <w:rPr>
                <w:sz w:val="17"/>
                <w:rtl/>
                <w:rFonts w:cs="Arial"/>
                <w:szCs w:val="17"/>
              </w:rPr>
              <w:t>‫المحصّل‬</w:t>
            </w:r>
          </w:p>
        </w:tc>
      </w:tr>
      <w:tr>
        <w:trPr>
          <w:cantSplit/>
        </w:trPr>
        <w:tc>
          <w:tcPr>
            <w:tcW w:type="dxa" w:w="5606"/>
            <w:shd w:val="clear" w:color="auto" w:fill="F9FAFB"/>
          </w:tcPr>
          <w:p>
            <w:pPr>
              <w:spacing w:after="0" w:line="252" w:lineRule="auto"/>
            </w:pPr>
            <w:r>
              <w:rPr>
                <w:sz w:val="17"/>
              </w:rPr>
              <w:t>Net billed − collected, for the period's invoices</w:t>
            </w:r>
          </w:p>
        </w:tc>
        <w:tc>
          <w:tcPr>
            <w:tcW w:type="dxa" w:w="6410"/>
            <w:shd w:val="clear" w:color="auto" w:fill="F9FAFB"/>
          </w:tcPr>
          <w:p>
            <w:pPr>
              <w:spacing w:after="0" w:line="252" w:lineRule="auto"/>
            </w:pPr>
            <w:r>
              <w:rPr>
                <w:b/>
                <w:sz w:val="17"/>
                <w:rtl/>
                <w:rFonts w:cs="Arial"/>
                <w:szCs w:val="17"/>
                <w:bCs/>
              </w:rPr>
              <w:t>‫غير محصّل من فواتير الفترة‬</w:t>
            </w:r>
          </w:p>
        </w:tc>
        <w:tc>
          <w:tcPr>
            <w:tcW w:type="dxa" w:w="3008"/>
            <w:shd w:val="clear" w:color="auto" w:fill="F9FAFB"/>
          </w:tcPr>
          <w:p>
            <w:pPr>
              <w:spacing w:after="0" w:line="252" w:lineRule="auto"/>
            </w:pPr>
            <w:r>
              <w:rPr>
                <w:sz w:val="17"/>
                <w:rtl/>
                <w:rFonts w:cs="Arial"/>
                <w:szCs w:val="17"/>
              </w:rPr>
              <w:t>‫المتبقي‬</w:t>
            </w:r>
          </w:p>
        </w:tc>
      </w:tr>
      <w:tr>
        <w:trPr>
          <w:cantSplit/>
        </w:trPr>
        <w:tc>
          <w:tcPr>
            <w:tcW w:type="dxa" w:w="5606"/>
          </w:tcPr>
          <w:p>
            <w:pPr>
              <w:spacing w:after="0" w:line="252" w:lineRule="auto"/>
            </w:pPr>
            <w:r>
              <w:rPr>
                <w:sz w:val="17"/>
              </w:rPr>
              <w:t>All unpaid invoices as of a date, any issue date</w:t>
            </w:r>
          </w:p>
        </w:tc>
        <w:tc>
          <w:tcPr>
            <w:tcW w:type="dxa" w:w="6410"/>
          </w:tcPr>
          <w:p>
            <w:pPr>
              <w:spacing w:after="0" w:line="252" w:lineRule="auto"/>
            </w:pPr>
            <w:r>
              <w:rPr>
                <w:b/>
                <w:sz w:val="17"/>
                <w:rtl/>
                <w:rFonts w:cs="Arial"/>
                <w:szCs w:val="17"/>
                <w:bCs/>
              </w:rPr>
              <w:t>‫الرصيد القائم‬</w:t>
            </w:r>
          </w:p>
        </w:tc>
        <w:tc>
          <w:tcPr>
            <w:tcW w:type="dxa" w:w="3008"/>
          </w:tcPr>
          <w:p>
            <w:pPr>
              <w:spacing w:after="0" w:line="252" w:lineRule="auto"/>
            </w:pPr>
            <w:r>
              <w:rPr>
                <w:sz w:val="17"/>
                <w:rtl/>
                <w:rFonts w:cs="Arial"/>
                <w:szCs w:val="17"/>
              </w:rPr>
              <w:t>‫الإجمالي القائم / صافي غير المحصل‬</w:t>
            </w:r>
          </w:p>
        </w:tc>
      </w:tr>
      <w:tr>
        <w:trPr>
          <w:cantSplit/>
        </w:trPr>
        <w:tc>
          <w:tcPr>
            <w:tcW w:type="dxa" w:w="5606"/>
            <w:shd w:val="clear" w:color="auto" w:fill="F9FAFB"/>
          </w:tcPr>
          <w:p>
            <w:pPr>
              <w:spacing w:after="0" w:line="252" w:lineRule="auto"/>
            </w:pPr>
            <w:r>
              <w:rPr>
                <w:sz w:val="17"/>
              </w:rPr>
              <w:t>Collected ÷ net billed</w:t>
            </w:r>
          </w:p>
        </w:tc>
        <w:tc>
          <w:tcPr>
            <w:tcW w:type="dxa" w:w="6410"/>
            <w:shd w:val="clear" w:color="auto" w:fill="F9FAFB"/>
          </w:tcPr>
          <w:p>
            <w:pPr>
              <w:spacing w:after="0" w:line="252" w:lineRule="auto"/>
            </w:pPr>
            <w:r>
              <w:rPr>
                <w:b/>
                <w:sz w:val="17"/>
                <w:rtl/>
                <w:rFonts w:cs="Arial"/>
                <w:szCs w:val="17"/>
                <w:bCs/>
              </w:rPr>
              <w:t>‫نسبة التحصيل‬</w:t>
            </w:r>
          </w:p>
        </w:tc>
        <w:tc>
          <w:tcPr>
            <w:tcW w:type="dxa" w:w="3008"/>
            <w:shd w:val="clear" w:color="auto" w:fill="F9FAFB"/>
          </w:tcPr>
          <w:p>
            <w:pPr>
              <w:spacing w:after="0" w:line="252" w:lineRule="auto"/>
            </w:pPr>
            <w:r>
              <w:rPr>
                <w:sz w:val="17"/>
              </w:rPr>
              <w:t>–</w:t>
            </w:r>
          </w:p>
        </w:tc>
      </w:tr>
      <w:tr>
        <w:trPr>
          <w:cantSplit/>
        </w:trPr>
        <w:tc>
          <w:tcPr>
            <w:tcW w:type="dxa" w:w="5606"/>
          </w:tcPr>
          <w:p>
            <w:pPr>
              <w:spacing w:after="0" w:line="252" w:lineRule="auto"/>
            </w:pPr>
            <w:r>
              <w:rPr>
                <w:sz w:val="17"/>
              </w:rPr>
              <w:t>System names</w:t>
            </w:r>
          </w:p>
        </w:tc>
        <w:tc>
          <w:tcPr>
            <w:tcW w:type="dxa" w:w="6410"/>
          </w:tcPr>
          <w:p>
            <w:pPr>
              <w:spacing w:after="0" w:line="252" w:lineRule="auto"/>
            </w:pPr>
            <w:r>
              <w:rPr>
                <w:b/>
                <w:sz w:val="17"/>
                <w:rtl/>
                <w:rFonts w:cs="Arial"/>
                <w:szCs w:val="17"/>
                <w:bCs/>
              </w:rPr>
              <w:t>‫نظام تحصيل / نظام مكين / نظام إيفاء / منصة فرص‬</w:t>
            </w:r>
            <w:r>
              <w:rPr>
                <w:sz w:val="17"/>
              </w:rPr>
              <w:t xml:space="preserve"> (full form on first use)</w:t>
            </w:r>
          </w:p>
        </w:tc>
        <w:tc>
          <w:tcPr>
            <w:tcW w:type="dxa" w:w="3008"/>
          </w:tcPr>
          <w:p>
            <w:pPr>
              <w:spacing w:after="0" w:line="252" w:lineRule="auto"/>
            </w:pPr>
            <w:r>
              <w:rPr>
                <w:sz w:val="17"/>
                <w:rtl/>
                <w:rFonts w:cs="Arial"/>
                <w:szCs w:val="17"/>
              </w:rPr>
              <w:t>‫«تحصيل»‬</w:t>
            </w:r>
            <w:r>
              <w:rPr>
                <w:sz w:val="17"/>
              </w:rPr>
              <w:t xml:space="preserve"> alone</w:t>
            </w:r>
          </w:p>
        </w:tc>
      </w:tr>
      <w:tr>
        <w:trPr>
          <w:cantSplit/>
        </w:trPr>
        <w:tc>
          <w:tcPr>
            <w:tcW w:type="dxa" w:w="5606"/>
            <w:shd w:val="clear" w:color="auto" w:fill="F9FAFB"/>
          </w:tcPr>
          <w:p>
            <w:pPr>
              <w:spacing w:after="0" w:line="252" w:lineRule="auto"/>
            </w:pPr>
            <w:r>
              <w:rPr>
                <w:sz w:val="17"/>
              </w:rPr>
              <w:t>Unit</w:t>
            </w:r>
          </w:p>
        </w:tc>
        <w:tc>
          <w:tcPr>
            <w:tcW w:type="dxa" w:w="6410"/>
            <w:shd w:val="clear" w:color="auto" w:fill="F9FAFB"/>
          </w:tcPr>
          <w:p>
            <w:pPr>
              <w:spacing w:after="0" w:line="252" w:lineRule="auto"/>
            </w:pPr>
            <w:r>
              <w:rPr>
                <w:b/>
                <w:sz w:val="17"/>
                <w:rtl/>
                <w:rFonts w:cs="Arial"/>
                <w:szCs w:val="17"/>
                <w:bCs/>
              </w:rPr>
              <w:t>‫ريال‬</w:t>
            </w:r>
            <w:r>
              <w:rPr>
                <w:sz w:val="17"/>
              </w:rPr>
              <w:t xml:space="preserve"> / </w:t>
            </w:r>
            <w:r>
              <w:rPr>
                <w:sz w:val="17"/>
                <w:rtl/>
                <w:rFonts w:cs="Arial"/>
                <w:szCs w:val="17"/>
              </w:rPr>
              <w:t>‫مليون ريال / مليار ريال‬</w:t>
            </w:r>
          </w:p>
        </w:tc>
        <w:tc>
          <w:tcPr>
            <w:tcW w:type="dxa" w:w="3008"/>
            <w:shd w:val="clear" w:color="auto" w:fill="F9FAFB"/>
          </w:tcPr>
          <w:p>
            <w:pPr>
              <w:spacing w:after="0" w:line="252" w:lineRule="auto"/>
            </w:pPr>
            <w:r>
              <w:rPr>
                <w:sz w:val="17"/>
              </w:rPr>
              <w:t>SAR in Arabic text</w:t>
            </w:r>
          </w:p>
        </w:tc>
      </w:tr>
    </w:tbl>
    <w:p>
      <w:pPr>
        <w:spacing w:after="40"/>
      </w:pPr>
    </w:p>
    <w:p>
      <w:pPr>
        <w:pStyle w:val="Heading2"/>
      </w:pPr>
      <w:r>
        <w:t>11. Information hierarchy</w:t>
      </w:r>
    </w:p>
    <w:p>
      <w:pPr>
        <w:pStyle w:val="Heading3"/>
      </w:pPr>
      <w:r>
        <w:t>11.1 Can a decision-maker answer the five questions?</w:t>
      </w:r>
    </w:p>
    <w:p>
      <w:r>
        <w:t>(● yes · ◐ partly · ○ no — Verified UI)</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91"/>
        <w:gridCol w:w="1694"/>
        <w:gridCol w:w="4432"/>
        <w:gridCol w:w="1843"/>
        <w:gridCol w:w="3277"/>
        <w:gridCol w:w="2486"/>
      </w:tblGrid>
      <w:tr>
        <w:trPr>
          <w:tblHeader w:val="true"/>
          <w:cantSplit/>
        </w:trPr>
        <w:tc>
          <w:tcPr>
            <w:tcW w:type="dxa" w:w="1291"/>
            <w:shd w:val="clear" w:color="auto" w:fill="1B8354"/>
          </w:tcPr>
          <w:p>
            <w:pPr>
              <w:spacing w:after="0" w:line="252" w:lineRule="auto"/>
            </w:pPr>
            <w:r>
              <w:rPr>
                <w:b/>
                <w:color w:val="FFFFFF"/>
                <w:sz w:val="16"/>
              </w:rPr>
              <w:t>Page</w:t>
            </w:r>
          </w:p>
        </w:tc>
        <w:tc>
          <w:tcPr>
            <w:tcW w:type="dxa" w:w="1694"/>
            <w:shd w:val="clear" w:color="auto" w:fill="1B8354"/>
          </w:tcPr>
          <w:p>
            <w:pPr>
              <w:spacing w:after="0" w:line="252" w:lineRule="auto"/>
            </w:pPr>
            <w:r>
              <w:rPr>
                <w:b/>
                <w:color w:val="FFFFFF"/>
                <w:sz w:val="16"/>
              </w:rPr>
              <w:t>What is this page for?</w:t>
            </w:r>
          </w:p>
        </w:tc>
        <w:tc>
          <w:tcPr>
            <w:tcW w:type="dxa" w:w="4432"/>
            <w:shd w:val="clear" w:color="auto" w:fill="1B8354"/>
          </w:tcPr>
          <w:p>
            <w:pPr>
              <w:spacing w:after="0" w:line="252" w:lineRule="auto"/>
            </w:pPr>
            <w:r>
              <w:rPr>
                <w:b/>
                <w:color w:val="FFFFFF"/>
                <w:sz w:val="16"/>
              </w:rPr>
              <w:t>Which period and scope?</w:t>
            </w:r>
          </w:p>
        </w:tc>
        <w:tc>
          <w:tcPr>
            <w:tcW w:type="dxa" w:w="1843"/>
            <w:shd w:val="clear" w:color="auto" w:fill="1B8354"/>
          </w:tcPr>
          <w:p>
            <w:pPr>
              <w:spacing w:after="0" w:line="252" w:lineRule="auto"/>
            </w:pPr>
            <w:r>
              <w:rPr>
                <w:b/>
                <w:color w:val="FFFFFF"/>
                <w:sz w:val="16"/>
              </w:rPr>
              <w:t>What do the main figures mean?</w:t>
            </w:r>
          </w:p>
        </w:tc>
        <w:tc>
          <w:tcPr>
            <w:tcW w:type="dxa" w:w="3277"/>
            <w:shd w:val="clear" w:color="auto" w:fill="1B8354"/>
          </w:tcPr>
          <w:p>
            <w:pPr>
              <w:spacing w:after="0" w:line="252" w:lineRule="auto"/>
            </w:pPr>
            <w:r>
              <w:rPr>
                <w:b/>
                <w:color w:val="FFFFFF"/>
                <w:sz w:val="16"/>
              </w:rPr>
              <w:t>What needs attention?</w:t>
            </w:r>
          </w:p>
        </w:tc>
        <w:tc>
          <w:tcPr>
            <w:tcW w:type="dxa" w:w="2486"/>
            <w:shd w:val="clear" w:color="auto" w:fill="1B8354"/>
          </w:tcPr>
          <w:p>
            <w:pPr>
              <w:spacing w:after="0" w:line="252" w:lineRule="auto"/>
            </w:pPr>
            <w:r>
              <w:rPr>
                <w:b/>
                <w:color w:val="FFFFFF"/>
                <w:sz w:val="16"/>
              </w:rPr>
              <w:t>What can I do next?</w:t>
            </w:r>
          </w:p>
        </w:tc>
      </w:tr>
      <w:tr>
        <w:trPr>
          <w:cantSplit/>
        </w:trPr>
        <w:tc>
          <w:tcPr>
            <w:tcW w:type="dxa" w:w="1291"/>
          </w:tcPr>
          <w:p>
            <w:pPr>
              <w:spacing w:after="0" w:line="252" w:lineRule="auto"/>
            </w:pPr>
            <w:r>
              <w:rPr>
                <w:sz w:val="16"/>
              </w:rPr>
              <w:t>Dashboard</w:t>
            </w:r>
          </w:p>
        </w:tc>
        <w:tc>
          <w:tcPr>
            <w:tcW w:type="dxa" w:w="1694"/>
          </w:tcPr>
          <w:p>
            <w:pPr>
              <w:spacing w:after="0" w:line="252" w:lineRule="auto"/>
            </w:pPr>
            <w:r>
              <w:rPr>
                <w:sz w:val="16"/>
              </w:rPr>
              <w:t>◐ rhetorical subtitle</w:t>
            </w:r>
          </w:p>
        </w:tc>
        <w:tc>
          <w:tcPr>
            <w:tcW w:type="dxa" w:w="4432"/>
          </w:tcPr>
          <w:p>
            <w:pPr>
              <w:spacing w:after="0" w:line="252" w:lineRule="auto"/>
            </w:pPr>
            <w:r>
              <w:rPr>
                <w:sz w:val="16"/>
              </w:rPr>
              <w:t>◐ chips exist but in ISO and 8 other chips compete</w:t>
            </w:r>
          </w:p>
        </w:tc>
        <w:tc>
          <w:tcPr>
            <w:tcW w:type="dxa" w:w="1843"/>
          </w:tcPr>
          <w:p>
            <w:pPr>
              <w:spacing w:after="0" w:line="252" w:lineRule="auto"/>
            </w:pPr>
            <w:r>
              <w:rPr>
                <w:sz w:val="16"/>
              </w:rPr>
              <w:t>● six KPIs + "?"</w:t>
            </w:r>
          </w:p>
        </w:tc>
        <w:tc>
          <w:tcPr>
            <w:tcW w:type="dxa" w:w="3277"/>
          </w:tcPr>
          <w:p>
            <w:pPr>
              <w:spacing w:after="0" w:line="252" w:lineRule="auto"/>
            </w:pPr>
            <w:r>
              <w:rPr>
                <w:b/>
                <w:sz w:val="16"/>
              </w:rPr>
              <w:t>○ no attention block</w:t>
            </w:r>
          </w:p>
        </w:tc>
        <w:tc>
          <w:tcPr>
            <w:tcW w:type="dxa" w:w="2486"/>
          </w:tcPr>
          <w:p>
            <w:pPr>
              <w:spacing w:after="0" w:line="252" w:lineRule="auto"/>
            </w:pPr>
            <w:r>
              <w:rPr>
                <w:sz w:val="16"/>
              </w:rPr>
              <w:t>◐ 7 scattered links; no primary action</w:t>
            </w:r>
          </w:p>
        </w:tc>
      </w:tr>
      <w:tr>
        <w:trPr>
          <w:cantSplit/>
        </w:trPr>
        <w:tc>
          <w:tcPr>
            <w:tcW w:type="dxa" w:w="1291"/>
            <w:shd w:val="clear" w:color="auto" w:fill="F9FAFB"/>
          </w:tcPr>
          <w:p>
            <w:pPr>
              <w:spacing w:after="0" w:line="252" w:lineRule="auto"/>
            </w:pPr>
            <w:r>
              <w:rPr>
                <w:sz w:val="16"/>
              </w:rPr>
              <w:t>Fixed report</w:t>
            </w:r>
          </w:p>
        </w:tc>
        <w:tc>
          <w:tcPr>
            <w:tcW w:type="dxa" w:w="1694"/>
            <w:shd w:val="clear" w:color="auto" w:fill="F9FAFB"/>
          </w:tcPr>
          <w:p>
            <w:pPr>
              <w:spacing w:after="0" w:line="252" w:lineRule="auto"/>
            </w:pPr>
            <w:r>
              <w:rPr>
                <w:sz w:val="16"/>
              </w:rPr>
              <w:t>● purpose line</w:t>
            </w:r>
          </w:p>
        </w:tc>
        <w:tc>
          <w:tcPr>
            <w:tcW w:type="dxa" w:w="4432"/>
            <w:shd w:val="clear" w:color="auto" w:fill="F9FAFB"/>
          </w:tcPr>
          <w:p>
            <w:pPr>
              <w:spacing w:after="0" w:line="252" w:lineRule="auto"/>
            </w:pPr>
            <w:r>
              <w:rPr>
                <w:sz w:val="16"/>
              </w:rPr>
              <w:t>◐ 9-row table, KPI at 1,000 px</w:t>
            </w:r>
          </w:p>
        </w:tc>
        <w:tc>
          <w:tcPr>
            <w:tcW w:type="dxa" w:w="1843"/>
            <w:shd w:val="clear" w:color="auto" w:fill="F9FAFB"/>
          </w:tcPr>
          <w:p>
            <w:pPr>
              <w:spacing w:after="0" w:line="252" w:lineRule="auto"/>
            </w:pPr>
            <w:r>
              <w:rPr>
                <w:sz w:val="16"/>
              </w:rPr>
              <w:t>●</w:t>
            </w:r>
          </w:p>
        </w:tc>
        <w:tc>
          <w:tcPr>
            <w:tcW w:type="dxa" w:w="3277"/>
            <w:shd w:val="clear" w:color="auto" w:fill="F9FAFB"/>
          </w:tcPr>
          <w:p>
            <w:pPr>
              <w:spacing w:after="0" w:line="252" w:lineRule="auto"/>
            </w:pPr>
            <w:r>
              <w:rPr>
                <w:sz w:val="16"/>
              </w:rPr>
              <w:t>◐ insights mid-page (and wrong recommendations, F-03)</w:t>
            </w:r>
          </w:p>
        </w:tc>
        <w:tc>
          <w:tcPr>
            <w:tcW w:type="dxa" w:w="2486"/>
            <w:shd w:val="clear" w:color="auto" w:fill="F9FAFB"/>
          </w:tcPr>
          <w:p>
            <w:pPr>
              <w:spacing w:after="0" w:line="252" w:lineRule="auto"/>
            </w:pPr>
            <w:r>
              <w:rPr>
                <w:sz w:val="16"/>
              </w:rPr>
              <w:t>◐ export only</w:t>
            </w:r>
          </w:p>
        </w:tc>
      </w:tr>
      <w:tr>
        <w:trPr>
          <w:cantSplit/>
        </w:trPr>
        <w:tc>
          <w:tcPr>
            <w:tcW w:type="dxa" w:w="1291"/>
          </w:tcPr>
          <w:p>
            <w:pPr>
              <w:spacing w:after="0" w:line="252" w:lineRule="auto"/>
            </w:pPr>
            <w:r>
              <w:rPr>
                <w:sz w:val="16"/>
              </w:rPr>
              <w:t>Smart</w:t>
            </w:r>
          </w:p>
        </w:tc>
        <w:tc>
          <w:tcPr>
            <w:tcW w:type="dxa" w:w="1694"/>
          </w:tcPr>
          <w:p>
            <w:pPr>
              <w:spacing w:after="0" w:line="252" w:lineRule="auto"/>
            </w:pPr>
            <w:r>
              <w:rPr>
                <w:sz w:val="16"/>
              </w:rPr>
              <w:t>● welcome + examples</w:t>
            </w:r>
          </w:p>
        </w:tc>
        <w:tc>
          <w:tcPr>
            <w:tcW w:type="dxa" w:w="4432"/>
          </w:tcPr>
          <w:p>
            <w:pPr>
              <w:spacing w:after="0" w:line="252" w:lineRule="auto"/>
            </w:pPr>
            <w:r>
              <w:rPr>
                <w:sz w:val="16"/>
              </w:rPr>
              <w:t>● chips</w:t>
            </w:r>
          </w:p>
        </w:tc>
        <w:tc>
          <w:tcPr>
            <w:tcW w:type="dxa" w:w="1843"/>
          </w:tcPr>
          <w:p>
            <w:pPr>
              <w:spacing w:after="0" w:line="252" w:lineRule="auto"/>
            </w:pPr>
            <w:r>
              <w:rPr>
                <w:sz w:val="16"/>
              </w:rPr>
              <w:t>◐ depends on report</w:t>
            </w:r>
          </w:p>
        </w:tc>
        <w:tc>
          <w:tcPr>
            <w:tcW w:type="dxa" w:w="3277"/>
          </w:tcPr>
          <w:p>
            <w:pPr>
              <w:spacing w:after="0" w:line="252" w:lineRule="auto"/>
            </w:pPr>
            <w:r>
              <w:rPr>
                <w:sz w:val="16"/>
              </w:rPr>
              <w:t>○</w:t>
            </w:r>
          </w:p>
        </w:tc>
        <w:tc>
          <w:tcPr>
            <w:tcW w:type="dxa" w:w="2486"/>
          </w:tcPr>
          <w:p>
            <w:pPr>
              <w:spacing w:after="0" w:line="252" w:lineRule="auto"/>
            </w:pPr>
            <w:r>
              <w:rPr>
                <w:sz w:val="16"/>
              </w:rPr>
              <w:t>● follow-ups</w:t>
            </w:r>
          </w:p>
        </w:tc>
      </w:tr>
      <w:tr>
        <w:trPr>
          <w:cantSplit/>
        </w:trPr>
        <w:tc>
          <w:tcPr>
            <w:tcW w:type="dxa" w:w="1291"/>
            <w:shd w:val="clear" w:color="auto" w:fill="F9FAFB"/>
          </w:tcPr>
          <w:p>
            <w:pPr>
              <w:spacing w:after="0" w:line="252" w:lineRule="auto"/>
            </w:pPr>
            <w:r>
              <w:rPr>
                <w:sz w:val="16"/>
              </w:rPr>
              <w:t>Planning</w:t>
            </w:r>
          </w:p>
        </w:tc>
        <w:tc>
          <w:tcPr>
            <w:tcW w:type="dxa" w:w="1694"/>
            <w:shd w:val="clear" w:color="auto" w:fill="F9FAFB"/>
          </w:tcPr>
          <w:p>
            <w:pPr>
              <w:spacing w:after="0" w:line="252" w:lineRule="auto"/>
            </w:pPr>
            <w:r>
              <w:rPr>
                <w:sz w:val="16"/>
              </w:rPr>
              <w:t>○ five questions</w:t>
            </w:r>
          </w:p>
        </w:tc>
        <w:tc>
          <w:tcPr>
            <w:tcW w:type="dxa" w:w="4432"/>
            <w:shd w:val="clear" w:color="auto" w:fill="F9FAFB"/>
          </w:tcPr>
          <w:p>
            <w:pPr>
              <w:spacing w:after="0" w:line="252" w:lineRule="auto"/>
            </w:pPr>
            <w:r>
              <w:rPr>
                <w:sz w:val="16"/>
              </w:rPr>
              <w:t>◐ plan bar shows plan scope, but the numbers follow the filter (F-04)</w:t>
            </w:r>
          </w:p>
        </w:tc>
        <w:tc>
          <w:tcPr>
            <w:tcW w:type="dxa" w:w="1843"/>
            <w:shd w:val="clear" w:color="auto" w:fill="F9FAFB"/>
          </w:tcPr>
          <w:p>
            <w:pPr>
              <w:spacing w:after="0" w:line="252" w:lineRule="auto"/>
            </w:pPr>
            <w:r>
              <w:rPr>
                <w:sz w:val="16"/>
              </w:rPr>
              <w:t>◐ many tags</w:t>
            </w:r>
          </w:p>
        </w:tc>
        <w:tc>
          <w:tcPr>
            <w:tcW w:type="dxa" w:w="3277"/>
            <w:shd w:val="clear" w:color="auto" w:fill="F9FAFB"/>
          </w:tcPr>
          <w:p>
            <w:pPr>
              <w:spacing w:after="0" w:line="252" w:lineRule="auto"/>
            </w:pPr>
            <w:r>
              <w:rPr>
                <w:sz w:val="16"/>
              </w:rPr>
              <w:t>○ no status summary of plan/objectives/risks</w:t>
            </w:r>
          </w:p>
        </w:tc>
        <w:tc>
          <w:tcPr>
            <w:tcW w:type="dxa" w:w="2486"/>
            <w:shd w:val="clear" w:color="auto" w:fill="F9FAFB"/>
          </w:tcPr>
          <w:p>
            <w:pPr>
              <w:spacing w:after="0" w:line="252" w:lineRule="auto"/>
            </w:pPr>
            <w:r>
              <w:rPr>
                <w:sz w:val="16"/>
              </w:rPr>
              <w:t>◐ buttons spread over 6 sections</w:t>
            </w:r>
          </w:p>
        </w:tc>
      </w:tr>
      <w:tr>
        <w:trPr>
          <w:cantSplit/>
        </w:trPr>
        <w:tc>
          <w:tcPr>
            <w:tcW w:type="dxa" w:w="1291"/>
          </w:tcPr>
          <w:p>
            <w:pPr>
              <w:spacing w:after="0" w:line="252" w:lineRule="auto"/>
            </w:pPr>
            <w:r>
              <w:rPr>
                <w:sz w:val="16"/>
              </w:rPr>
              <w:t>Operational pages</w:t>
            </w:r>
          </w:p>
        </w:tc>
        <w:tc>
          <w:tcPr>
            <w:tcW w:type="dxa" w:w="1694"/>
          </w:tcPr>
          <w:p>
            <w:pPr>
              <w:spacing w:after="0" w:line="252" w:lineRule="auto"/>
            </w:pPr>
            <w:r>
              <w:rPr>
                <w:sz w:val="16"/>
              </w:rPr>
              <w:t>◐</w:t>
            </w:r>
          </w:p>
        </w:tc>
        <w:tc>
          <w:tcPr>
            <w:tcW w:type="dxa" w:w="4432"/>
          </w:tcPr>
          <w:p>
            <w:pPr>
              <w:spacing w:after="0" w:line="252" w:lineRule="auto"/>
            </w:pPr>
            <w:r>
              <w:rPr>
                <w:sz w:val="16"/>
              </w:rPr>
              <w:t>◐ own full filter bar</w:t>
            </w:r>
          </w:p>
        </w:tc>
        <w:tc>
          <w:tcPr>
            <w:tcW w:type="dxa" w:w="1843"/>
          </w:tcPr>
          <w:p>
            <w:pPr>
              <w:spacing w:after="0" w:line="252" w:lineRule="auto"/>
            </w:pPr>
            <w:r>
              <w:rPr>
                <w:sz w:val="16"/>
              </w:rPr>
              <w:t>●</w:t>
            </w:r>
          </w:p>
        </w:tc>
        <w:tc>
          <w:tcPr>
            <w:tcW w:type="dxa" w:w="3277"/>
          </w:tcPr>
          <w:p>
            <w:pPr>
              <w:spacing w:after="0" w:line="252" w:lineRule="auto"/>
            </w:pPr>
            <w:r>
              <w:rPr>
                <w:sz w:val="16"/>
              </w:rPr>
              <w:t>◐</w:t>
            </w:r>
          </w:p>
        </w:tc>
        <w:tc>
          <w:tcPr>
            <w:tcW w:type="dxa" w:w="2486"/>
          </w:tcPr>
          <w:p>
            <w:pPr>
              <w:spacing w:after="0" w:line="252" w:lineRule="auto"/>
            </w:pPr>
            <w:r>
              <w:rPr>
                <w:sz w:val="16"/>
              </w:rPr>
              <w:t>●</w:t>
            </w:r>
          </w:p>
        </w:tc>
      </w:tr>
    </w:tbl>
    <w:p>
      <w:pPr>
        <w:spacing w:after="40"/>
      </w:pPr>
    </w:p>
    <w:p>
      <w:pPr>
        <w:pStyle w:val="Heading3"/>
      </w:pPr>
      <w:r>
        <w:t>11.2 Recommended reading order and progressive disclosure</w:t>
      </w:r>
    </w:p>
    <w:p>
      <w:r>
        <w:t xml:space="preserve">Rules (from the references in §13): a dashboard is a glanceable overview — the most important content first (for RTL: top-right), details one level down, at most </w:t>
      </w:r>
      <w:r>
        <w:rPr>
          <w:b/>
        </w:rPr>
        <w:t>two</w:t>
      </w:r>
      <w:r>
        <w:t xml:space="preserve"> disclosure levels, labelled triggers; tooltips only for short supplementary text, never for essentials.</w:t>
      </w:r>
    </w:p>
    <w:p>
      <w:r>
        <w:rPr>
          <w:b/>
        </w:rPr>
        <w:t>Dashboard (target ≤ 450 words visible, first KPI above 450 px)</w:t>
      </w:r>
    </w:p>
    <w:p>
      <w:pPr>
        <w:spacing w:after="40"/>
        <w:ind w:left="510" w:hanging="283"/>
      </w:pPr>
      <w:r>
        <w:t xml:space="preserve">1.  </w:t>
      </w:r>
      <w:r>
        <w:rPr>
          <w:b/>
        </w:rPr>
        <w:t>Header line:</w:t>
      </w:r>
      <w:r>
        <w:t xml:space="preserve"> title · exact period and scope in words · freshness · one </w:t>
      </w:r>
      <w:r>
        <w:rPr>
          <w:rtl/>
          <w:rFonts w:cs="Arial"/>
        </w:rPr>
        <w:t>‫«بيانات تجريبية»‬</w:t>
      </w:r>
      <w:r>
        <w:t xml:space="preserve"> badge.</w:t>
      </w:r>
    </w:p>
    <w:p>
      <w:pPr>
        <w:spacing w:after="40"/>
        <w:ind w:left="510" w:hanging="283"/>
      </w:pPr>
      <w:r>
        <w:t xml:space="preserve">2.  </w:t>
      </w:r>
      <w:r>
        <w:rPr>
          <w:b/>
          <w:rtl/>
          <w:rFonts w:cs="Arial"/>
          <w:bCs/>
        </w:rPr>
        <w:t>‫«يتطلب انتباهاً»‬</w:t>
      </w:r>
      <w:r>
        <w:rPr>
          <w:b/>
        </w:rPr>
        <w:t xml:space="preserve"> (max 3 items):</w:t>
      </w:r>
      <w:r>
        <w:t xml:space="preserve"> e.g. </w:t>
      </w:r>
      <w:r>
        <w:rPr>
          <w:rtl/>
          <w:rFonts w:cs="Arial"/>
        </w:rPr>
        <w:t>‫«82٪ من الرصيد القائم متأخر أكثر من 90 يوماً»‬</w:t>
      </w:r>
      <w:r>
        <w:t xml:space="preserve"> · </w:t>
      </w:r>
      <w:r>
        <w:rPr>
          <w:rtl/>
          <w:rFonts w:cs="Arial"/>
        </w:rPr>
        <w:t>‫«التحصيل في رسوم الأراضي البيضاء 26٪»‬</w:t>
      </w:r>
      <w:r>
        <w:t xml:space="preserve"> · </w:t>
      </w:r>
      <w:r>
        <w:rPr>
          <w:rtl/>
          <w:rFonts w:cs="Arial"/>
        </w:rPr>
        <w:t>‫«استبعادات غير معتمدة بقيمة 811 مليون ريال»‬</w:t>
      </w:r>
      <w:r>
        <w:t xml:space="preserve"> — each with one link.</w:t>
      </w:r>
    </w:p>
    <w:p>
      <w:pPr>
        <w:spacing w:after="40"/>
        <w:ind w:left="510" w:hanging="283"/>
      </w:pPr>
      <w:r>
        <w:t xml:space="preserve">3.  </w:t>
      </w:r>
      <w:r>
        <w:rPr>
          <w:b/>
        </w:rPr>
        <w:t>The chain (4 tiles):</w:t>
      </w:r>
      <w:r>
        <w:t xml:space="preserve"> </w:t>
      </w:r>
      <w:r>
        <w:rPr>
          <w:rtl/>
          <w:rFonts w:cs="Arial"/>
        </w:rPr>
        <w:t>‫إجمالي المفوتر‬</w:t>
      </w:r>
      <w:r>
        <w:t xml:space="preserve"> → </w:t>
      </w:r>
      <w:r>
        <w:rPr>
          <w:rtl/>
          <w:rFonts w:cs="Arial"/>
        </w:rPr>
        <w:t>‫الاستبعادات‬</w:t>
      </w:r>
      <w:r>
        <w:t xml:space="preserve"> → </w:t>
      </w:r>
      <w:r>
        <w:rPr>
          <w:rtl/>
          <w:rFonts w:cs="Arial"/>
        </w:rPr>
        <w:t>‫صافي المفوتر‬</w:t>
      </w:r>
      <w:r>
        <w:t xml:space="preserve"> → </w:t>
      </w:r>
      <w:r>
        <w:rPr>
          <w:rtl/>
          <w:rFonts w:cs="Arial"/>
        </w:rPr>
        <w:t>‫المحصّل‬</w:t>
      </w:r>
      <w:r>
        <w:t xml:space="preserve">, then </w:t>
      </w:r>
      <w:r>
        <w:rPr>
          <w:b/>
          <w:rtl/>
          <w:rFonts w:cs="Arial"/>
          <w:bCs/>
        </w:rPr>
        <w:t>‫نسبة التحصيل‬</w:t>
      </w:r>
      <w:r>
        <w:t xml:space="preserve"> (with delta) and </w:t>
      </w:r>
      <w:r>
        <w:rPr>
          <w:b/>
          <w:rtl/>
          <w:rFonts w:cs="Arial"/>
          <w:bCs/>
        </w:rPr>
        <w:t>‫غير محصّل من فواتير الفترة‬</w:t>
      </w:r>
      <w:r>
        <w:t>.</w:t>
      </w:r>
    </w:p>
    <w:p>
      <w:pPr>
        <w:spacing w:after="40"/>
        <w:ind w:left="510" w:hanging="283"/>
      </w:pPr>
      <w:r>
        <w:t xml:space="preserve">4.  </w:t>
      </w:r>
      <w:r>
        <w:rPr>
          <w:b/>
        </w:rPr>
        <w:t>Trend</w:t>
      </w:r>
      <w:r>
        <w:t xml:space="preserve"> (one chart) with the comparison.</w:t>
      </w:r>
    </w:p>
    <w:p>
      <w:pPr>
        <w:spacing w:after="40"/>
        <w:ind w:left="510" w:hanging="283"/>
      </w:pPr>
      <w:r>
        <w:t xml:space="preserve">5.  </w:t>
      </w:r>
      <w:r>
        <w:rPr>
          <w:b/>
        </w:rPr>
        <w:t>Where:</w:t>
      </w:r>
      <w:r>
        <w:t xml:space="preserve"> Amanah table (top 5 + </w:t>
      </w:r>
      <w:r>
        <w:rPr>
          <w:rtl/>
          <w:rFonts w:cs="Arial"/>
        </w:rPr>
        <w:t>‫«عرض الكل»‬</w:t>
      </w:r>
      <w:r>
        <w:t>) and sources.</w:t>
      </w:r>
    </w:p>
    <w:p>
      <w:pPr>
        <w:spacing w:after="40"/>
        <w:ind w:left="510" w:hanging="283"/>
      </w:pPr>
      <w:r>
        <w:t xml:space="preserve">6.  </w:t>
      </w:r>
      <w:r>
        <w:rPr>
          <w:b/>
          <w:rtl/>
          <w:rFonts w:cs="Arial"/>
          <w:bCs/>
        </w:rPr>
        <w:t>‫الرصيد القائم‬</w:t>
      </w:r>
      <w:r>
        <w:t xml:space="preserve"> (aging).</w:t>
      </w:r>
    </w:p>
    <w:p>
      <w:pPr>
        <w:spacing w:after="40"/>
        <w:ind w:left="510" w:hanging="283"/>
      </w:pPr>
      <w:r>
        <w:t xml:space="preserve">7.  </w:t>
      </w:r>
      <w:r>
        <w:rPr>
          <w:b/>
        </w:rPr>
        <w:t>Budget and expenditure</w:t>
      </w:r>
      <w:r>
        <w:t xml:space="preserve"> (collapsed by default; synthetic).</w:t>
      </w:r>
    </w:p>
    <w:p>
      <w:pPr>
        <w:spacing w:after="40"/>
        <w:ind w:left="510" w:hanging="283"/>
      </w:pPr>
      <w:r>
        <w:t xml:space="preserve">8.  </w:t>
      </w:r>
      <w:r>
        <w:rPr>
          <w:b/>
          <w:rtl/>
          <w:rFonts w:cs="Arial"/>
          <w:bCs/>
        </w:rPr>
        <w:t>‫حالة البيانات‬</w:t>
      </w:r>
      <w:r>
        <w:rPr>
          <w:b/>
        </w:rPr>
        <w:t xml:space="preserve"> ▾</w:t>
      </w:r>
      <w:r>
        <w:t xml:space="preserve"> (rules, identities, coverage, config) — everything now in the chips/footers.</w:t>
      </w:r>
    </w:p>
    <w:p>
      <w:r>
        <w:rPr>
          <w:b/>
        </w:rPr>
        <w:t>Fixed report:</w:t>
      </w:r>
      <w:r>
        <w:t xml:space="preserve"> title + one-line scope → </w:t>
      </w:r>
      <w:r>
        <w:rPr>
          <w:b/>
        </w:rPr>
        <w:t>headline KPIs</w:t>
      </w:r>
      <w:r>
        <w:t xml:space="preserve"> → the report body → </w:t>
      </w:r>
      <w:r>
        <w:rPr>
          <w:rtl/>
          <w:rFonts w:cs="Arial"/>
        </w:rPr>
        <w:t>‫«تفاصيل التقرير ▾»‬</w:t>
      </w:r>
      <w:r>
        <w:t xml:space="preserve"> (context table, assumptions, unavailable data). One "report-specific" KPI strip instead of the same seven tiles in all nine reports (F-21).</w:t>
      </w:r>
    </w:p>
    <w:p>
      <w:r>
        <w:rPr>
          <w:b/>
        </w:rPr>
        <w:t>Smart:</w:t>
      </w:r>
      <w:r>
        <w:t xml:space="preserve"> keep the conversational layout; collapse the banner; show the interpreted request as the first line of every answer.</w:t>
      </w:r>
    </w:p>
    <w:p>
      <w:r>
        <w:rPr>
          <w:b/>
        </w:rPr>
        <w:t>Planning:</w:t>
      </w:r>
      <w:r>
        <w:t xml:space="preserve"> plan header (name · version · status · period · scope) → </w:t>
      </w:r>
      <w:r>
        <w:rPr>
          <w:b/>
        </w:rPr>
        <w:t>plan status summary</w:t>
      </w:r>
      <w:r>
        <w:t xml:space="preserve"> (objectives met/at risk/off track, funding balance, open actions) → six sections with one-sentence purpose each; plan-bar editing fields behind </w:t>
      </w:r>
      <w:r>
        <w:rPr>
          <w:rtl/>
          <w:rFonts w:cs="Arial"/>
        </w:rPr>
        <w:t>‫«تعديل بيانات الخطة ▾»‬</w:t>
      </w:r>
      <w:r>
        <w:t>; register shows 3 lines per item.</w:t>
      </w:r>
    </w:p>
    <w:p>
      <w:r>
        <w:rPr>
          <w:b/>
        </w:rPr>
        <w:t>Targets for the next review (proposals, not research findings):</w:t>
      </w:r>
      <w:r>
        <w:t xml:space="preserve"> Dashboard ≤ 450 visible words; monthly report first KPI &lt; 450 px, ≤ 1,800 words in the default view; Planning first section &lt; 600 px; ≤ 6 pills per page; every tooltip ≤ 25 words.</w:t>
      </w:r>
    </w:p>
    <w:p>
      <w:pPr>
        <w:pStyle w:val="Heading2"/>
      </w:pPr>
      <w:r>
        <w:t>12. Dates and reporting periods</w:t>
      </w:r>
    </w:p>
    <w:p>
      <w:pPr>
        <w:pStyle w:val="Heading3"/>
      </w:pPr>
      <w:r>
        <w:t>12.1 Findings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143"/>
        <w:gridCol w:w="1143"/>
        <w:gridCol w:w="3188"/>
        <w:gridCol w:w="3188"/>
        <w:gridCol w:w="3173"/>
        <w:gridCol w:w="3188"/>
      </w:tblGrid>
      <w:tr>
        <w:trPr>
          <w:tblHeader w:val="true"/>
          <w:cantSplit/>
        </w:trPr>
        <w:tc>
          <w:tcPr>
            <w:tcW w:type="dxa" w:w="1143"/>
            <w:shd w:val="clear" w:color="auto" w:fill="1B8354"/>
          </w:tcPr>
          <w:p>
            <w:pPr>
              <w:spacing w:after="0" w:line="252" w:lineRule="auto"/>
            </w:pPr>
            <w:r>
              <w:rPr>
                <w:b/>
                <w:color w:val="FFFFFF"/>
                <w:sz w:val="16"/>
              </w:rPr>
              <w:t>ID</w:t>
            </w:r>
          </w:p>
        </w:tc>
        <w:tc>
          <w:tcPr>
            <w:tcW w:type="dxa" w:w="1143"/>
            <w:shd w:val="clear" w:color="auto" w:fill="1B8354"/>
          </w:tcPr>
          <w:p>
            <w:pPr>
              <w:spacing w:after="0" w:line="252" w:lineRule="auto"/>
            </w:pPr>
            <w:r>
              <w:rPr>
                <w:b/>
                <w:color w:val="FFFFFF"/>
                <w:sz w:val="16"/>
              </w:rPr>
              <w:t>Sev.</w:t>
            </w:r>
          </w:p>
        </w:tc>
        <w:tc>
          <w:tcPr>
            <w:tcW w:type="dxa" w:w="3188"/>
            <w:shd w:val="clear" w:color="auto" w:fill="1B8354"/>
          </w:tcPr>
          <w:p>
            <w:pPr>
              <w:spacing w:after="0" w:line="252" w:lineRule="auto"/>
            </w:pPr>
            <w:r>
              <w:rPr>
                <w:b/>
                <w:color w:val="FFFFFF"/>
                <w:sz w:val="16"/>
              </w:rPr>
              <w:t>Finding</w:t>
            </w:r>
          </w:p>
        </w:tc>
        <w:tc>
          <w:tcPr>
            <w:tcW w:type="dxa" w:w="3188"/>
            <w:shd w:val="clear" w:color="auto" w:fill="1B8354"/>
          </w:tcPr>
          <w:p>
            <w:pPr>
              <w:spacing w:after="0" w:line="252" w:lineRule="auto"/>
            </w:pPr>
            <w:r>
              <w:rPr>
                <w:b/>
                <w:color w:val="FFFFFF"/>
                <w:sz w:val="16"/>
              </w:rPr>
              <w:t>Reproduce / evidence</w:t>
            </w:r>
          </w:p>
        </w:tc>
        <w:tc>
          <w:tcPr>
            <w:tcW w:type="dxa" w:w="3173"/>
            <w:shd w:val="clear" w:color="auto" w:fill="1B8354"/>
          </w:tcPr>
          <w:p>
            <w:pPr>
              <w:spacing w:after="0" w:line="252" w:lineRule="auto"/>
            </w:pPr>
            <w:r>
              <w:rPr>
                <w:b/>
                <w:color w:val="FFFFFF"/>
                <w:sz w:val="16"/>
              </w:rPr>
              <w:t>Root cause</w:t>
            </w:r>
          </w:p>
        </w:tc>
        <w:tc>
          <w:tcPr>
            <w:tcW w:type="dxa" w:w="3188"/>
            <w:shd w:val="clear" w:color="auto" w:fill="1B8354"/>
          </w:tcPr>
          <w:p>
            <w:pPr>
              <w:spacing w:after="0" w:line="252" w:lineRule="auto"/>
            </w:pPr>
            <w:r>
              <w:rPr>
                <w:b/>
                <w:color w:val="FFFFFF"/>
                <w:sz w:val="16"/>
              </w:rPr>
              <w:t>Correction</w:t>
            </w:r>
          </w:p>
        </w:tc>
      </w:tr>
      <w:tr>
        <w:trPr>
          <w:cantSplit/>
        </w:trPr>
        <w:tc>
          <w:tcPr>
            <w:tcW w:type="dxa" w:w="1143"/>
          </w:tcPr>
          <w:p>
            <w:pPr>
              <w:spacing w:after="0" w:line="252" w:lineRule="auto"/>
            </w:pPr>
            <w:r>
              <w:rPr>
                <w:b/>
                <w:sz w:val="16"/>
              </w:rPr>
              <w:t>D-01</w:t>
            </w:r>
          </w:p>
        </w:tc>
        <w:tc>
          <w:tcPr>
            <w:tcW w:type="dxa" w:w="1143"/>
          </w:tcPr>
          <w:p>
            <w:pPr>
              <w:spacing w:after="0" w:line="252" w:lineRule="auto"/>
            </w:pPr>
            <w:r>
              <w:rPr>
                <w:b/>
                <w:sz w:val="16"/>
              </w:rPr>
              <w:t>P0</w:t>
            </w:r>
          </w:p>
        </w:tc>
        <w:tc>
          <w:tcPr>
            <w:tcW w:type="dxa" w:w="3188"/>
          </w:tcPr>
          <w:p>
            <w:pPr>
              <w:spacing w:after="0" w:line="252" w:lineRule="auto"/>
            </w:pPr>
            <w:r>
              <w:rPr>
                <w:b/>
                <w:sz w:val="16"/>
              </w:rPr>
              <w:t>An inverted range is accepted and reported as "no invoices".</w:t>
            </w:r>
          </w:p>
        </w:tc>
        <w:tc>
          <w:tcPr>
            <w:tcW w:type="dxa" w:w="3188"/>
          </w:tcPr>
          <w:p>
            <w:pPr>
              <w:spacing w:after="0" w:line="252" w:lineRule="auto"/>
            </w:pPr>
            <w:r>
              <w:rPr>
                <w:sz w:val="16"/>
              </w:rPr>
              <w:t xml:space="preserve">Dashboard → Filters → set "From" 2026-06-01 and "To" 2026-03-01 → chip «2026-06-01 → 2026-03-01» and the message </w:t>
            </w:r>
            <w:r>
              <w:rPr>
                <w:sz w:val="16"/>
                <w:rtl/>
                <w:rFonts w:cs="Arial"/>
                <w:szCs w:val="16"/>
              </w:rPr>
              <w:t>‫«لا فواتير في هذا الاختيار… وسّع الفترة»‬</w:t>
            </w:r>
            <w:r>
              <w:rPr>
                <w:sz w:val="16"/>
              </w:rPr>
              <w:t xml:space="preserve">. </w:t>
            </w:r>
            <w:r>
              <w:rPr>
                <w:i/>
                <w:sz w:val="16"/>
              </w:rPr>
              <w:t>Verified (UI).</w:t>
            </w:r>
          </w:p>
        </w:tc>
        <w:tc>
          <w:tcPr>
            <w:tcW w:type="dxa" w:w="3173"/>
          </w:tcPr>
          <w:p>
            <w:pPr>
              <w:spacing w:after="0" w:line="252" w:lineRule="auto"/>
            </w:pPr>
            <w:r>
              <w:rPr>
                <w:rFonts w:ascii="Consolas" w:hAnsi="Consolas" w:cs="Consolas"/>
                <w:color w:val="B42318"/>
                <w:sz w:val="15"/>
              </w:rPr>
              <w:t>ScopeBar</w:t>
            </w:r>
            <w:r>
              <w:rPr>
                <w:sz w:val="16"/>
              </w:rPr>
              <w:t xml:space="preserve"> (</w:t>
            </w:r>
            <w:r>
              <w:rPr>
                <w:rFonts w:ascii="Consolas" w:hAnsi="Consolas" w:cs="Consolas"/>
                <w:color w:val="B42318"/>
                <w:sz w:val="15"/>
              </w:rPr>
              <w:t>RevenueUI.jsx:118-120</w:t>
            </w:r>
            <w:r>
              <w:rPr>
                <w:sz w:val="16"/>
              </w:rPr>
              <w:t xml:space="preserve">) sets </w:t>
            </w:r>
            <w:r>
              <w:rPr>
                <w:rFonts w:ascii="Consolas" w:hAnsi="Consolas" w:cs="Consolas"/>
                <w:color w:val="B42318"/>
                <w:sz w:val="15"/>
              </w:rPr>
              <w:t>min/max</w:t>
            </w:r>
            <w:r>
              <w:rPr>
                <w:sz w:val="16"/>
              </w:rPr>
              <w:t xml:space="preserve"> attributes only; </w:t>
            </w:r>
            <w:r>
              <w:rPr>
                <w:rFonts w:ascii="Consolas" w:hAnsi="Consolas" w:cs="Consolas"/>
                <w:color w:val="B42318"/>
                <w:sz w:val="15"/>
              </w:rPr>
              <w:t>setCustomRange</w:t>
            </w:r>
            <w:r>
              <w:rPr>
                <w:sz w:val="16"/>
              </w:rPr>
              <w:t xml:space="preserve"> (</w:t>
            </w:r>
            <w:r>
              <w:rPr>
                <w:rFonts w:ascii="Consolas" w:hAnsi="Consolas" w:cs="Consolas"/>
                <w:color w:val="B42318"/>
                <w:sz w:val="15"/>
              </w:rPr>
              <w:t>RevenueContext.jsx:131</w:t>
            </w:r>
            <w:r>
              <w:rPr>
                <w:sz w:val="16"/>
              </w:rPr>
              <w:t xml:space="preserve">) does no validation; typed values bypass the attributes. The Smart </w:t>
            </w:r>
            <w:r>
              <w:rPr>
                <w:rFonts w:ascii="Consolas" w:hAnsi="Consolas" w:cs="Consolas"/>
                <w:color w:val="B42318"/>
                <w:sz w:val="15"/>
              </w:rPr>
              <w:t>FilterPanel</w:t>
            </w:r>
            <w:r>
              <w:rPr>
                <w:sz w:val="16"/>
              </w:rPr>
              <w:t xml:space="preserve"> has the same attribute-only protection (</w:t>
            </w:r>
            <w:r>
              <w:rPr>
                <w:rFonts w:ascii="Consolas" w:hAnsi="Consolas" w:cs="Consolas"/>
                <w:color w:val="B42318"/>
                <w:sz w:val="15"/>
              </w:rPr>
              <w:t>SmartReports.jsx:50-52</w:t>
            </w:r>
            <w:r>
              <w:rPr>
                <w:sz w:val="16"/>
              </w:rPr>
              <w:t>).</w:t>
            </w:r>
          </w:p>
        </w:tc>
        <w:tc>
          <w:tcPr>
            <w:tcW w:type="dxa" w:w="3188"/>
          </w:tcPr>
          <w:p>
            <w:pPr>
              <w:spacing w:after="0" w:line="252" w:lineRule="auto"/>
            </w:pPr>
            <w:r>
              <w:rPr>
                <w:sz w:val="16"/>
              </w:rPr>
              <w:t xml:space="preserve">Validate on every change; inline error </w:t>
            </w:r>
            <w:r>
              <w:rPr>
                <w:sz w:val="16"/>
                <w:rtl/>
                <w:rFonts w:cs="Arial"/>
                <w:szCs w:val="16"/>
              </w:rPr>
              <w:t>‫«تاريخ البداية بعد تاريخ النهاية»‬</w:t>
            </w:r>
            <w:r>
              <w:rPr>
                <w:sz w:val="16"/>
              </w:rPr>
              <w:t>; never run a query for an invalid range; never show the empty state for it.</w:t>
            </w:r>
          </w:p>
        </w:tc>
      </w:tr>
      <w:tr>
        <w:trPr>
          <w:cantSplit/>
        </w:trPr>
        <w:tc>
          <w:tcPr>
            <w:tcW w:type="dxa" w:w="1143"/>
            <w:shd w:val="clear" w:color="auto" w:fill="F9FAFB"/>
          </w:tcPr>
          <w:p>
            <w:pPr>
              <w:spacing w:after="0" w:line="252" w:lineRule="auto"/>
            </w:pPr>
            <w:r>
              <w:rPr>
                <w:b/>
                <w:sz w:val="16"/>
              </w:rPr>
              <w:t>D-02</w:t>
            </w:r>
          </w:p>
        </w:tc>
        <w:tc>
          <w:tcPr>
            <w:tcW w:type="dxa" w:w="1143"/>
            <w:shd w:val="clear" w:color="auto" w:fill="F9FAFB"/>
          </w:tcPr>
          <w:p>
            <w:pPr>
              <w:spacing w:after="0" w:line="252" w:lineRule="auto"/>
            </w:pPr>
            <w:r>
              <w:rPr>
                <w:b/>
                <w:sz w:val="16"/>
              </w:rPr>
              <w:t>P0</w:t>
            </w:r>
          </w:p>
        </w:tc>
        <w:tc>
          <w:tcPr>
            <w:tcW w:type="dxa" w:w="3188"/>
            <w:shd w:val="clear" w:color="auto" w:fill="F9FAFB"/>
          </w:tcPr>
          <w:p>
            <w:pPr>
              <w:spacing w:after="0" w:line="252" w:lineRule="auto"/>
            </w:pPr>
            <w:r>
              <w:rPr>
                <w:b/>
                <w:sz w:val="16"/>
              </w:rPr>
              <w:t>Selected period can start before the data exists, with no coverage warning.</w:t>
            </w:r>
            <w:r>
              <w:rPr>
                <w:sz w:val="16"/>
              </w:rPr>
              <w:t xml:space="preserve"> Data starts at 2025-01-01 (</w:t>
            </w:r>
            <w:r>
              <w:rPr>
                <w:rFonts w:ascii="Consolas" w:hAnsi="Consolas" w:cs="Consolas"/>
                <w:color w:val="B42318"/>
                <w:sz w:val="15"/>
              </w:rPr>
              <w:t>DATA_START</w:t>
            </w:r>
            <w:r>
              <w:rPr>
                <w:sz w:val="16"/>
              </w:rPr>
              <w:t xml:space="preserve">); "From" has no </w:t>
            </w:r>
            <w:r>
              <w:rPr>
                <w:rFonts w:ascii="Consolas" w:hAnsi="Consolas" w:cs="Consolas"/>
                <w:color w:val="B42318"/>
                <w:sz w:val="15"/>
              </w:rPr>
              <w:t>min</w:t>
            </w:r>
            <w:r>
              <w:rPr>
                <w:sz w:val="16"/>
              </w:rPr>
              <w:t>; 2020-01-01 → 2026-10-09 is accepted and shows 36.85 bn gross billed (895 invoices) as if 2020–2024 were covered.</w:t>
            </w:r>
          </w:p>
        </w:tc>
        <w:tc>
          <w:tcPr>
            <w:tcW w:type="dxa" w:w="3188"/>
            <w:shd w:val="clear" w:color="auto" w:fill="F9FAFB"/>
          </w:tcPr>
          <w:p>
            <w:pPr>
              <w:spacing w:after="0" w:line="252" w:lineRule="auto"/>
            </w:pPr>
            <w:r>
              <w:rPr>
                <w:i/>
                <w:sz w:val="16"/>
              </w:rPr>
              <w:t>Verified (UI).</w:t>
            </w:r>
            <w:r>
              <w:rPr>
                <w:sz w:val="16"/>
              </w:rPr>
              <w:t xml:space="preserve"> </w:t>
            </w:r>
            <w:r>
              <w:rPr>
                <w:rFonts w:ascii="Consolas" w:hAnsi="Consolas" w:cs="Consolas"/>
                <w:color w:val="B42318"/>
                <w:sz w:val="15"/>
              </w:rPr>
              <w:t>ScopeBar</w:t>
            </w:r>
            <w:r>
              <w:rPr>
                <w:sz w:val="16"/>
              </w:rPr>
              <w:t xml:space="preserve"> "From" has </w:t>
            </w:r>
            <w:r>
              <w:rPr>
                <w:rFonts w:ascii="Consolas" w:hAnsi="Consolas" w:cs="Consolas"/>
                <w:color w:val="B42318"/>
                <w:sz w:val="15"/>
              </w:rPr>
              <w:t>min=""</w:t>
            </w:r>
            <w:r>
              <w:rPr>
                <w:sz w:val="16"/>
              </w:rPr>
              <w:t xml:space="preserve">; the fixed preset </w:t>
            </w:r>
            <w:r>
              <w:rPr>
                <w:sz w:val="16"/>
                <w:rtl/>
                <w:rFonts w:cs="Arial"/>
                <w:szCs w:val="16"/>
              </w:rPr>
              <w:t>‫«كل البيانات»‬</w:t>
            </w:r>
            <w:r>
              <w:rPr>
                <w:sz w:val="16"/>
              </w:rPr>
              <w:t xml:space="preserve"> does not say it starts on 1 Jan 2025.</w:t>
            </w:r>
          </w:p>
        </w:tc>
        <w:tc>
          <w:tcPr>
            <w:tcW w:type="dxa" w:w="3173"/>
            <w:shd w:val="clear" w:color="auto" w:fill="F9FAFB"/>
          </w:tcPr>
          <w:p>
            <w:pPr>
              <w:spacing w:after="0" w:line="252" w:lineRule="auto"/>
            </w:pPr>
            <w:r>
              <w:rPr>
                <w:sz w:val="16"/>
              </w:rPr>
              <w:t>coverage is a constant, not part of the control.</w:t>
            </w:r>
          </w:p>
        </w:tc>
        <w:tc>
          <w:tcPr>
            <w:tcW w:type="dxa" w:w="3188"/>
            <w:shd w:val="clear" w:color="auto" w:fill="F9FAFB"/>
          </w:tcPr>
          <w:p>
            <w:pPr>
              <w:spacing w:after="0" w:line="252" w:lineRule="auto"/>
            </w:pPr>
            <w:r>
              <w:rPr>
                <w:rFonts w:ascii="Consolas" w:hAnsi="Consolas" w:cs="Consolas"/>
                <w:color w:val="B42318"/>
                <w:sz w:val="15"/>
              </w:rPr>
              <w:t>min = data start</w:t>
            </w:r>
            <w:r>
              <w:rPr>
                <w:sz w:val="16"/>
              </w:rPr>
              <w:t xml:space="preserve"> on "From"; show a line </w:t>
            </w:r>
            <w:r>
              <w:rPr>
                <w:sz w:val="16"/>
                <w:rtl/>
                <w:rFonts w:cs="Arial"/>
                <w:szCs w:val="16"/>
              </w:rPr>
              <w:t>‫«البيانات متاحة من 1 يناير 2025 حتى 9 أكتوبر 2026»‬</w:t>
            </w:r>
            <w:r>
              <w:rPr>
                <w:sz w:val="16"/>
              </w:rPr>
              <w:t xml:space="preserve">; clamp or warn when the choice is partly outside; label </w:t>
            </w:r>
            <w:r>
              <w:rPr>
                <w:sz w:val="16"/>
                <w:rtl/>
                <w:rFonts w:cs="Arial"/>
                <w:szCs w:val="16"/>
              </w:rPr>
              <w:t>‫«كل البيانات»‬</w:t>
            </w:r>
            <w:r>
              <w:rPr>
                <w:sz w:val="16"/>
              </w:rPr>
              <w:t xml:space="preserve"> with its actual start.</w:t>
            </w:r>
          </w:p>
        </w:tc>
      </w:tr>
      <w:tr>
        <w:trPr>
          <w:cantSplit/>
        </w:trPr>
        <w:tc>
          <w:tcPr>
            <w:tcW w:type="dxa" w:w="1143"/>
          </w:tcPr>
          <w:p>
            <w:pPr>
              <w:spacing w:after="0" w:line="252" w:lineRule="auto"/>
            </w:pPr>
            <w:r>
              <w:rPr>
                <w:b/>
                <w:sz w:val="16"/>
              </w:rPr>
              <w:t>D-03</w:t>
            </w:r>
          </w:p>
        </w:tc>
        <w:tc>
          <w:tcPr>
            <w:tcW w:type="dxa" w:w="1143"/>
          </w:tcPr>
          <w:p>
            <w:pPr>
              <w:spacing w:after="0" w:line="252" w:lineRule="auto"/>
            </w:pPr>
            <w:r>
              <w:rPr>
                <w:sz w:val="16"/>
              </w:rPr>
              <w:t>P1</w:t>
            </w:r>
          </w:p>
        </w:tc>
        <w:tc>
          <w:tcPr>
            <w:tcW w:type="dxa" w:w="3188"/>
          </w:tcPr>
          <w:p>
            <w:pPr>
              <w:spacing w:after="0" w:line="252" w:lineRule="auto"/>
            </w:pPr>
            <w:r>
              <w:rPr>
                <w:b/>
                <w:sz w:val="16"/>
                <w:rtl/>
                <w:rFonts w:cs="Arial"/>
                <w:szCs w:val="16"/>
                <w:bCs/>
              </w:rPr>
              <w:t>‫«آخر 3 أشهر»‬</w:t>
            </w:r>
            <w:r>
              <w:rPr>
                <w:b/>
                <w:sz w:val="16"/>
              </w:rPr>
              <w:t xml:space="preserve"> has no stable meaning.</w:t>
            </w:r>
            <w:r>
              <w:rPr>
                <w:sz w:val="16"/>
              </w:rPr>
              <w:t xml:space="preserve"> It is computed as </w:t>
            </w:r>
            <w:r>
              <w:rPr>
                <w:rFonts w:ascii="Consolas" w:hAnsi="Consolas" w:cs="Consolas"/>
                <w:color w:val="B42318"/>
                <w:sz w:val="15"/>
              </w:rPr>
              <w:t>startOfMonth(startOfMonth(today) − 62 days)</w:t>
            </w:r>
            <w:r>
              <w:rPr>
                <w:sz w:val="16"/>
              </w:rPr>
              <w:t xml:space="preserve">, which gives </w:t>
            </w:r>
            <w:r>
              <w:rPr>
                <w:b/>
                <w:sz w:val="16"/>
              </w:rPr>
              <w:t>77–107 days</w:t>
            </w:r>
            <w:r>
              <w:rPr>
                <w:sz w:val="16"/>
              </w:rPr>
              <w:t xml:space="preserve"> and </w:t>
            </w:r>
            <w:r>
              <w:rPr>
                <w:b/>
                <w:sz w:val="16"/>
              </w:rPr>
              <w:t>2 or 3 complete months</w:t>
            </w:r>
            <w:r>
              <w:rPr>
                <w:sz w:val="16"/>
              </w:rPr>
              <w:t xml:space="preserve"> depending on the month: on 15 Feb it is 1 Dec–15 Feb (2 complete months + MTD); on 15 Sep it is 1 Jul–15 Sep (2 complete months + MTD); on 15 Oct it is 1 Jul–15 Oct (3 + MTD). The required-pace card separately uses "the last 3 </w:t>
            </w:r>
            <w:r>
              <w:rPr>
                <w:b/>
                <w:sz w:val="16"/>
              </w:rPr>
              <w:t>complete</w:t>
            </w:r>
            <w:r>
              <w:rPr>
                <w:sz w:val="16"/>
              </w:rPr>
              <w:t xml:space="preserve"> months".</w:t>
            </w:r>
          </w:p>
        </w:tc>
        <w:tc>
          <w:tcPr>
            <w:tcW w:type="dxa" w:w="3188"/>
          </w:tcPr>
          <w:p>
            <w:pPr>
              <w:spacing w:after="0" w:line="252" w:lineRule="auto"/>
            </w:pPr>
            <w:r>
              <w:rPr>
                <w:i/>
                <w:sz w:val="16"/>
              </w:rPr>
              <w:t>Verified (function output for the 15th of each month of 2026).</w:t>
            </w:r>
            <w:r>
              <w:rPr>
                <w:sz w:val="16"/>
              </w:rPr>
              <w:t xml:space="preserve"> </w:t>
            </w:r>
            <w:r>
              <w:rPr>
                <w:rFonts w:ascii="Consolas" w:hAnsi="Consolas" w:cs="Consolas"/>
                <w:color w:val="B42318"/>
                <w:sz w:val="15"/>
              </w:rPr>
              <w:t>assistantRouter.js:38</w:t>
            </w:r>
            <w:r>
              <w:rPr>
                <w:sz w:val="16"/>
              </w:rPr>
              <w:t xml:space="preserve">, </w:t>
            </w:r>
            <w:r>
              <w:rPr>
                <w:rFonts w:ascii="Consolas" w:hAnsi="Consolas" w:cs="Consolas"/>
                <w:color w:val="B42318"/>
                <w:sz w:val="15"/>
              </w:rPr>
              <w:t>RevenueContext.jsx:19</w:t>
            </w:r>
            <w:r>
              <w:rPr>
                <w:sz w:val="16"/>
              </w:rPr>
              <w:t xml:space="preserve">, </w:t>
            </w:r>
            <w:r>
              <w:rPr>
                <w:rFonts w:ascii="Consolas" w:hAnsi="Consolas" w:cs="Consolas"/>
                <w:color w:val="B42318"/>
                <w:sz w:val="15"/>
              </w:rPr>
              <w:t>strategicCalc.js:99</w:t>
            </w:r>
            <w:r>
              <w:rPr>
                <w:sz w:val="16"/>
              </w:rPr>
              <w:t>.</w:t>
            </w:r>
          </w:p>
        </w:tc>
        <w:tc>
          <w:tcPr>
            <w:tcW w:type="dxa" w:w="3173"/>
          </w:tcPr>
          <w:p>
            <w:pPr>
              <w:spacing w:after="0" w:line="252" w:lineRule="auto"/>
            </w:pPr>
            <w:r>
              <w:rPr>
                <w:sz w:val="16"/>
              </w:rPr>
              <w:t>a day-count heuristic instead of calendar arithmetic; two definitions.</w:t>
            </w:r>
          </w:p>
        </w:tc>
        <w:tc>
          <w:tcPr>
            <w:tcW w:type="dxa" w:w="3188"/>
          </w:tcPr>
          <w:p>
            <w:pPr>
              <w:spacing w:after="0" w:line="252" w:lineRule="auto"/>
            </w:pPr>
            <w:r>
              <w:rPr>
                <w:sz w:val="16"/>
              </w:rPr>
              <w:t xml:space="preserve">Define two presets explicitly (see 12.2): </w:t>
            </w:r>
            <w:r>
              <w:rPr>
                <w:b/>
                <w:sz w:val="16"/>
                <w:rtl/>
                <w:rFonts w:cs="Arial"/>
                <w:szCs w:val="16"/>
                <w:bCs/>
              </w:rPr>
              <w:t>‫آخر 3 أشهر مكتملة‬</w:t>
            </w:r>
            <w:r>
              <w:rPr>
                <w:sz w:val="16"/>
              </w:rPr>
              <w:t xml:space="preserve"> (e.g. on 9 Oct: 1 Jul–30 Sep) and, if needed, </w:t>
            </w:r>
            <w:r>
              <w:rPr>
                <w:b/>
                <w:sz w:val="16"/>
                <w:rtl/>
                <w:rFonts w:cs="Arial"/>
                <w:szCs w:val="16"/>
                <w:bCs/>
              </w:rPr>
              <w:t>‫آخر 90 يوماً‬</w:t>
            </w:r>
            <w:r>
              <w:rPr>
                <w:sz w:val="16"/>
              </w:rPr>
              <w:t>. Use one function everywhere, including the AI interpreter.</w:t>
            </w:r>
          </w:p>
        </w:tc>
      </w:tr>
      <w:tr>
        <w:trPr>
          <w:cantSplit/>
        </w:trPr>
        <w:tc>
          <w:tcPr>
            <w:tcW w:type="dxa" w:w="1143"/>
            <w:shd w:val="clear" w:color="auto" w:fill="F9FAFB"/>
          </w:tcPr>
          <w:p>
            <w:pPr>
              <w:spacing w:after="0" w:line="252" w:lineRule="auto"/>
            </w:pPr>
            <w:r>
              <w:rPr>
                <w:b/>
                <w:sz w:val="16"/>
              </w:rPr>
              <w:t>D-04</w:t>
            </w:r>
          </w:p>
        </w:tc>
        <w:tc>
          <w:tcPr>
            <w:tcW w:type="dxa" w:w="1143"/>
            <w:shd w:val="clear" w:color="auto" w:fill="F9FAFB"/>
          </w:tcPr>
          <w:p>
            <w:pPr>
              <w:spacing w:after="0" w:line="252" w:lineRule="auto"/>
            </w:pPr>
            <w:r>
              <w:rPr>
                <w:sz w:val="16"/>
              </w:rPr>
              <w:t>P1</w:t>
            </w:r>
          </w:p>
        </w:tc>
        <w:tc>
          <w:tcPr>
            <w:tcW w:type="dxa" w:w="3188"/>
            <w:shd w:val="clear" w:color="auto" w:fill="F9FAFB"/>
          </w:tcPr>
          <w:p>
            <w:pPr>
              <w:spacing w:after="0" w:line="252" w:lineRule="auto"/>
            </w:pPr>
            <w:r>
              <w:rPr>
                <w:b/>
                <w:sz w:val="16"/>
              </w:rPr>
              <w:t>Requests for a quarter that has not started produce a reversed range.</w:t>
            </w:r>
            <w:r>
              <w:rPr>
                <w:sz w:val="16"/>
              </w:rPr>
              <w:t xml:space="preserve"> </w:t>
            </w:r>
            <w:r>
              <w:rPr>
                <w:sz w:val="16"/>
                <w:rtl/>
                <w:rFonts w:cs="Arial"/>
                <w:szCs w:val="16"/>
              </w:rPr>
              <w:t>‫«الربع الثاني»‬</w:t>
            </w:r>
            <w:r>
              <w:rPr>
                <w:sz w:val="16"/>
              </w:rPr>
              <w:t xml:space="preserve"> asked on 2026-02-10 → 2026-04-01 → 2026-02-10; </w:t>
            </w:r>
            <w:r>
              <w:rPr>
                <w:sz w:val="16"/>
                <w:rtl/>
                <w:rFonts w:cs="Arial"/>
                <w:szCs w:val="16"/>
              </w:rPr>
              <w:t>‫«الربع الرابع»‬</w:t>
            </w:r>
            <w:r>
              <w:rPr>
                <w:sz w:val="16"/>
              </w:rPr>
              <w:t xml:space="preserve"> asked on 2026-08-15 → 2026-10-01 → 2026-08-15. Month names silently mean the previous year when the month is later than today (</w:t>
            </w:r>
            <w:r>
              <w:rPr>
                <w:sz w:val="16"/>
                <w:rtl/>
                <w:rFonts w:cs="Arial"/>
                <w:szCs w:val="16"/>
              </w:rPr>
              <w:t>‫«مارس»‬</w:t>
            </w:r>
            <w:r>
              <w:rPr>
                <w:sz w:val="16"/>
              </w:rPr>
              <w:t xml:space="preserve"> in Feb = March 2025) with no statement.</w:t>
            </w:r>
          </w:p>
        </w:tc>
        <w:tc>
          <w:tcPr>
            <w:tcW w:type="dxa" w:w="3188"/>
            <w:shd w:val="clear" w:color="auto" w:fill="F9FAFB"/>
          </w:tcPr>
          <w:p>
            <w:pPr>
              <w:spacing w:after="0" w:line="252" w:lineRule="auto"/>
            </w:pPr>
            <w:r>
              <w:rPr>
                <w:i/>
                <w:sz w:val="16"/>
              </w:rPr>
              <w:t>Verified (function output).</w:t>
            </w:r>
            <w:r>
              <w:rPr>
                <w:sz w:val="16"/>
              </w:rPr>
              <w:t xml:space="preserve"> </w:t>
            </w:r>
            <w:r>
              <w:rPr>
                <w:rFonts w:ascii="Consolas" w:hAnsi="Consolas" w:cs="Consolas"/>
                <w:color w:val="B42318"/>
                <w:sz w:val="15"/>
              </w:rPr>
              <w:t>assistantRouter.js:42-46,30-34</w:t>
            </w:r>
            <w:r>
              <w:rPr>
                <w:sz w:val="16"/>
              </w:rPr>
              <w:t>.</w:t>
            </w:r>
          </w:p>
        </w:tc>
        <w:tc>
          <w:tcPr>
            <w:tcW w:type="dxa" w:w="3173"/>
            <w:shd w:val="clear" w:color="auto" w:fill="F9FAFB"/>
          </w:tcPr>
          <w:p>
            <w:pPr>
              <w:spacing w:after="0" w:line="252" w:lineRule="auto"/>
            </w:pPr>
            <w:r>
              <w:rPr>
                <w:rFonts w:ascii="Consolas" w:hAnsi="Consolas" w:cs="Consolas"/>
                <w:color w:val="B42318"/>
                <w:sz w:val="15"/>
              </w:rPr>
              <w:t>q(n)</w:t>
            </w:r>
            <w:r>
              <w:rPr>
                <w:sz w:val="16"/>
              </w:rPr>
              <w:t xml:space="preserve"> clamps only the end.</w:t>
            </w:r>
          </w:p>
        </w:tc>
        <w:tc>
          <w:tcPr>
            <w:tcW w:type="dxa" w:w="3188"/>
            <w:shd w:val="clear" w:color="auto" w:fill="F9FAFB"/>
          </w:tcPr>
          <w:p>
            <w:pPr>
              <w:spacing w:after="0" w:line="252" w:lineRule="auto"/>
            </w:pPr>
            <w:r>
              <w:rPr>
                <w:sz w:val="16"/>
              </w:rPr>
              <w:t>Reject future periods with a clear message (</w:t>
            </w:r>
            <w:r>
              <w:rPr>
                <w:sz w:val="16"/>
                <w:rtl/>
                <w:rFonts w:cs="Arial"/>
                <w:szCs w:val="16"/>
              </w:rPr>
              <w:t>‫«الربع الثاني لم يبدأ بعد»‬</w:t>
            </w:r>
            <w:r>
              <w:rPr>
                <w:sz w:val="16"/>
              </w:rPr>
              <w:t>); show the interpreted dates; state the year choice.</w:t>
            </w:r>
          </w:p>
        </w:tc>
      </w:tr>
      <w:tr>
        <w:trPr>
          <w:cantSplit/>
        </w:trPr>
        <w:tc>
          <w:tcPr>
            <w:tcW w:type="dxa" w:w="1143"/>
          </w:tcPr>
          <w:p>
            <w:pPr>
              <w:spacing w:after="0" w:line="252" w:lineRule="auto"/>
            </w:pPr>
            <w:r>
              <w:rPr>
                <w:b/>
                <w:sz w:val="16"/>
              </w:rPr>
              <w:t>D-05</w:t>
            </w:r>
          </w:p>
        </w:tc>
        <w:tc>
          <w:tcPr>
            <w:tcW w:type="dxa" w:w="1143"/>
          </w:tcPr>
          <w:p>
            <w:pPr>
              <w:spacing w:after="0" w:line="252" w:lineRule="auto"/>
            </w:pPr>
            <w:r>
              <w:rPr>
                <w:sz w:val="16"/>
              </w:rPr>
              <w:t>P1</w:t>
            </w:r>
          </w:p>
        </w:tc>
        <w:tc>
          <w:tcPr>
            <w:tcW w:type="dxa" w:w="3188"/>
          </w:tcPr>
          <w:p>
            <w:pPr>
              <w:spacing w:after="0" w:line="252" w:lineRule="auto"/>
            </w:pPr>
            <w:r>
              <w:rPr>
                <w:b/>
                <w:sz w:val="16"/>
              </w:rPr>
              <w:t>"Compare with last month" compares unequal periods.</w:t>
            </w:r>
            <w:r>
              <w:rPr>
                <w:sz w:val="16"/>
              </w:rPr>
              <w:t xml:space="preserve"> For a year-to-date selection (1 Jan–9 Oct 2026) the Smart comparison "</w:t>
            </w:r>
            <w:r>
              <w:rPr>
                <w:sz w:val="16"/>
                <w:rtl/>
                <w:rFonts w:cs="Arial"/>
                <w:szCs w:val="16"/>
              </w:rPr>
              <w:t>‫الشهر الماضي‬</w:t>
            </w:r>
            <w:r>
              <w:rPr>
                <w:sz w:val="16"/>
              </w:rPr>
              <w:t xml:space="preserve">" uses </w:t>
            </w:r>
            <w:r>
              <w:rPr>
                <w:b/>
                <w:sz w:val="16"/>
              </w:rPr>
              <w:t>December 2025</w:t>
            </w:r>
            <w:r>
              <w:rPr>
                <w:sz w:val="16"/>
              </w:rPr>
              <w:t xml:space="preserve"> (one month) against 282 days; for </w:t>
            </w:r>
            <w:r>
              <w:rPr>
                <w:sz w:val="16"/>
                <w:rtl/>
                <w:rFonts w:cs="Arial"/>
                <w:szCs w:val="16"/>
              </w:rPr>
              <w:t>‫«آخر 3 أشهر»‬</w:t>
            </w:r>
            <w:r>
              <w:rPr>
                <w:sz w:val="16"/>
              </w:rPr>
              <w:t xml:space="preserve"> it uses June only. Only a single-month selection is compared with equal elapsed days (e.g. 1–9 Oct vs 1–9 Sep).</w:t>
            </w:r>
          </w:p>
        </w:tc>
        <w:tc>
          <w:tcPr>
            <w:tcW w:type="dxa" w:w="3188"/>
          </w:tcPr>
          <w:p>
            <w:pPr>
              <w:spacing w:after="0" w:line="252" w:lineRule="auto"/>
            </w:pPr>
            <w:r>
              <w:rPr>
                <w:i/>
                <w:sz w:val="16"/>
              </w:rPr>
              <w:t>Verified (function output).</w:t>
            </w:r>
            <w:r>
              <w:rPr>
                <w:sz w:val="16"/>
              </w:rPr>
              <w:t xml:space="preserve"> </w:t>
            </w:r>
            <w:r>
              <w:rPr>
                <w:rFonts w:ascii="Consolas" w:hAnsi="Consolas" w:cs="Consolas"/>
                <w:color w:val="B42318"/>
                <w:sz w:val="15"/>
              </w:rPr>
              <w:t>reportIntents.js:55-62</w:t>
            </w:r>
            <w:r>
              <w:rPr>
                <w:sz w:val="16"/>
              </w:rPr>
              <w:t xml:space="preserve"> </w:t>
            </w:r>
            <w:r>
              <w:rPr>
                <w:rFonts w:ascii="Consolas" w:hAnsi="Consolas" w:cs="Consolas"/>
                <w:color w:val="B42318"/>
                <w:sz w:val="15"/>
              </w:rPr>
              <w:t>previousMonthScope</w:t>
            </w:r>
            <w:r>
              <w:rPr>
                <w:sz w:val="16"/>
              </w:rPr>
              <w:t>.</w:t>
            </w:r>
          </w:p>
        </w:tc>
        <w:tc>
          <w:tcPr>
            <w:tcW w:type="dxa" w:w="3173"/>
          </w:tcPr>
          <w:p>
            <w:pPr>
              <w:spacing w:after="0" w:line="252" w:lineRule="auto"/>
            </w:pPr>
            <w:r>
              <w:rPr>
                <w:sz w:val="16"/>
              </w:rPr>
              <w:t>the function assumes a one-month scope.</w:t>
            </w:r>
          </w:p>
        </w:tc>
        <w:tc>
          <w:tcPr>
            <w:tcW w:type="dxa" w:w="3188"/>
          </w:tcPr>
          <w:p>
            <w:pPr>
              <w:spacing w:after="0" w:line="252" w:lineRule="auto"/>
            </w:pPr>
            <w:r>
              <w:rPr>
                <w:sz w:val="16"/>
              </w:rPr>
              <w:t xml:space="preserve">Allow "previous month" only for single-month scopes; otherwise offer "previous period of equal length" (which </w:t>
            </w:r>
            <w:r>
              <w:rPr>
                <w:rFonts w:ascii="Consolas" w:hAnsi="Consolas" w:cs="Consolas"/>
                <w:color w:val="B42318"/>
                <w:sz w:val="15"/>
              </w:rPr>
              <w:t>previousScope</w:t>
            </w:r>
            <w:r>
              <w:rPr>
                <w:sz w:val="16"/>
              </w:rPr>
              <w:t xml:space="preserve"> already supports) and say which was used.</w:t>
            </w:r>
          </w:p>
        </w:tc>
      </w:tr>
      <w:tr>
        <w:trPr>
          <w:cantSplit/>
        </w:trPr>
        <w:tc>
          <w:tcPr>
            <w:tcW w:type="dxa" w:w="1143"/>
            <w:shd w:val="clear" w:color="auto" w:fill="F9FAFB"/>
          </w:tcPr>
          <w:p>
            <w:pPr>
              <w:spacing w:after="0" w:line="252" w:lineRule="auto"/>
            </w:pPr>
            <w:r>
              <w:rPr>
                <w:b/>
                <w:sz w:val="16"/>
              </w:rPr>
              <w:t>D-06</w:t>
            </w:r>
          </w:p>
        </w:tc>
        <w:tc>
          <w:tcPr>
            <w:tcW w:type="dxa" w:w="1143"/>
            <w:shd w:val="clear" w:color="auto" w:fill="F9FAFB"/>
          </w:tcPr>
          <w:p>
            <w:pPr>
              <w:spacing w:after="0" w:line="252" w:lineRule="auto"/>
            </w:pPr>
            <w:r>
              <w:rPr>
                <w:sz w:val="16"/>
              </w:rPr>
              <w:t>P0</w:t>
            </w:r>
          </w:p>
        </w:tc>
        <w:tc>
          <w:tcPr>
            <w:tcW w:type="dxa" w:w="3188"/>
            <w:shd w:val="clear" w:color="auto" w:fill="F9FAFB"/>
          </w:tcPr>
          <w:p>
            <w:pPr>
              <w:spacing w:after="0" w:line="252" w:lineRule="auto"/>
            </w:pPr>
            <w:r>
              <w:rPr>
                <w:b/>
                <w:sz w:val="16"/>
              </w:rPr>
              <w:t>The as-of date of "collected" is hidden and differs by view and by comparison toggle</w:t>
            </w:r>
            <w:r>
              <w:rPr>
                <w:sz w:val="16"/>
              </w:rPr>
              <w:t xml:space="preserve"> — see </w:t>
            </w:r>
            <w:r>
              <w:rPr>
                <w:b/>
                <w:sz w:val="16"/>
              </w:rPr>
              <w:t>F-01</w:t>
            </w:r>
            <w:r>
              <w:rPr>
                <w:sz w:val="16"/>
              </w:rPr>
              <w:t xml:space="preserve"> (21.7 % vs 15.5 % for the same invoices). The label </w:t>
            </w:r>
            <w:r>
              <w:rPr>
                <w:sz w:val="16"/>
                <w:rtl/>
                <w:rFonts w:cs="Arial"/>
                <w:szCs w:val="16"/>
              </w:rPr>
              <w:t>‫«التحصيل حتى 2026-10-09»‬</w:t>
            </w:r>
            <w:r>
              <w:rPr>
                <w:sz w:val="16"/>
              </w:rPr>
              <w:t xml:space="preserve"> exists but is a small muted line; in the Smart chips it always reads </w:t>
            </w:r>
            <w:r>
              <w:rPr>
                <w:sz w:val="16"/>
                <w:rtl/>
                <w:rFonts w:cs="Arial"/>
                <w:szCs w:val="16"/>
              </w:rPr>
              <w:t>‫«حتى {نهاية الفترة}»‬</w:t>
            </w:r>
            <w:r>
              <w:rPr>
                <w:sz w:val="16"/>
              </w:rPr>
              <w:t xml:space="preserve"> even when the numbers were computed to today (</w:t>
            </w:r>
            <w:r>
              <w:rPr>
                <w:rFonts w:ascii="Consolas" w:hAnsi="Consolas" w:cs="Consolas"/>
                <w:color w:val="B42318"/>
                <w:sz w:val="15"/>
              </w:rPr>
              <w:t>SmartReports.jsx:217</w:t>
            </w:r>
            <w:r>
              <w:rPr>
                <w:sz w:val="16"/>
              </w:rPr>
              <w:t>).</w:t>
            </w:r>
          </w:p>
        </w:tc>
        <w:tc>
          <w:tcPr>
            <w:tcW w:type="dxa" w:w="3188"/>
            <w:shd w:val="clear" w:color="auto" w:fill="F9FAFB"/>
          </w:tcPr>
          <w:p>
            <w:pPr>
              <w:spacing w:after="0" w:line="252" w:lineRule="auto"/>
            </w:pPr>
            <w:r>
              <w:rPr>
                <w:sz w:val="16"/>
              </w:rPr>
              <w:t>Verified (UI/code)</w:t>
            </w:r>
          </w:p>
        </w:tc>
        <w:tc>
          <w:tcPr>
            <w:tcW w:type="dxa" w:w="3173"/>
            <w:shd w:val="clear" w:color="auto" w:fill="F9FAFB"/>
          </w:tcPr>
          <w:p>
            <w:pPr>
              <w:spacing w:after="0" w:line="252" w:lineRule="auto"/>
            </w:pPr>
            <w:r>
              <w:rPr>
                <w:sz w:val="16"/>
              </w:rPr>
              <w:t>basis not part of the scope object.</w:t>
            </w:r>
          </w:p>
        </w:tc>
        <w:tc>
          <w:tcPr>
            <w:tcW w:type="dxa" w:w="3188"/>
            <w:shd w:val="clear" w:color="auto" w:fill="F9FAFB"/>
          </w:tcPr>
          <w:p>
            <w:pPr>
              <w:spacing w:after="0" w:line="252" w:lineRule="auto"/>
            </w:pPr>
            <w:r>
              <w:rPr>
                <w:sz w:val="16"/>
              </w:rPr>
              <w:t xml:space="preserve">Make </w:t>
            </w:r>
            <w:r>
              <w:rPr>
                <w:b/>
                <w:sz w:val="16"/>
              </w:rPr>
              <w:t>basis</w:t>
            </w:r>
            <w:r>
              <w:rPr>
                <w:sz w:val="16"/>
              </w:rPr>
              <w:t xml:space="preserve"> an explicit, visible part of the scope: </w:t>
            </w:r>
            <w:r>
              <w:rPr>
                <w:sz w:val="16"/>
                <w:rtl/>
                <w:rFonts w:cs="Arial"/>
                <w:szCs w:val="16"/>
              </w:rPr>
              <w:t>‫«المحصّل حتى: نهاية الفترة / اليوم»‬</w:t>
            </w:r>
            <w:r>
              <w:rPr>
                <w:sz w:val="16"/>
              </w:rPr>
              <w:t>. Default and wording in 12.3.</w:t>
            </w:r>
          </w:p>
        </w:tc>
      </w:tr>
      <w:tr>
        <w:trPr>
          <w:cantSplit/>
        </w:trPr>
        <w:tc>
          <w:tcPr>
            <w:tcW w:type="dxa" w:w="1143"/>
          </w:tcPr>
          <w:p>
            <w:pPr>
              <w:spacing w:after="0" w:line="252" w:lineRule="auto"/>
            </w:pPr>
            <w:r>
              <w:rPr>
                <w:b/>
                <w:sz w:val="16"/>
              </w:rPr>
              <w:t>D-07</w:t>
            </w:r>
          </w:p>
        </w:tc>
        <w:tc>
          <w:tcPr>
            <w:tcW w:type="dxa" w:w="1143"/>
          </w:tcPr>
          <w:p>
            <w:pPr>
              <w:spacing w:after="0" w:line="252" w:lineRule="auto"/>
            </w:pPr>
            <w:r>
              <w:rPr>
                <w:sz w:val="16"/>
              </w:rPr>
              <w:t>P1</w:t>
            </w:r>
          </w:p>
        </w:tc>
        <w:tc>
          <w:tcPr>
            <w:tcW w:type="dxa" w:w="3188"/>
          </w:tcPr>
          <w:p>
            <w:pPr>
              <w:spacing w:after="0" w:line="252" w:lineRule="auto"/>
            </w:pPr>
            <w:r>
              <w:rPr>
                <w:b/>
                <w:sz w:val="16"/>
              </w:rPr>
              <w:t>Times shown to users are UTC and unlabelled.</w:t>
            </w:r>
            <w:r>
              <w:rPr>
                <w:sz w:val="16"/>
              </w:rPr>
              <w:t xml:space="preserve"> Plan history, versions and action history print </w:t>
            </w:r>
            <w:r>
              <w:rPr>
                <w:rFonts w:ascii="Consolas" w:hAnsi="Consolas" w:cs="Consolas"/>
                <w:color w:val="B42318"/>
                <w:sz w:val="15"/>
              </w:rPr>
              <w:t>at.slice(0,16)</w:t>
            </w:r>
            <w:r>
              <w:rPr>
                <w:sz w:val="16"/>
              </w:rPr>
              <w:t xml:space="preserve"> of an ISO UTC string (</w:t>
            </w:r>
            <w:r>
              <w:rPr>
                <w:rFonts w:ascii="Consolas" w:hAnsi="Consolas" w:cs="Consolas"/>
                <w:color w:val="B42318"/>
                <w:sz w:val="15"/>
              </w:rPr>
              <w:t>PlanBar.jsx:34-35</w:t>
            </w:r>
            <w:r>
              <w:rPr>
                <w:sz w:val="16"/>
              </w:rPr>
              <w:t xml:space="preserve">, </w:t>
            </w:r>
            <w:r>
              <w:rPr>
                <w:rFonts w:ascii="Consolas" w:hAnsi="Consolas" w:cs="Consolas"/>
                <w:color w:val="B42318"/>
                <w:sz w:val="15"/>
              </w:rPr>
              <w:t>ActionRegister.jsx:125,130</w:t>
            </w:r>
            <w:r>
              <w:rPr>
                <w:sz w:val="16"/>
              </w:rPr>
              <w:t xml:space="preserve">); conversation history uses </w:t>
            </w:r>
            <w:r>
              <w:rPr>
                <w:rFonts w:ascii="Consolas" w:hAnsi="Consolas" w:cs="Consolas"/>
                <w:color w:val="B42318"/>
                <w:sz w:val="15"/>
              </w:rPr>
              <w:t>toISOString()</w:t>
            </w:r>
            <w:r>
              <w:rPr>
                <w:sz w:val="16"/>
              </w:rPr>
              <w:t xml:space="preserve"> (</w:t>
            </w:r>
            <w:r>
              <w:rPr>
                <w:rFonts w:ascii="Consolas" w:hAnsi="Consolas" w:cs="Consolas"/>
                <w:color w:val="B42318"/>
                <w:sz w:val="15"/>
              </w:rPr>
              <w:t>SmartReports.jsx:239</w:t>
            </w:r>
            <w:r>
              <w:rPr>
                <w:sz w:val="16"/>
              </w:rPr>
              <w:t xml:space="preserve">); the report line </w:t>
            </w:r>
            <w:r>
              <w:rPr>
                <w:sz w:val="16"/>
                <w:rtl/>
                <w:rFonts w:cs="Arial"/>
                <w:szCs w:val="16"/>
              </w:rPr>
              <w:t>‫«أُعدّ في …»‬</w:t>
            </w:r>
            <w:r>
              <w:rPr>
                <w:sz w:val="16"/>
              </w:rPr>
              <w:t xml:space="preserve"> and every export file name use the </w:t>
            </w:r>
            <w:r>
              <w:rPr>
                <w:b/>
                <w:sz w:val="16"/>
              </w:rPr>
              <w:t>UTC date</w:t>
            </w:r>
            <w:r>
              <w:rPr>
                <w:sz w:val="16"/>
              </w:rPr>
              <w:t xml:space="preserve"> (</w:t>
            </w:r>
            <w:r>
              <w:rPr>
                <w:rFonts w:ascii="Consolas" w:hAnsi="Consolas" w:cs="Consolas"/>
                <w:color w:val="B42318"/>
                <w:sz w:val="15"/>
              </w:rPr>
              <w:t>ReportView.jsx:87</w:t>
            </w:r>
            <w:r>
              <w:rPr>
                <w:sz w:val="16"/>
              </w:rPr>
              <w:t xml:space="preserve">, </w:t>
            </w:r>
            <w:r>
              <w:rPr>
                <w:rFonts w:ascii="Consolas" w:hAnsi="Consolas" w:cs="Consolas"/>
                <w:color w:val="B42318"/>
                <w:sz w:val="15"/>
              </w:rPr>
              <w:t>exportReportModel.js:14</w:t>
            </w:r>
            <w:r>
              <w:rPr>
                <w:sz w:val="16"/>
              </w:rPr>
              <w:t xml:space="preserve">). Between 00:00 and 02:59 Asia/Riyadh the UTC date is the previous day, so a report can read </w:t>
            </w:r>
            <w:r>
              <w:rPr>
                <w:sz w:val="16"/>
                <w:rtl/>
                <w:rFonts w:cs="Arial"/>
                <w:szCs w:val="16"/>
              </w:rPr>
              <w:t>‫«البيانات حتى 2026-10-10 · أُعدّ في 2026-10-09»‬</w:t>
            </w:r>
            <w:r>
              <w:rPr>
                <w:sz w:val="16"/>
              </w:rPr>
              <w:t>.</w:t>
            </w:r>
          </w:p>
        </w:tc>
        <w:tc>
          <w:tcPr>
            <w:tcW w:type="dxa" w:w="3188"/>
          </w:tcPr>
          <w:p>
            <w:pPr>
              <w:spacing w:after="0" w:line="252" w:lineRule="auto"/>
            </w:pPr>
            <w:r>
              <w:rPr>
                <w:i/>
                <w:sz w:val="16"/>
              </w:rPr>
              <w:t>Verified (code).</w:t>
            </w:r>
          </w:p>
        </w:tc>
        <w:tc>
          <w:tcPr>
            <w:tcW w:type="dxa" w:w="3173"/>
          </w:tcPr>
          <w:p>
            <w:pPr>
              <w:spacing w:after="0" w:line="252" w:lineRule="auto"/>
            </w:pPr>
            <w:r>
              <w:rPr>
                <w:rFonts w:ascii="Consolas" w:hAnsi="Consolas" w:cs="Consolas"/>
                <w:color w:val="B42318"/>
                <w:sz w:val="15"/>
              </w:rPr>
              <w:t>Date.toISOString()</w:t>
            </w:r>
            <w:r>
              <w:rPr>
                <w:sz w:val="16"/>
              </w:rPr>
              <w:t xml:space="preserve"> used as a display format.</w:t>
            </w:r>
          </w:p>
        </w:tc>
        <w:tc>
          <w:tcPr>
            <w:tcW w:type="dxa" w:w="3188"/>
          </w:tcPr>
          <w:p>
            <w:pPr>
              <w:spacing w:after="0" w:line="252" w:lineRule="auto"/>
            </w:pPr>
            <w:r>
              <w:rPr>
                <w:sz w:val="16"/>
              </w:rPr>
              <w:t xml:space="preserve">Format with </w:t>
            </w:r>
            <w:r>
              <w:rPr>
                <w:rFonts w:ascii="Consolas" w:hAnsi="Consolas" w:cs="Consolas"/>
                <w:color w:val="B42318"/>
                <w:sz w:val="15"/>
              </w:rPr>
              <w:t>Intl.DateTimeFormat('ar-SA-u-nu-latn', {timeZone:'Asia/Riyadh'})</w:t>
            </w:r>
            <w:r>
              <w:rPr>
                <w:sz w:val="16"/>
              </w:rPr>
              <w:t xml:space="preserve">; show </w:t>
            </w:r>
            <w:r>
              <w:rPr>
                <w:sz w:val="16"/>
                <w:rtl/>
                <w:rFonts w:cs="Arial"/>
                <w:szCs w:val="16"/>
              </w:rPr>
              <w:t>‫«بتوقيت الرياض»‬</w:t>
            </w:r>
            <w:r>
              <w:rPr>
                <w:sz w:val="16"/>
              </w:rPr>
              <w:t xml:space="preserve"> once; keep UTC in storage only.</w:t>
            </w:r>
          </w:p>
        </w:tc>
      </w:tr>
      <w:tr>
        <w:trPr>
          <w:cantSplit/>
        </w:trPr>
        <w:tc>
          <w:tcPr>
            <w:tcW w:type="dxa" w:w="1143"/>
            <w:shd w:val="clear" w:color="auto" w:fill="F9FAFB"/>
          </w:tcPr>
          <w:p>
            <w:pPr>
              <w:spacing w:after="0" w:line="252" w:lineRule="auto"/>
            </w:pPr>
            <w:r>
              <w:rPr>
                <w:b/>
                <w:sz w:val="16"/>
              </w:rPr>
              <w:t>D-08</w:t>
            </w:r>
          </w:p>
        </w:tc>
        <w:tc>
          <w:tcPr>
            <w:tcW w:type="dxa" w:w="1143"/>
            <w:shd w:val="clear" w:color="auto" w:fill="F9FAFB"/>
          </w:tcPr>
          <w:p>
            <w:pPr>
              <w:spacing w:after="0" w:line="252" w:lineRule="auto"/>
            </w:pPr>
            <w:r>
              <w:rPr>
                <w:sz w:val="16"/>
              </w:rPr>
              <w:t>P1</w:t>
            </w:r>
          </w:p>
        </w:tc>
        <w:tc>
          <w:tcPr>
            <w:tcW w:type="dxa" w:w="3188"/>
            <w:shd w:val="clear" w:color="auto" w:fill="F9FAFB"/>
          </w:tcPr>
          <w:p>
            <w:pPr>
              <w:spacing w:after="0" w:line="252" w:lineRule="auto"/>
            </w:pPr>
            <w:r>
              <w:rPr>
                <w:b/>
                <w:sz w:val="16"/>
              </w:rPr>
              <w:t>Preset set does not match the brief or common use.</w:t>
            </w:r>
            <w:r>
              <w:rPr>
                <w:sz w:val="16"/>
              </w:rPr>
              <w:t xml:space="preserve"> Present: </w:t>
            </w:r>
            <w:r>
              <w:rPr>
                <w:sz w:val="16"/>
                <w:rtl/>
                <w:rFonts w:cs="Arial"/>
                <w:szCs w:val="16"/>
              </w:rPr>
              <w:t>‫السنة حتى اليوم‬</w:t>
            </w:r>
            <w:r>
              <w:rPr>
                <w:sz w:val="16"/>
              </w:rPr>
              <w:t xml:space="preserve"> · </w:t>
            </w:r>
            <w:r>
              <w:rPr>
                <w:sz w:val="16"/>
                <w:rtl/>
                <w:rFonts w:cs="Arial"/>
                <w:szCs w:val="16"/>
              </w:rPr>
              <w:t>‫هذا الشهر‬</w:t>
            </w:r>
            <w:r>
              <w:rPr>
                <w:sz w:val="16"/>
              </w:rPr>
              <w:t xml:space="preserve"> · </w:t>
            </w:r>
            <w:r>
              <w:rPr>
                <w:sz w:val="16"/>
                <w:rtl/>
                <w:rFonts w:cs="Arial"/>
                <w:szCs w:val="16"/>
              </w:rPr>
              <w:t>‫الشهر الماضي‬</w:t>
            </w:r>
            <w:r>
              <w:rPr>
                <w:sz w:val="16"/>
              </w:rPr>
              <w:t xml:space="preserve"> · </w:t>
            </w:r>
            <w:r>
              <w:rPr>
                <w:sz w:val="16"/>
                <w:rtl/>
                <w:rFonts w:cs="Arial"/>
                <w:szCs w:val="16"/>
              </w:rPr>
              <w:t>‫آخر 3 أشهر‬</w:t>
            </w:r>
            <w:r>
              <w:rPr>
                <w:sz w:val="16"/>
              </w:rPr>
              <w:t xml:space="preserve"> · </w:t>
            </w:r>
            <w:r>
              <w:rPr>
                <w:sz w:val="16"/>
                <w:rtl/>
                <w:rFonts w:cs="Arial"/>
                <w:szCs w:val="16"/>
              </w:rPr>
              <w:t>‫كل البيانات‬</w:t>
            </w:r>
            <w:r>
              <w:rPr>
                <w:sz w:val="16"/>
              </w:rPr>
              <w:t xml:space="preserve">. Missing: </w:t>
            </w:r>
            <w:r>
              <w:rPr>
                <w:b/>
                <w:sz w:val="16"/>
                <w:rtl/>
                <w:rFonts w:cs="Arial"/>
                <w:szCs w:val="16"/>
                <w:bCs/>
              </w:rPr>
              <w:t>‫اليوم‬</w:t>
            </w:r>
            <w:r>
              <w:rPr>
                <w:sz w:val="16"/>
              </w:rPr>
              <w:t xml:space="preserve">, </w:t>
            </w:r>
            <w:r>
              <w:rPr>
                <w:b/>
                <w:sz w:val="16"/>
                <w:rtl/>
                <w:rFonts w:cs="Arial"/>
                <w:szCs w:val="16"/>
                <w:bCs/>
              </w:rPr>
              <w:t>‫آخر ربع مكتمل / الربع الحالي حتى اليوم‬</w:t>
            </w:r>
            <w:r>
              <w:rPr>
                <w:sz w:val="16"/>
              </w:rPr>
              <w:t xml:space="preserve">, </w:t>
            </w:r>
            <w:r>
              <w:rPr>
                <w:b/>
                <w:sz w:val="16"/>
                <w:rtl/>
                <w:rFonts w:cs="Arial"/>
                <w:szCs w:val="16"/>
                <w:bCs/>
              </w:rPr>
              <w:t>‫آخر 12 شهراً‬</w:t>
            </w:r>
            <w:r>
              <w:rPr>
                <w:sz w:val="16"/>
              </w:rPr>
              <w:t xml:space="preserve">. </w:t>
            </w:r>
            <w:r>
              <w:rPr>
                <w:sz w:val="16"/>
                <w:rtl/>
                <w:rFonts w:cs="Arial"/>
                <w:szCs w:val="16"/>
              </w:rPr>
              <w:t>‫«هذا الشهر»‬</w:t>
            </w:r>
            <w:r>
              <w:rPr>
                <w:sz w:val="16"/>
              </w:rPr>
              <w:t xml:space="preserve"> is really </w:t>
            </w:r>
            <w:r>
              <w:rPr>
                <w:i/>
                <w:sz w:val="16"/>
              </w:rPr>
              <w:t>month-to-date</w:t>
            </w:r>
            <w:r>
              <w:rPr>
                <w:sz w:val="16"/>
              </w:rPr>
              <w:t xml:space="preserve"> and the label does not say so; the Smart panel has only two presets (</w:t>
            </w:r>
            <w:r>
              <w:rPr>
                <w:rFonts w:ascii="Consolas" w:hAnsi="Consolas" w:cs="Consolas"/>
                <w:color w:val="B42318"/>
                <w:sz w:val="15"/>
              </w:rPr>
              <w:t>SmartReports.jsx:48-49</w:t>
            </w:r>
            <w:r>
              <w:rPr>
                <w:sz w:val="16"/>
              </w:rPr>
              <w:t>); the AI understands months/quarters that no control offers.</w:t>
            </w:r>
          </w:p>
        </w:tc>
        <w:tc>
          <w:tcPr>
            <w:tcW w:type="dxa" w:w="3188"/>
            <w:shd w:val="clear" w:color="auto" w:fill="F9FAFB"/>
          </w:tcPr>
          <w:p>
            <w:pPr>
              <w:spacing w:after="0" w:line="252" w:lineRule="auto"/>
            </w:pPr>
            <w:r>
              <w:rPr>
                <w:sz w:val="16"/>
              </w:rPr>
              <w:t>Verified (UI/code)</w:t>
            </w:r>
          </w:p>
        </w:tc>
        <w:tc>
          <w:tcPr>
            <w:tcW w:type="dxa" w:w="3173"/>
            <w:shd w:val="clear" w:color="auto" w:fill="F9FAFB"/>
          </w:tcPr>
          <w:p>
            <w:pPr>
              <w:spacing w:after="0" w:line="252" w:lineRule="auto"/>
            </w:pPr>
            <w:r>
              <w:rPr>
                <w:sz w:val="16"/>
              </w:rPr>
              <w:t>presets defined in three places (</w:t>
            </w:r>
            <w:r>
              <w:rPr>
                <w:rFonts w:ascii="Consolas" w:hAnsi="Consolas" w:cs="Consolas"/>
                <w:color w:val="B42318"/>
                <w:sz w:val="15"/>
              </w:rPr>
              <w:t>RevenueContext.jsx:16</w:t>
            </w:r>
            <w:r>
              <w:rPr>
                <w:sz w:val="16"/>
              </w:rPr>
              <w:t xml:space="preserve">, </w:t>
            </w:r>
            <w:r>
              <w:rPr>
                <w:rFonts w:ascii="Consolas" w:hAnsi="Consolas" w:cs="Consolas"/>
                <w:color w:val="B42318"/>
                <w:sz w:val="15"/>
              </w:rPr>
              <w:t>ScopeBar</w:t>
            </w:r>
            <w:r>
              <w:rPr>
                <w:sz w:val="16"/>
              </w:rPr>
              <w:t xml:space="preserve">, </w:t>
            </w:r>
            <w:r>
              <w:rPr>
                <w:rFonts w:ascii="Consolas" w:hAnsi="Consolas" w:cs="Consolas"/>
                <w:color w:val="B42318"/>
                <w:sz w:val="15"/>
              </w:rPr>
              <w:t>SmartReports</w:t>
            </w:r>
            <w:r>
              <w:rPr>
                <w:sz w:val="16"/>
              </w:rPr>
              <w:t>).</w:t>
            </w:r>
          </w:p>
        </w:tc>
        <w:tc>
          <w:tcPr>
            <w:tcW w:type="dxa" w:w="3188"/>
            <w:shd w:val="clear" w:color="auto" w:fill="F9FAFB"/>
          </w:tcPr>
          <w:p>
            <w:pPr>
              <w:spacing w:after="0" w:line="252" w:lineRule="auto"/>
            </w:pPr>
            <w:r>
              <w:rPr>
                <w:sz w:val="16"/>
              </w:rPr>
              <w:t>One preset registry (12.2) used by the control, the chips, the AI interpreter and the exports.</w:t>
            </w:r>
          </w:p>
        </w:tc>
      </w:tr>
      <w:tr>
        <w:trPr>
          <w:cantSplit/>
        </w:trPr>
        <w:tc>
          <w:tcPr>
            <w:tcW w:type="dxa" w:w="1143"/>
          </w:tcPr>
          <w:p>
            <w:pPr>
              <w:spacing w:after="0" w:line="252" w:lineRule="auto"/>
            </w:pPr>
            <w:r>
              <w:rPr>
                <w:b/>
                <w:sz w:val="16"/>
              </w:rPr>
              <w:t>D-09</w:t>
            </w:r>
          </w:p>
        </w:tc>
        <w:tc>
          <w:tcPr>
            <w:tcW w:type="dxa" w:w="1143"/>
          </w:tcPr>
          <w:p>
            <w:pPr>
              <w:spacing w:after="0" w:line="252" w:lineRule="auto"/>
            </w:pPr>
            <w:r>
              <w:rPr>
                <w:sz w:val="16"/>
              </w:rPr>
              <w:t>P1</w:t>
            </w:r>
          </w:p>
        </w:tc>
        <w:tc>
          <w:tcPr>
            <w:tcW w:type="dxa" w:w="3188"/>
          </w:tcPr>
          <w:p>
            <w:pPr>
              <w:spacing w:after="0" w:line="252" w:lineRule="auto"/>
            </w:pPr>
            <w:r>
              <w:rPr>
                <w:b/>
                <w:sz w:val="16"/>
              </w:rPr>
              <w:t>No clear active-filter state or reset.</w:t>
            </w:r>
            <w:r>
              <w:rPr>
                <w:sz w:val="16"/>
              </w:rPr>
              <w:t xml:space="preserve"> Chips show values but there is no "filters changed from default" count, no removable chips and no </w:t>
            </w:r>
            <w:r>
              <w:rPr>
                <w:sz w:val="16"/>
                <w:rtl/>
                <w:rFonts w:cs="Arial"/>
                <w:szCs w:val="16"/>
              </w:rPr>
              <w:t>‫«إعادة الضبط»‬</w:t>
            </w:r>
            <w:r>
              <w:rPr>
                <w:sz w:val="16"/>
              </w:rPr>
              <w:t>; the empty state gives advice but no reset button; resetting means re-selecting each dropdown. Filters persist for the tab session (</w:t>
            </w:r>
            <w:r>
              <w:rPr>
                <w:rFonts w:ascii="Consolas" w:hAnsi="Consolas" w:cs="Consolas"/>
                <w:color w:val="B42318"/>
                <w:sz w:val="15"/>
              </w:rPr>
              <w:t>sessionStorage</w:t>
            </w:r>
            <w:r>
              <w:rPr>
                <w:sz w:val="16"/>
              </w:rPr>
              <w:t>) and are shared by all pages, but nothing says so; Smart conversations keep their own scope.</w:t>
            </w:r>
          </w:p>
        </w:tc>
        <w:tc>
          <w:tcPr>
            <w:tcW w:type="dxa" w:w="3188"/>
          </w:tcPr>
          <w:p>
            <w:pPr>
              <w:spacing w:after="0" w:line="252" w:lineRule="auto"/>
            </w:pPr>
            <w:r>
              <w:rPr>
                <w:sz w:val="16"/>
              </w:rPr>
              <w:t>Verified (UI/code)</w:t>
            </w:r>
          </w:p>
        </w:tc>
        <w:tc>
          <w:tcPr>
            <w:tcW w:type="dxa" w:w="3173"/>
          </w:tcPr>
          <w:p>
            <w:pPr>
              <w:spacing w:after="0" w:line="252" w:lineRule="auto"/>
            </w:pPr>
            <w:r>
              <w:rPr>
                <w:rFonts w:ascii="Consolas" w:hAnsi="Consolas" w:cs="Consolas"/>
                <w:color w:val="B42318"/>
                <w:sz w:val="15"/>
              </w:rPr>
              <w:t>FilterChips.jsx</w:t>
            </w:r>
            <w:r>
              <w:rPr>
                <w:sz w:val="16"/>
              </w:rPr>
              <w:t xml:space="preserve"> (no reset), </w:t>
            </w:r>
            <w:r>
              <w:rPr>
                <w:rFonts w:ascii="Consolas" w:hAnsi="Consolas" w:cs="Consolas"/>
                <w:color w:val="B42318"/>
                <w:sz w:val="15"/>
              </w:rPr>
              <w:t>RevenueContext.jsx:43</w:t>
            </w:r>
            <w:r>
              <w:rPr>
                <w:sz w:val="16"/>
              </w:rPr>
              <w:t>.</w:t>
            </w:r>
          </w:p>
        </w:tc>
        <w:tc>
          <w:tcPr>
            <w:tcW w:type="dxa" w:w="3188"/>
          </w:tcPr>
          <w:p>
            <w:pPr>
              <w:spacing w:after="0" w:line="252" w:lineRule="auto"/>
            </w:pPr>
            <w:r>
              <w:rPr>
                <w:sz w:val="16"/>
              </w:rPr>
              <w:t xml:space="preserve">Show </w:t>
            </w:r>
            <w:r>
              <w:rPr>
                <w:sz w:val="16"/>
                <w:rtl/>
                <w:rFonts w:cs="Arial"/>
                <w:szCs w:val="16"/>
              </w:rPr>
              <w:t>‫«مرشحات مفعّلة (n)»‬</w:t>
            </w:r>
            <w:r>
              <w:rPr>
                <w:sz w:val="16"/>
              </w:rPr>
              <w:t xml:space="preserve"> + removable chips + one </w:t>
            </w:r>
            <w:r>
              <w:rPr>
                <w:sz w:val="16"/>
                <w:rtl/>
                <w:rFonts w:cs="Arial"/>
                <w:szCs w:val="16"/>
              </w:rPr>
              <w:t>‫«إعادة ضبط»‬</w:t>
            </w:r>
            <w:r>
              <w:rPr>
                <w:sz w:val="16"/>
              </w:rPr>
              <w:t xml:space="preserve"> everywhere; state persistence (</w:t>
            </w:r>
            <w:r>
              <w:rPr>
                <w:sz w:val="16"/>
                <w:rtl/>
                <w:rFonts w:cs="Arial"/>
                <w:szCs w:val="16"/>
              </w:rPr>
              <w:t>‫«تُحفظ لهذه الجلسة»‬</w:t>
            </w:r>
            <w:r>
              <w:rPr>
                <w:sz w:val="16"/>
              </w:rPr>
              <w:t>).</w:t>
            </w:r>
          </w:p>
        </w:tc>
      </w:tr>
      <w:tr>
        <w:trPr>
          <w:cantSplit/>
        </w:trPr>
        <w:tc>
          <w:tcPr>
            <w:tcW w:type="dxa" w:w="1143"/>
            <w:shd w:val="clear" w:color="auto" w:fill="F9FAFB"/>
          </w:tcPr>
          <w:p>
            <w:pPr>
              <w:spacing w:after="0" w:line="252" w:lineRule="auto"/>
            </w:pPr>
            <w:r>
              <w:rPr>
                <w:b/>
                <w:sz w:val="16"/>
              </w:rPr>
              <w:t>D-10</w:t>
            </w:r>
          </w:p>
        </w:tc>
        <w:tc>
          <w:tcPr>
            <w:tcW w:type="dxa" w:w="1143"/>
            <w:shd w:val="clear" w:color="auto" w:fill="F9FAFB"/>
          </w:tcPr>
          <w:p>
            <w:pPr>
              <w:spacing w:after="0" w:line="252" w:lineRule="auto"/>
            </w:pPr>
            <w:r>
              <w:rPr>
                <w:sz w:val="16"/>
              </w:rPr>
              <w:t>P2</w:t>
            </w:r>
          </w:p>
        </w:tc>
        <w:tc>
          <w:tcPr>
            <w:tcW w:type="dxa" w:w="3188"/>
            <w:shd w:val="clear" w:color="auto" w:fill="F9FAFB"/>
          </w:tcPr>
          <w:p>
            <w:pPr>
              <w:spacing w:after="0" w:line="252" w:lineRule="auto"/>
            </w:pPr>
            <w:r>
              <w:rPr>
                <w:b/>
                <w:sz w:val="16"/>
              </w:rPr>
              <w:t>Date format.</w:t>
            </w:r>
            <w:r>
              <w:rPr>
                <w:sz w:val="16"/>
              </w:rPr>
              <w:t xml:space="preserve"> Dates are ISO strings («2026-01-01 → 2026-10-09») in chips, reports and tables; months in tables are «2026-01»; the arrow «→» between dates reverses visually in RTL; the native </w:t>
            </w:r>
            <w:r>
              <w:rPr>
                <w:rFonts w:ascii="Consolas" w:hAnsi="Consolas" w:cs="Consolas"/>
                <w:color w:val="B42318"/>
                <w:sz w:val="15"/>
              </w:rPr>
              <w:t>&lt;input type=date&gt;</w:t>
            </w:r>
            <w:r>
              <w:rPr>
                <w:sz w:val="16"/>
              </w:rPr>
              <w:t xml:space="preserve"> shows the browser/OS format with no on-screen hint; page </w:t>
            </w:r>
            <w:r>
              <w:rPr>
                <w:rFonts w:ascii="Consolas" w:hAnsi="Consolas" w:cs="Consolas"/>
                <w:color w:val="B42318"/>
                <w:sz w:val="15"/>
              </w:rPr>
              <w:t>lang="ar"</w:t>
            </w:r>
            <w:r>
              <w:rPr>
                <w:sz w:val="16"/>
              </w:rPr>
              <w:t xml:space="preserve">, </w:t>
            </w:r>
            <w:r>
              <w:rPr>
                <w:rFonts w:ascii="Consolas" w:hAnsi="Consolas" w:cs="Consolas"/>
                <w:color w:val="B42318"/>
                <w:sz w:val="15"/>
              </w:rPr>
              <w:t>dir="rtl"</w:t>
            </w:r>
            <w:r>
              <w:rPr>
                <w:sz w:val="16"/>
              </w:rPr>
              <w:t xml:space="preserve"> are set correctly. The presentation of digits (Western vs Arabic-Indic) and of Hijri dates (Umm al-Qura is the official civil calendar of Saudi Arabia per secondary sources) is undecided.</w:t>
            </w:r>
          </w:p>
        </w:tc>
        <w:tc>
          <w:tcPr>
            <w:tcW w:type="dxa" w:w="3188"/>
            <w:shd w:val="clear" w:color="auto" w:fill="F9FAFB"/>
          </w:tcPr>
          <w:p>
            <w:pPr>
              <w:spacing w:after="0" w:line="252" w:lineRule="auto"/>
            </w:pPr>
            <w:r>
              <w:rPr>
                <w:sz w:val="16"/>
              </w:rPr>
              <w:t>Verified (UI/code); native control rendering not verified visually</w:t>
            </w:r>
          </w:p>
        </w:tc>
        <w:tc>
          <w:tcPr>
            <w:tcW w:type="dxa" w:w="3173"/>
            <w:shd w:val="clear" w:color="auto" w:fill="F9FAFB"/>
          </w:tcPr>
          <w:p>
            <w:pPr>
              <w:spacing w:after="0" w:line="252" w:lineRule="auto"/>
            </w:pPr>
            <w:r>
              <w:rPr>
                <w:sz w:val="16"/>
              </w:rPr>
              <w:t>no date formatter.</w:t>
            </w:r>
          </w:p>
        </w:tc>
        <w:tc>
          <w:tcPr>
            <w:tcW w:type="dxa" w:w="3188"/>
            <w:shd w:val="clear" w:color="auto" w:fill="F9FAFB"/>
          </w:tcPr>
          <w:p>
            <w:pPr>
              <w:spacing w:after="0" w:line="252" w:lineRule="auto"/>
            </w:pPr>
            <w:r>
              <w:rPr>
                <w:sz w:val="16"/>
              </w:rPr>
              <w:t xml:space="preserve">One formatter: </w:t>
            </w:r>
            <w:r>
              <w:rPr>
                <w:sz w:val="16"/>
                <w:rtl/>
                <w:rFonts w:cs="Arial"/>
                <w:szCs w:val="16"/>
              </w:rPr>
              <w:t>‫«9 أكتوبر 2026»‬</w:t>
            </w:r>
            <w:r>
              <w:rPr>
                <w:sz w:val="16"/>
              </w:rPr>
              <w:t xml:space="preserve"> (Gregorian) with optional Hijri in a tooltip; ranges as </w:t>
            </w:r>
            <w:r>
              <w:rPr>
                <w:sz w:val="16"/>
                <w:rtl/>
                <w:rFonts w:cs="Arial"/>
                <w:szCs w:val="16"/>
              </w:rPr>
              <w:t>‫«1 يناير – 9 أكتوبر 2026»‬</w:t>
            </w:r>
            <w:r>
              <w:rPr>
                <w:sz w:val="16"/>
              </w:rPr>
              <w:t xml:space="preserve">; keep ISO in exports/URLs. Wrap embedded numbers/dates in </w:t>
            </w:r>
            <w:r>
              <w:rPr>
                <w:rFonts w:ascii="Consolas" w:hAnsi="Consolas" w:cs="Consolas"/>
                <w:color w:val="B42318"/>
                <w:sz w:val="15"/>
              </w:rPr>
              <w:t>bdi</w:t>
            </w:r>
            <w:r>
              <w:rPr>
                <w:sz w:val="16"/>
              </w:rPr>
              <w:t xml:space="preserve"> (W3C). See Q12–Q13.</w:t>
            </w:r>
          </w:p>
        </w:tc>
      </w:tr>
      <w:tr>
        <w:trPr>
          <w:cantSplit/>
        </w:trPr>
        <w:tc>
          <w:tcPr>
            <w:tcW w:type="dxa" w:w="1143"/>
          </w:tcPr>
          <w:p>
            <w:pPr>
              <w:spacing w:after="0" w:line="252" w:lineRule="auto"/>
            </w:pPr>
            <w:r>
              <w:rPr>
                <w:b/>
                <w:sz w:val="16"/>
              </w:rPr>
              <w:t>D-11</w:t>
            </w:r>
          </w:p>
        </w:tc>
        <w:tc>
          <w:tcPr>
            <w:tcW w:type="dxa" w:w="1143"/>
          </w:tcPr>
          <w:p>
            <w:pPr>
              <w:spacing w:after="0" w:line="252" w:lineRule="auto"/>
            </w:pPr>
            <w:r>
              <w:rPr>
                <w:sz w:val="16"/>
              </w:rPr>
              <w:t>P1</w:t>
            </w:r>
          </w:p>
        </w:tc>
        <w:tc>
          <w:tcPr>
            <w:tcW w:type="dxa" w:w="3188"/>
          </w:tcPr>
          <w:p>
            <w:pPr>
              <w:spacing w:after="0" w:line="252" w:lineRule="auto"/>
            </w:pPr>
            <w:r>
              <w:rPr>
                <w:b/>
                <w:sz w:val="16"/>
              </w:rPr>
              <w:t>Issue, due, payment and as-of dates are not distinguished in the UI.</w:t>
            </w:r>
            <w:r>
              <w:rPr>
                <w:sz w:val="16"/>
              </w:rPr>
              <w:t xml:space="preserve"> The invoice ledger has one date column, </w:t>
            </w:r>
            <w:r>
              <w:rPr>
                <w:sz w:val="16"/>
                <w:rtl/>
                <w:rFonts w:cs="Arial"/>
                <w:szCs w:val="16"/>
              </w:rPr>
              <w:t>‫«التاريخ»‬</w:t>
            </w:r>
            <w:r>
              <w:rPr>
                <w:sz w:val="16"/>
              </w:rPr>
              <w:t xml:space="preserve">, plus </w:t>
            </w:r>
            <w:r>
              <w:rPr>
                <w:sz w:val="16"/>
                <w:rtl/>
                <w:rFonts w:cs="Arial"/>
                <w:szCs w:val="16"/>
              </w:rPr>
              <w:t>‫«أيام التأخر»‬</w:t>
            </w:r>
            <w:r>
              <w:rPr>
                <w:sz w:val="16"/>
              </w:rPr>
              <w:t xml:space="preserve">; the period filter selects by </w:t>
            </w:r>
            <w:r>
              <w:rPr>
                <w:b/>
                <w:sz w:val="16"/>
              </w:rPr>
              <w:t>issue date</w:t>
            </w:r>
            <w:r>
              <w:rPr>
                <w:sz w:val="16"/>
              </w:rPr>
              <w:t xml:space="preserve"> but the page never says so; </w:t>
            </w:r>
            <w:r>
              <w:rPr>
                <w:sz w:val="16"/>
                <w:rtl/>
                <w:rFonts w:cs="Arial"/>
                <w:szCs w:val="16"/>
              </w:rPr>
              <w:t>‫«أيام التأخر»‬</w:t>
            </w:r>
            <w:r>
              <w:rPr>
                <w:sz w:val="16"/>
              </w:rPr>
              <w:t xml:space="preserve"> is "—" for not-yet-due invoices with no due date shown; aging says </w:t>
            </w:r>
            <w:r>
              <w:rPr>
                <w:sz w:val="16"/>
                <w:rtl/>
                <w:rFonts w:cs="Arial"/>
                <w:szCs w:val="16"/>
              </w:rPr>
              <w:t>‫«العمر بعد الاستحقاق»‬</w:t>
            </w:r>
            <w:r>
              <w:rPr>
                <w:sz w:val="16"/>
              </w:rPr>
              <w:t xml:space="preserve"> (due-date based) while the Dashboard trend says </w:t>
            </w:r>
            <w:r>
              <w:rPr>
                <w:sz w:val="16"/>
                <w:rtl/>
                <w:rFonts w:cs="Arial"/>
                <w:szCs w:val="16"/>
              </w:rPr>
              <w:t>‫«شهر الإصدار»‬</w:t>
            </w:r>
            <w:r>
              <w:rPr>
                <w:sz w:val="16"/>
              </w:rPr>
              <w:t xml:space="preserve">. The basis exists in </w:t>
            </w:r>
            <w:r>
              <w:rPr>
                <w:rFonts w:ascii="Consolas" w:hAnsi="Consolas" w:cs="Consolas"/>
                <w:color w:val="B42318"/>
                <w:sz w:val="15"/>
              </w:rPr>
              <w:t>snapshot.basis</w:t>
            </w:r>
            <w:r>
              <w:rPr>
                <w:sz w:val="16"/>
              </w:rPr>
              <w:t xml:space="preserve"> and the "?" panel but not where users read figures.</w:t>
            </w:r>
          </w:p>
        </w:tc>
        <w:tc>
          <w:tcPr>
            <w:tcW w:type="dxa" w:w="3188"/>
          </w:tcPr>
          <w:p>
            <w:pPr>
              <w:spacing w:after="0" w:line="252" w:lineRule="auto"/>
            </w:pPr>
            <w:r>
              <w:rPr>
                <w:sz w:val="16"/>
              </w:rPr>
              <w:t>Verified (UI)</w:t>
            </w:r>
          </w:p>
        </w:tc>
        <w:tc>
          <w:tcPr>
            <w:tcW w:type="dxa" w:w="3173"/>
          </w:tcPr>
          <w:p>
            <w:pPr>
              <w:spacing w:after="0" w:line="252" w:lineRule="auto"/>
            </w:pPr>
            <w:r>
              <w:rPr>
                <w:sz w:val="16"/>
              </w:rPr>
              <w:t>one generic label.</w:t>
            </w:r>
          </w:p>
        </w:tc>
        <w:tc>
          <w:tcPr>
            <w:tcW w:type="dxa" w:w="3188"/>
          </w:tcPr>
          <w:p>
            <w:pPr>
              <w:spacing w:after="0" w:line="252" w:lineRule="auto"/>
            </w:pPr>
            <w:r>
              <w:rPr>
                <w:sz w:val="16"/>
              </w:rPr>
              <w:t>Name every date column (</w:t>
            </w:r>
            <w:r>
              <w:rPr>
                <w:sz w:val="16"/>
                <w:rtl/>
                <w:rFonts w:cs="Arial"/>
                <w:szCs w:val="16"/>
              </w:rPr>
              <w:t>‫«تاريخ الإصدار»‬</w:t>
            </w:r>
            <w:r>
              <w:rPr>
                <w:sz w:val="16"/>
              </w:rPr>
              <w:t xml:space="preserve">, </w:t>
            </w:r>
            <w:r>
              <w:rPr>
                <w:sz w:val="16"/>
                <w:rtl/>
                <w:rFonts w:cs="Arial"/>
                <w:szCs w:val="16"/>
              </w:rPr>
              <w:t>‫«تاريخ الاستحقاق»‬</w:t>
            </w:r>
            <w:r>
              <w:rPr>
                <w:sz w:val="16"/>
              </w:rPr>
              <w:t xml:space="preserve">, </w:t>
            </w:r>
            <w:r>
              <w:rPr>
                <w:sz w:val="16"/>
                <w:rtl/>
                <w:rFonts w:cs="Arial"/>
                <w:szCs w:val="16"/>
              </w:rPr>
              <w:t>‫«تاريخ السداد»‬</w:t>
            </w:r>
            <w:r>
              <w:rPr>
                <w:sz w:val="16"/>
              </w:rPr>
              <w:t xml:space="preserve">); add a </w:t>
            </w:r>
            <w:r>
              <w:rPr>
                <w:sz w:val="16"/>
                <w:rtl/>
                <w:rFonts w:cs="Arial"/>
                <w:szCs w:val="16"/>
              </w:rPr>
              <w:t>‫«الفترة حسب: تاريخ الإصدار»‬</w:t>
            </w:r>
            <w:r>
              <w:rPr>
                <w:sz w:val="16"/>
              </w:rPr>
              <w:t xml:space="preserve"> line to the period control; see 12.3.</w:t>
            </w:r>
          </w:p>
        </w:tc>
      </w:tr>
      <w:tr>
        <w:trPr>
          <w:cantSplit/>
        </w:trPr>
        <w:tc>
          <w:tcPr>
            <w:tcW w:type="dxa" w:w="1143"/>
            <w:shd w:val="clear" w:color="auto" w:fill="F9FAFB"/>
          </w:tcPr>
          <w:p>
            <w:pPr>
              <w:spacing w:after="0" w:line="252" w:lineRule="auto"/>
            </w:pPr>
            <w:r>
              <w:rPr>
                <w:b/>
                <w:sz w:val="16"/>
              </w:rPr>
              <w:t>D-12</w:t>
            </w:r>
          </w:p>
        </w:tc>
        <w:tc>
          <w:tcPr>
            <w:tcW w:type="dxa" w:w="1143"/>
            <w:shd w:val="clear" w:color="auto" w:fill="F9FAFB"/>
          </w:tcPr>
          <w:p>
            <w:pPr>
              <w:spacing w:after="0" w:line="252" w:lineRule="auto"/>
            </w:pPr>
            <w:r>
              <w:rPr>
                <w:sz w:val="16"/>
              </w:rPr>
              <w:t>P2</w:t>
            </w:r>
          </w:p>
        </w:tc>
        <w:tc>
          <w:tcPr>
            <w:tcW w:type="dxa" w:w="3188"/>
            <w:shd w:val="clear" w:color="auto" w:fill="F9FAFB"/>
          </w:tcPr>
          <w:p>
            <w:pPr>
              <w:spacing w:after="0" w:line="252" w:lineRule="auto"/>
            </w:pPr>
            <w:r>
              <w:rPr>
                <w:b/>
                <w:sz w:val="16"/>
              </w:rPr>
              <w:t>Month-boundary and day-rollover.</w:t>
            </w:r>
            <w:r>
              <w:rPr>
                <w:sz w:val="16"/>
              </w:rPr>
              <w:t xml:space="preserve"> </w:t>
            </w:r>
            <w:r>
              <w:rPr>
                <w:rFonts w:ascii="Consolas" w:hAnsi="Consolas" w:cs="Consolas"/>
                <w:color w:val="B42318"/>
                <w:sz w:val="15"/>
              </w:rPr>
              <w:t>DEMO_TODAY</w:t>
            </w:r>
            <w:r>
              <w:rPr>
                <w:sz w:val="16"/>
              </w:rPr>
              <w:t xml:space="preserve"> is evaluated once at page load (</w:t>
            </w:r>
            <w:r>
              <w:rPr>
                <w:rFonts w:ascii="Consolas" w:hAnsi="Consolas" w:cs="Consolas"/>
                <w:color w:val="B42318"/>
                <w:sz w:val="15"/>
              </w:rPr>
              <w:t>clock.js:30</w:t>
            </w:r>
            <w:r>
              <w:rPr>
                <w:sz w:val="16"/>
              </w:rPr>
              <w:t>), so a tab left open past midnight keeps yesterday's "today"; stored presets re-anchor only on reload. Custom ranges stay fixed (correct). Time zone: the client and the server both use Asia/Riyadh (</w:t>
            </w:r>
            <w:r>
              <w:rPr>
                <w:rFonts w:ascii="Consolas" w:hAnsi="Consolas" w:cs="Consolas"/>
                <w:color w:val="B42318"/>
                <w:sz w:val="15"/>
              </w:rPr>
              <w:t>server/store.js</w:t>
            </w:r>
            <w:r>
              <w:rPr>
                <w:sz w:val="16"/>
              </w:rPr>
              <w:t xml:space="preserve">, </w:t>
            </w:r>
            <w:r>
              <w:rPr>
                <w:rFonts w:ascii="Consolas" w:hAnsi="Consolas" w:cs="Consolas"/>
                <w:color w:val="B42318"/>
                <w:sz w:val="15"/>
              </w:rPr>
              <w:t>engine.js</w:t>
            </w:r>
            <w:r>
              <w:rPr>
                <w:sz w:val="16"/>
              </w:rPr>
              <w:t xml:space="preserve"> </w:t>
            </w:r>
            <w:r>
              <w:rPr>
                <w:rFonts w:ascii="Consolas" w:hAnsi="Consolas" w:cs="Consolas"/>
                <w:color w:val="B42318"/>
                <w:sz w:val="15"/>
              </w:rPr>
              <w:t>timezone</w:t>
            </w:r>
            <w:r>
              <w:rPr>
                <w:sz w:val="16"/>
              </w:rPr>
              <w:t xml:space="preserve">) — </w:t>
            </w:r>
            <w:r>
              <w:rPr>
                <w:b/>
                <w:sz w:val="16"/>
              </w:rPr>
              <w:t>verified correct</w:t>
            </w:r>
            <w:r>
              <w:rPr>
                <w:sz w:val="16"/>
              </w:rPr>
              <w:t>.</w:t>
            </w:r>
          </w:p>
        </w:tc>
        <w:tc>
          <w:tcPr>
            <w:tcW w:type="dxa" w:w="3188"/>
            <w:shd w:val="clear" w:color="auto" w:fill="F9FAFB"/>
          </w:tcPr>
          <w:p>
            <w:pPr>
              <w:spacing w:after="0" w:line="252" w:lineRule="auto"/>
            </w:pPr>
            <w:r>
              <w:rPr>
                <w:sz w:val="16"/>
              </w:rPr>
              <w:t>Hypothesis (rollover); Verified (time zone)</w:t>
            </w:r>
          </w:p>
        </w:tc>
        <w:tc>
          <w:tcPr>
            <w:tcW w:type="dxa" w:w="3173"/>
            <w:shd w:val="clear" w:color="auto" w:fill="F9FAFB"/>
          </w:tcPr>
          <w:p>
            <w:pPr>
              <w:spacing w:after="0" w:line="252" w:lineRule="auto"/>
            </w:pPr>
            <w:r>
              <w:rPr>
                <w:sz w:val="16"/>
              </w:rPr>
              <w:t>static module constant.</w:t>
            </w:r>
          </w:p>
        </w:tc>
        <w:tc>
          <w:tcPr>
            <w:tcW w:type="dxa" w:w="3188"/>
            <w:shd w:val="clear" w:color="auto" w:fill="F9FAFB"/>
          </w:tcPr>
          <w:p>
            <w:pPr>
              <w:spacing w:after="0" w:line="252" w:lineRule="auto"/>
            </w:pPr>
            <w:r>
              <w:rPr>
                <w:sz w:val="16"/>
              </w:rPr>
              <w:t xml:space="preserve">Re-evaluate on focus / hourly and show </w:t>
            </w:r>
            <w:r>
              <w:rPr>
                <w:sz w:val="16"/>
                <w:rtl/>
                <w:rFonts w:cs="Arial"/>
                <w:szCs w:val="16"/>
              </w:rPr>
              <w:t>‫«تم تحديث التاريخ»‬</w:t>
            </w:r>
            <w:r>
              <w:rPr>
                <w:sz w:val="16"/>
              </w:rPr>
              <w:t>.</w:t>
            </w:r>
          </w:p>
        </w:tc>
      </w:tr>
      <w:tr>
        <w:trPr>
          <w:cantSplit/>
        </w:trPr>
        <w:tc>
          <w:tcPr>
            <w:tcW w:type="dxa" w:w="1143"/>
          </w:tcPr>
          <w:p>
            <w:pPr>
              <w:spacing w:after="0" w:line="252" w:lineRule="auto"/>
            </w:pPr>
            <w:r>
              <w:rPr>
                <w:b/>
                <w:sz w:val="16"/>
              </w:rPr>
              <w:t>D-13</w:t>
            </w:r>
          </w:p>
        </w:tc>
        <w:tc>
          <w:tcPr>
            <w:tcW w:type="dxa" w:w="1143"/>
          </w:tcPr>
          <w:p>
            <w:pPr>
              <w:spacing w:after="0" w:line="252" w:lineRule="auto"/>
            </w:pPr>
            <w:r>
              <w:rPr>
                <w:sz w:val="16"/>
              </w:rPr>
              <w:t>P2</w:t>
            </w:r>
          </w:p>
        </w:tc>
        <w:tc>
          <w:tcPr>
            <w:tcW w:type="dxa" w:w="3188"/>
          </w:tcPr>
          <w:p>
            <w:pPr>
              <w:spacing w:after="0" w:line="252" w:lineRule="auto"/>
            </w:pPr>
            <w:r>
              <w:rPr>
                <w:b/>
                <w:sz w:val="16"/>
              </w:rPr>
              <w:t>Planning periods.</w:t>
            </w:r>
            <w:r>
              <w:rPr>
                <w:sz w:val="16"/>
              </w:rPr>
              <w:t xml:space="preserve"> The plan period is fixed to the calendar year when the plan is created and cannot be edited in the UI; the planning date is separate and may be in the future (correct separation); the page nevertheless analyses the dashboard filter (F-04). Fiscal year is treated as the calendar year (</w:t>
            </w:r>
            <w:r>
              <w:rPr>
                <w:rFonts w:ascii="Consolas" w:hAnsi="Consolas" w:cs="Consolas"/>
                <w:color w:val="B42318"/>
                <w:sz w:val="15"/>
              </w:rPr>
              <w:t>targets.fiscalYear</w:t>
            </w:r>
            <w:r>
              <w:rPr>
                <w:sz w:val="16"/>
              </w:rPr>
              <w:t xml:space="preserve">, </w:t>
            </w:r>
            <w:r>
              <w:rPr>
                <w:sz w:val="16"/>
                <w:rtl/>
                <w:rFonts w:cs="Arial"/>
                <w:szCs w:val="16"/>
              </w:rPr>
              <w:t>‫«السنة المالية»‬</w:t>
            </w:r>
            <w:r>
              <w:rPr>
                <w:sz w:val="16"/>
              </w:rPr>
              <w:t xml:space="preserve"> parsed as YTD) — correct only if the ministry's fiscal year is the Gregorian calendar year.</w:t>
            </w:r>
          </w:p>
        </w:tc>
        <w:tc>
          <w:tcPr>
            <w:tcW w:type="dxa" w:w="3188"/>
          </w:tcPr>
          <w:p>
            <w:pPr>
              <w:spacing w:after="0" w:line="252" w:lineRule="auto"/>
            </w:pPr>
            <w:r>
              <w:rPr>
                <w:sz w:val="16"/>
              </w:rPr>
              <w:t>Verified (UI/code); fiscal-year assumption needs confirmation (Q14)</w:t>
            </w:r>
          </w:p>
        </w:tc>
        <w:tc>
          <w:tcPr>
            <w:tcW w:type="dxa" w:w="3173"/>
          </w:tcPr>
          <w:p>
            <w:pPr>
              <w:spacing w:after="0" w:line="252" w:lineRule="auto"/>
            </w:pPr>
            <w:r>
              <w:rPr>
                <w:sz w:val="16"/>
              </w:rPr>
              <w:t>–</w:t>
            </w:r>
          </w:p>
        </w:tc>
        <w:tc>
          <w:tcPr>
            <w:tcW w:type="dxa" w:w="3188"/>
          </w:tcPr>
          <w:p>
            <w:pPr>
              <w:spacing w:after="0" w:line="252" w:lineRule="auto"/>
            </w:pPr>
            <w:r>
              <w:rPr>
                <w:sz w:val="16"/>
              </w:rPr>
              <w:t>Editable plan period; one stated fiscal-year definition.</w:t>
            </w:r>
          </w:p>
        </w:tc>
      </w:tr>
      <w:tr>
        <w:trPr>
          <w:cantSplit/>
        </w:trPr>
        <w:tc>
          <w:tcPr>
            <w:tcW w:type="dxa" w:w="1143"/>
            <w:shd w:val="clear" w:color="auto" w:fill="F9FAFB"/>
          </w:tcPr>
          <w:p>
            <w:pPr>
              <w:spacing w:after="0" w:line="252" w:lineRule="auto"/>
            </w:pPr>
            <w:r>
              <w:rPr>
                <w:b/>
                <w:sz w:val="16"/>
              </w:rPr>
              <w:t>D-14</w:t>
            </w:r>
          </w:p>
        </w:tc>
        <w:tc>
          <w:tcPr>
            <w:tcW w:type="dxa" w:w="1143"/>
            <w:shd w:val="clear" w:color="auto" w:fill="F9FAFB"/>
          </w:tcPr>
          <w:p>
            <w:pPr>
              <w:spacing w:after="0" w:line="252" w:lineRule="auto"/>
            </w:pPr>
            <w:r>
              <w:rPr>
                <w:sz w:val="16"/>
              </w:rPr>
              <w:t>P2</w:t>
            </w:r>
          </w:p>
        </w:tc>
        <w:tc>
          <w:tcPr>
            <w:tcW w:type="dxa" w:w="3188"/>
            <w:shd w:val="clear" w:color="auto" w:fill="F9FAFB"/>
          </w:tcPr>
          <w:p>
            <w:pPr>
              <w:spacing w:after="0" w:line="252" w:lineRule="auto"/>
            </w:pPr>
            <w:r>
              <w:rPr>
                <w:b/>
                <w:sz w:val="16"/>
              </w:rPr>
              <w:t>Equivalent elapsed periods.</w:t>
            </w:r>
            <w:r>
              <w:rPr>
                <w:sz w:val="16"/>
              </w:rPr>
              <w:t xml:space="preserve"> Year-over-year comparison uses the same dates one year earlier (correct, e.g. 1 Jan–9 Oct vs 1 Jan–9 Oct 2025); when the prior year starts before the data (&lt; 2025-01-01) it silently switches to "previous period of equal length" and only the delta label changes; leap-day handling exists (</w:t>
            </w:r>
            <w:r>
              <w:rPr>
                <w:rFonts w:ascii="Consolas" w:hAnsi="Consolas" w:cs="Consolas"/>
                <w:color w:val="B42318"/>
                <w:sz w:val="15"/>
              </w:rPr>
              <w:t>shiftYearIso</w:t>
            </w:r>
            <w:r>
              <w:rPr>
                <w:sz w:val="16"/>
              </w:rPr>
              <w:t>).</w:t>
            </w:r>
          </w:p>
        </w:tc>
        <w:tc>
          <w:tcPr>
            <w:tcW w:type="dxa" w:w="3188"/>
            <w:shd w:val="clear" w:color="auto" w:fill="F9FAFB"/>
          </w:tcPr>
          <w:p>
            <w:pPr>
              <w:spacing w:after="0" w:line="252" w:lineRule="auto"/>
            </w:pPr>
            <w:r>
              <w:rPr>
                <w:sz w:val="16"/>
              </w:rPr>
              <w:t>Verified (function output)</w:t>
            </w:r>
          </w:p>
        </w:tc>
        <w:tc>
          <w:tcPr>
            <w:tcW w:type="dxa" w:w="3173"/>
            <w:shd w:val="clear" w:color="auto" w:fill="F9FAFB"/>
          </w:tcPr>
          <w:p>
            <w:pPr>
              <w:spacing w:after="0" w:line="252" w:lineRule="auto"/>
            </w:pPr>
            <w:r>
              <w:rPr>
                <w:sz w:val="16"/>
              </w:rPr>
              <w:t>–</w:t>
            </w:r>
          </w:p>
        </w:tc>
        <w:tc>
          <w:tcPr>
            <w:tcW w:type="dxa" w:w="3188"/>
            <w:shd w:val="clear" w:color="auto" w:fill="F9FAFB"/>
          </w:tcPr>
          <w:p>
            <w:pPr>
              <w:spacing w:after="0" w:line="252" w:lineRule="auto"/>
            </w:pPr>
            <w:r>
              <w:rPr>
                <w:sz w:val="16"/>
              </w:rPr>
              <w:t>State the comparison dates in the delta line (</w:t>
            </w:r>
            <w:r>
              <w:rPr>
                <w:sz w:val="16"/>
                <w:rtl/>
                <w:rFonts w:cs="Arial"/>
                <w:szCs w:val="16"/>
              </w:rPr>
              <w:t>‫«مقابل 1 يناير – 9 أكتوبر 2025»‬</w:t>
            </w:r>
            <w:r>
              <w:rPr>
                <w:sz w:val="16"/>
              </w:rPr>
              <w:t>) and when the basis changes.</w:t>
            </w:r>
          </w:p>
        </w:tc>
      </w:tr>
      <w:tr>
        <w:trPr>
          <w:cantSplit/>
        </w:trPr>
        <w:tc>
          <w:tcPr>
            <w:tcW w:type="dxa" w:w="1143"/>
          </w:tcPr>
          <w:p>
            <w:pPr>
              <w:spacing w:after="0" w:line="252" w:lineRule="auto"/>
            </w:pPr>
            <w:r>
              <w:rPr>
                <w:b/>
                <w:sz w:val="16"/>
              </w:rPr>
              <w:t>D-15</w:t>
            </w:r>
          </w:p>
        </w:tc>
        <w:tc>
          <w:tcPr>
            <w:tcW w:type="dxa" w:w="1143"/>
          </w:tcPr>
          <w:p>
            <w:pPr>
              <w:spacing w:after="0" w:line="252" w:lineRule="auto"/>
            </w:pPr>
            <w:r>
              <w:rPr>
                <w:sz w:val="16"/>
              </w:rPr>
              <w:t>P2</w:t>
            </w:r>
          </w:p>
        </w:tc>
        <w:tc>
          <w:tcPr>
            <w:tcW w:type="dxa" w:w="3188"/>
          </w:tcPr>
          <w:p>
            <w:pPr>
              <w:spacing w:after="0" w:line="252" w:lineRule="auto"/>
            </w:pPr>
            <w:r>
              <w:rPr>
                <w:b/>
                <w:sz w:val="16"/>
              </w:rPr>
              <w:t>Date-picker interaction.</w:t>
            </w:r>
            <w:r>
              <w:rPr>
                <w:sz w:val="16"/>
              </w:rPr>
              <w:t xml:space="preserve"> Two native date inputs plus five presets in one row; no typed-format hint; no calendar-context support (day of week) because the native control is used; no keyboard/label review of the custom range (labels </w:t>
            </w:r>
            <w:r>
              <w:rPr>
                <w:sz w:val="16"/>
                <w:rtl/>
                <w:rFonts w:cs="Arial"/>
                <w:szCs w:val="16"/>
              </w:rPr>
              <w:t>‫«من/إلى»‬</w:t>
            </w:r>
            <w:r>
              <w:rPr>
                <w:sz w:val="16"/>
              </w:rPr>
              <w:t xml:space="preserve"> are </w:t>
            </w:r>
            <w:r>
              <w:rPr>
                <w:rFonts w:ascii="Consolas" w:hAnsi="Consolas" w:cs="Consolas"/>
                <w:color w:val="B42318"/>
                <w:sz w:val="15"/>
              </w:rPr>
              <w:t>aria-label</w:t>
            </w:r>
            <w:r>
              <w:rPr>
                <w:sz w:val="16"/>
              </w:rPr>
              <w:t xml:space="preserve"> only); applies on every change (</w:t>
            </w:r>
            <w:r>
              <w:rPr>
                <w:rFonts w:ascii="Consolas" w:hAnsi="Consolas" w:cs="Consolas"/>
                <w:color w:val="B42318"/>
                <w:sz w:val="15"/>
              </w:rPr>
              <w:t>onChange</w:t>
            </w:r>
            <w:r>
              <w:rPr>
                <w:sz w:val="16"/>
              </w:rPr>
              <w:t xml:space="preserve"> calls </w:t>
            </w:r>
            <w:r>
              <w:rPr>
                <w:rFonts w:ascii="Consolas" w:hAnsi="Consolas" w:cs="Consolas"/>
                <w:color w:val="B42318"/>
                <w:sz w:val="15"/>
              </w:rPr>
              <w:t>setCustomRange</w:t>
            </w:r>
            <w:r>
              <w:rPr>
                <w:sz w:val="16"/>
              </w:rPr>
              <w:t xml:space="preserve"> immediately), so intermediate values while a year is being typed can trigger requests (Hypothesis: browser-dependent; not observed).</w:t>
            </w:r>
          </w:p>
        </w:tc>
        <w:tc>
          <w:tcPr>
            <w:tcW w:type="dxa" w:w="3188"/>
          </w:tcPr>
          <w:p>
            <w:pPr>
              <w:spacing w:after="0" w:line="252" w:lineRule="auto"/>
            </w:pPr>
            <w:r>
              <w:rPr>
                <w:sz w:val="16"/>
              </w:rPr>
              <w:t>Verified (code); keyboard behaviour Not tested</w:t>
            </w:r>
          </w:p>
        </w:tc>
        <w:tc>
          <w:tcPr>
            <w:tcW w:type="dxa" w:w="3173"/>
          </w:tcPr>
          <w:p>
            <w:pPr>
              <w:spacing w:after="0" w:line="252" w:lineRule="auto"/>
            </w:pPr>
            <w:r>
              <w:rPr>
                <w:sz w:val="16"/>
              </w:rPr>
              <w:t>native inputs applied on change.</w:t>
            </w:r>
          </w:p>
        </w:tc>
        <w:tc>
          <w:tcPr>
            <w:tcW w:type="dxa" w:w="3188"/>
          </w:tcPr>
          <w:p>
            <w:pPr>
              <w:spacing w:after="0" w:line="252" w:lineRule="auto"/>
            </w:pPr>
            <w:r>
              <w:rPr>
                <w:sz w:val="16"/>
              </w:rPr>
              <w:t xml:space="preserve">Apply typed ranges on Enter/blur or with an </w:t>
            </w:r>
            <w:r>
              <w:rPr>
                <w:sz w:val="16"/>
                <w:rtl/>
                <w:rFonts w:cs="Arial"/>
                <w:szCs w:val="16"/>
              </w:rPr>
              <w:t>‫«تطبيق»‬</w:t>
            </w:r>
            <w:r>
              <w:rPr>
                <w:sz w:val="16"/>
              </w:rPr>
              <w:t xml:space="preserve"> button; presets apply immediately (see 12.2).</w:t>
            </w:r>
          </w:p>
        </w:tc>
      </w:tr>
    </w:tbl>
    <w:p>
      <w:pPr>
        <w:spacing w:after="40"/>
      </w:pPr>
    </w:p>
    <w:p>
      <w:pPr>
        <w:pStyle w:val="Heading3"/>
      </w:pPr>
      <w:r>
        <w:t>12.2 Recommended period control and exact preset meanings</w:t>
      </w:r>
    </w:p>
    <w:p>
      <w:r>
        <w:rPr>
          <w:b/>
        </w:rPr>
        <w:t>Design (one control, reused by Dashboard, Fixed reports, Planning baseline and the Smart panel):</w:t>
      </w:r>
    </w:p>
    <w:p>
      <w:pPr>
        <w:spacing w:after="0"/>
        <w:ind w:left="283"/>
        <w:shd w:val="clear" w:fill="F3F4F6"/>
      </w:pPr>
      <w:r>
        <w:rPr>
          <w:rFonts w:ascii="Consolas" w:hAnsi="Consolas" w:cs="Consolas"/>
          <w:sz w:val="16"/>
          <w:rtl/>
        </w:rPr>
        <w:t>الفترة:  [ السنة حتى اليوم ▾ ]   من [ 01/01/2026 ]  إلى [ 09/10/2026 ]   [تطبيق]</w:t>
      </w:r>
    </w:p>
    <w:p>
      <w:pPr>
        <w:spacing w:after="0"/>
        <w:ind w:left="283"/>
        <w:shd w:val="clear" w:fill="F3F4F6"/>
      </w:pPr>
      <w:r>
        <w:rPr>
          <w:rFonts w:ascii="Consolas" w:hAnsi="Consolas" w:cs="Consolas"/>
          <w:sz w:val="16"/>
          <w:rtl/>
        </w:rPr>
        <w:t xml:space="preserve">         1 يناير – 9 أكتوبر 2026 (282 يوماً) · البيانات متاحة من 1 يناير 2025</w:t>
      </w:r>
    </w:p>
    <w:p>
      <w:pPr>
        <w:spacing w:after="0"/>
        <w:ind w:left="283"/>
        <w:shd w:val="clear" w:fill="F3F4F6"/>
      </w:pPr>
      <w:r>
        <w:rPr>
          <w:rFonts w:ascii="Consolas" w:hAnsi="Consolas" w:cs="Consolas"/>
          <w:sz w:val="16"/>
          <w:rtl/>
        </w:rPr>
        <w:t xml:space="preserve">         المحصّل حتى:  ( ) اليوم   (•) نهاية الفترة          [إعادة ضبط]   مرشحات مفعّلة (2)</w:t>
      </w:r>
    </w:p>
    <w:p>
      <w:pPr>
        <w:spacing w:after="40"/>
      </w:pPr>
    </w:p>
    <w:p>
      <w:pPr>
        <w:spacing w:after="40"/>
        <w:ind w:left="510" w:hanging="283"/>
      </w:pPr>
      <w:r>
        <w:t xml:space="preserve">•  </w:t>
      </w:r>
      <w:r>
        <w:t xml:space="preserve">A </w:t>
      </w:r>
      <w:r>
        <w:rPr>
          <w:b/>
        </w:rPr>
        <w:t>short preset list</w:t>
      </w:r>
      <w:r>
        <w:t xml:space="preserve"> (7 items, grouped </w:t>
      </w:r>
      <w:r>
        <w:rPr>
          <w:rtl/>
          <w:rFonts w:cs="Arial"/>
        </w:rPr>
        <w:t>‫«حتى اليوم»‬</w:t>
      </w:r>
      <w:r>
        <w:t xml:space="preserve"> / </w:t>
      </w:r>
      <w:r>
        <w:rPr>
          <w:rtl/>
          <w:rFonts w:cs="Arial"/>
        </w:rPr>
        <w:t>‫«فترات مكتملة»‬</w:t>
      </w:r>
      <w:r>
        <w:t xml:space="preserve">), then </w:t>
      </w:r>
      <w:r>
        <w:rPr>
          <w:rtl/>
          <w:rFonts w:cs="Arial"/>
        </w:rPr>
        <w:t>‫«فترة مخصصة»‬</w:t>
      </w:r>
      <w:r>
        <w:t>.</w:t>
      </w:r>
    </w:p>
    <w:p>
      <w:pPr>
        <w:spacing w:after="40"/>
        <w:ind w:left="510" w:hanging="283"/>
      </w:pPr>
      <w:r>
        <w:t xml:space="preserve">•  </w:t>
      </w:r>
      <w:r>
        <w:t xml:space="preserve">Always allow </w:t>
      </w:r>
      <w:r>
        <w:rPr>
          <w:b/>
        </w:rPr>
        <w:t>typing</w:t>
      </w:r>
      <w:r>
        <w:t xml:space="preserve"> the dates, with a visible format hint (example with day &gt; 12 so the order is unmistakable, e.g. </w:t>
      </w:r>
      <w:r>
        <w:rPr>
          <w:rtl/>
          <w:rFonts w:cs="Arial"/>
        </w:rPr>
        <w:t>‫«مثال: 27/03/2026»‬</w:t>
      </w:r>
      <w:r>
        <w:t>), plus an optional calendar popover for context (day of the week); disabled dates outside coverage with an explanation; no auto-submit on partial input.</w:t>
      </w:r>
    </w:p>
    <w:p>
      <w:pPr>
        <w:spacing w:after="40"/>
        <w:ind w:left="510" w:hanging="283"/>
      </w:pPr>
      <w:r>
        <w:t xml:space="preserve">•  </w:t>
      </w:r>
      <w:r>
        <w:rPr>
          <w:b/>
        </w:rPr>
        <w:t>Inline validation</w:t>
      </w:r>
      <w:r>
        <w:t xml:space="preserve"> (start ≤ end, end ≤ today, start ≥ data start) with specific messages; never an empty state for an invalid range.</w:t>
      </w:r>
    </w:p>
    <w:p>
      <w:pPr>
        <w:spacing w:after="40"/>
        <w:ind w:left="510" w:hanging="283"/>
      </w:pPr>
      <w:r>
        <w:t xml:space="preserve">•  </w:t>
      </w:r>
      <w:r>
        <w:rPr>
          <w:b/>
        </w:rPr>
        <w:t>Always show the resolved dates in words</w:t>
      </w:r>
      <w:r>
        <w:t xml:space="preserve"> under the control; the same sentence is the report subtitle and the export header.</w:t>
      </w:r>
    </w:p>
    <w:p>
      <w:pPr>
        <w:spacing w:after="40"/>
        <w:ind w:left="510" w:hanging="283"/>
      </w:pPr>
      <w:r>
        <w:t xml:space="preserve">•  </w:t>
      </w:r>
      <w:r>
        <w:t xml:space="preserve">The control owns </w:t>
      </w:r>
      <w:r>
        <w:rPr>
          <w:b/>
        </w:rPr>
        <w:t>basis</w:t>
      </w:r>
      <w:r>
        <w:t xml:space="preserve"> and </w:t>
      </w:r>
      <w:r>
        <w:rPr>
          <w:b/>
        </w:rPr>
        <w:t>coverage</w:t>
      </w:r>
      <w:r>
        <w:t>, so every figure on the page uses the same ones.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157"/>
        <w:gridCol w:w="5630"/>
        <w:gridCol w:w="5032"/>
        <w:gridCol w:w="2204"/>
      </w:tblGrid>
      <w:tr>
        <w:trPr>
          <w:tblHeader w:val="true"/>
          <w:cantSplit/>
        </w:trPr>
        <w:tc>
          <w:tcPr>
            <w:tcW w:type="dxa" w:w="2157"/>
            <w:shd w:val="clear" w:color="auto" w:fill="1B8354"/>
          </w:tcPr>
          <w:p>
            <w:pPr>
              <w:spacing w:after="0" w:line="252" w:lineRule="auto"/>
            </w:pPr>
            <w:r>
              <w:rPr>
                <w:b/>
                <w:color w:val="FFFFFF"/>
                <w:sz w:val="17"/>
              </w:rPr>
              <w:t>Preset</w:t>
            </w:r>
          </w:p>
        </w:tc>
        <w:tc>
          <w:tcPr>
            <w:tcW w:type="dxa" w:w="5630"/>
            <w:shd w:val="clear" w:color="auto" w:fill="1B8354"/>
          </w:tcPr>
          <w:p>
            <w:pPr>
              <w:spacing w:after="0" w:line="252" w:lineRule="auto"/>
            </w:pPr>
            <w:r>
              <w:rPr>
                <w:b/>
                <w:color w:val="FFFFFF"/>
                <w:sz w:val="17"/>
              </w:rPr>
              <w:t>Exact meaning (today = 9 Oct 2026, Asia/Riyadh)</w:t>
            </w:r>
          </w:p>
        </w:tc>
        <w:tc>
          <w:tcPr>
            <w:tcW w:type="dxa" w:w="5032"/>
            <w:shd w:val="clear" w:color="auto" w:fill="1B8354"/>
          </w:tcPr>
          <w:p>
            <w:pPr>
              <w:spacing w:after="0" w:line="252" w:lineRule="auto"/>
            </w:pPr>
            <w:r>
              <w:rPr>
                <w:b/>
                <w:color w:val="FFFFFF"/>
                <w:sz w:val="17"/>
              </w:rPr>
              <w:t>Comparison used</w:t>
            </w:r>
          </w:p>
        </w:tc>
        <w:tc>
          <w:tcPr>
            <w:tcW w:type="dxa" w:w="2204"/>
            <w:shd w:val="clear" w:color="auto" w:fill="1B8354"/>
          </w:tcPr>
          <w:p>
            <w:pPr>
              <w:spacing w:after="0" w:line="252" w:lineRule="auto"/>
            </w:pPr>
            <w:r>
              <w:rPr>
                <w:b/>
                <w:color w:val="FFFFFF"/>
                <w:sz w:val="17"/>
              </w:rPr>
              <w:t>Notes</w:t>
            </w:r>
          </w:p>
        </w:tc>
      </w:tr>
      <w:tr>
        <w:trPr>
          <w:cantSplit/>
        </w:trPr>
        <w:tc>
          <w:tcPr>
            <w:tcW w:type="dxa" w:w="2157"/>
          </w:tcPr>
          <w:p>
            <w:pPr>
              <w:spacing w:after="0" w:line="252" w:lineRule="auto"/>
            </w:pPr>
            <w:r>
              <w:rPr>
                <w:sz w:val="17"/>
                <w:rtl/>
                <w:rFonts w:cs="Arial"/>
                <w:szCs w:val="17"/>
              </w:rPr>
              <w:t>‫اليوم‬</w:t>
            </w:r>
          </w:p>
        </w:tc>
        <w:tc>
          <w:tcPr>
            <w:tcW w:type="dxa" w:w="5630"/>
          </w:tcPr>
          <w:p>
            <w:pPr>
              <w:spacing w:after="0" w:line="252" w:lineRule="auto"/>
            </w:pPr>
            <w:r>
              <w:rPr>
                <w:sz w:val="17"/>
              </w:rPr>
              <w:t>9 Oct → 9 Oct</w:t>
            </w:r>
          </w:p>
        </w:tc>
        <w:tc>
          <w:tcPr>
            <w:tcW w:type="dxa" w:w="5032"/>
          </w:tcPr>
          <w:p>
            <w:pPr>
              <w:spacing w:after="0" w:line="252" w:lineRule="auto"/>
            </w:pPr>
            <w:r>
              <w:rPr>
                <w:sz w:val="17"/>
              </w:rPr>
              <w:t>same day last year (or hidden if tiny sample)</w:t>
            </w:r>
          </w:p>
        </w:tc>
        <w:tc>
          <w:tcPr>
            <w:tcW w:type="dxa" w:w="2204"/>
          </w:tcPr>
          <w:p>
            <w:pPr>
              <w:spacing w:after="0" w:line="252" w:lineRule="auto"/>
            </w:pPr>
            <w:r>
              <w:rPr>
                <w:sz w:val="17"/>
              </w:rPr>
              <w:t>new</w:t>
            </w:r>
          </w:p>
        </w:tc>
      </w:tr>
      <w:tr>
        <w:trPr>
          <w:cantSplit/>
        </w:trPr>
        <w:tc>
          <w:tcPr>
            <w:tcW w:type="dxa" w:w="2157"/>
            <w:shd w:val="clear" w:color="auto" w:fill="F9FAFB"/>
          </w:tcPr>
          <w:p>
            <w:pPr>
              <w:spacing w:after="0" w:line="252" w:lineRule="auto"/>
            </w:pPr>
            <w:r>
              <w:rPr>
                <w:sz w:val="17"/>
                <w:rtl/>
                <w:rFonts w:cs="Arial"/>
                <w:szCs w:val="17"/>
              </w:rPr>
              <w:t>‫هذا الشهر حتى اليوم‬</w:t>
            </w:r>
          </w:p>
        </w:tc>
        <w:tc>
          <w:tcPr>
            <w:tcW w:type="dxa" w:w="5630"/>
            <w:shd w:val="clear" w:color="auto" w:fill="F9FAFB"/>
          </w:tcPr>
          <w:p>
            <w:pPr>
              <w:spacing w:after="0" w:line="252" w:lineRule="auto"/>
            </w:pPr>
            <w:r>
              <w:rPr>
                <w:sz w:val="17"/>
              </w:rPr>
              <w:t>1 Oct → 9 Oct (MTD)</w:t>
            </w:r>
          </w:p>
        </w:tc>
        <w:tc>
          <w:tcPr>
            <w:tcW w:type="dxa" w:w="5032"/>
            <w:shd w:val="clear" w:color="auto" w:fill="F9FAFB"/>
          </w:tcPr>
          <w:p>
            <w:pPr>
              <w:spacing w:after="0" w:line="252" w:lineRule="auto"/>
            </w:pPr>
            <w:r>
              <w:rPr>
                <w:sz w:val="17"/>
              </w:rPr>
              <w:t>1–9 Oct 2025</w:t>
            </w:r>
          </w:p>
        </w:tc>
        <w:tc>
          <w:tcPr>
            <w:tcW w:type="dxa" w:w="2204"/>
            <w:shd w:val="clear" w:color="auto" w:fill="F9FAFB"/>
          </w:tcPr>
          <w:p>
            <w:pPr>
              <w:spacing w:after="0" w:line="252" w:lineRule="auto"/>
            </w:pPr>
            <w:r>
              <w:rPr>
                <w:sz w:val="17"/>
              </w:rPr>
              <w:t xml:space="preserve">rename of </w:t>
            </w:r>
            <w:r>
              <w:rPr>
                <w:sz w:val="17"/>
                <w:rtl/>
                <w:rFonts w:cs="Arial"/>
                <w:szCs w:val="17"/>
              </w:rPr>
              <w:t>‫«هذا الشهر»‬</w:t>
            </w:r>
          </w:p>
        </w:tc>
      </w:tr>
      <w:tr>
        <w:trPr>
          <w:cantSplit/>
        </w:trPr>
        <w:tc>
          <w:tcPr>
            <w:tcW w:type="dxa" w:w="2157"/>
          </w:tcPr>
          <w:p>
            <w:pPr>
              <w:spacing w:after="0" w:line="252" w:lineRule="auto"/>
            </w:pPr>
            <w:r>
              <w:rPr>
                <w:sz w:val="17"/>
                <w:rtl/>
                <w:rFonts w:cs="Arial"/>
                <w:szCs w:val="17"/>
              </w:rPr>
              <w:t>‫آخر شهر مكتمل‬</w:t>
            </w:r>
          </w:p>
        </w:tc>
        <w:tc>
          <w:tcPr>
            <w:tcW w:type="dxa" w:w="5630"/>
          </w:tcPr>
          <w:p>
            <w:pPr>
              <w:spacing w:after="0" w:line="252" w:lineRule="auto"/>
            </w:pPr>
            <w:r>
              <w:rPr>
                <w:sz w:val="17"/>
              </w:rPr>
              <w:t>1 Sep → 30 Sep</w:t>
            </w:r>
          </w:p>
        </w:tc>
        <w:tc>
          <w:tcPr>
            <w:tcW w:type="dxa" w:w="5032"/>
          </w:tcPr>
          <w:p>
            <w:pPr>
              <w:spacing w:after="0" w:line="252" w:lineRule="auto"/>
            </w:pPr>
            <w:r>
              <w:rPr>
                <w:sz w:val="17"/>
              </w:rPr>
              <w:t>Sep 2025</w:t>
            </w:r>
          </w:p>
        </w:tc>
        <w:tc>
          <w:tcPr>
            <w:tcW w:type="dxa" w:w="2204"/>
          </w:tcPr>
          <w:p>
            <w:pPr>
              <w:spacing w:after="0" w:line="252" w:lineRule="auto"/>
            </w:pPr>
            <w:r>
              <w:rPr>
                <w:sz w:val="17"/>
              </w:rPr>
              <w:t xml:space="preserve">rename of </w:t>
            </w:r>
            <w:r>
              <w:rPr>
                <w:sz w:val="17"/>
                <w:rtl/>
                <w:rFonts w:cs="Arial"/>
                <w:szCs w:val="17"/>
              </w:rPr>
              <w:t>‫«الشهر الماضي»‬</w:t>
            </w:r>
          </w:p>
        </w:tc>
      </w:tr>
      <w:tr>
        <w:trPr>
          <w:cantSplit/>
        </w:trPr>
        <w:tc>
          <w:tcPr>
            <w:tcW w:type="dxa" w:w="2157"/>
            <w:shd w:val="clear" w:color="auto" w:fill="F9FAFB"/>
          </w:tcPr>
          <w:p>
            <w:pPr>
              <w:spacing w:after="0" w:line="252" w:lineRule="auto"/>
            </w:pPr>
            <w:r>
              <w:rPr>
                <w:sz w:val="17"/>
                <w:rtl/>
                <w:rFonts w:cs="Arial"/>
                <w:szCs w:val="17"/>
              </w:rPr>
              <w:t>‫آخر 3 أشهر مكتملة‬</w:t>
            </w:r>
          </w:p>
        </w:tc>
        <w:tc>
          <w:tcPr>
            <w:tcW w:type="dxa" w:w="5630"/>
            <w:shd w:val="clear" w:color="auto" w:fill="F9FAFB"/>
          </w:tcPr>
          <w:p>
            <w:pPr>
              <w:spacing w:after="0" w:line="252" w:lineRule="auto"/>
            </w:pPr>
            <w:r>
              <w:rPr>
                <w:sz w:val="17"/>
              </w:rPr>
              <w:t>1 Jul → 30 Sep</w:t>
            </w:r>
          </w:p>
        </w:tc>
        <w:tc>
          <w:tcPr>
            <w:tcW w:type="dxa" w:w="5032"/>
            <w:shd w:val="clear" w:color="auto" w:fill="F9FAFB"/>
          </w:tcPr>
          <w:p>
            <w:pPr>
              <w:spacing w:after="0" w:line="252" w:lineRule="auto"/>
            </w:pPr>
            <w:r>
              <w:rPr>
                <w:sz w:val="17"/>
              </w:rPr>
              <w:t>Jul–Sep 2025</w:t>
            </w:r>
          </w:p>
        </w:tc>
        <w:tc>
          <w:tcPr>
            <w:tcW w:type="dxa" w:w="2204"/>
            <w:shd w:val="clear" w:color="auto" w:fill="F9FAFB"/>
          </w:tcPr>
          <w:p>
            <w:pPr>
              <w:spacing w:after="0" w:line="252" w:lineRule="auto"/>
            </w:pPr>
            <w:r>
              <w:rPr>
                <w:sz w:val="17"/>
              </w:rPr>
              <w:t xml:space="preserve">replaces </w:t>
            </w:r>
            <w:r>
              <w:rPr>
                <w:sz w:val="17"/>
                <w:rtl/>
                <w:rFonts w:cs="Arial"/>
                <w:szCs w:val="17"/>
              </w:rPr>
              <w:t>‫«آخر 3 أشهر»‬</w:t>
            </w:r>
            <w:r>
              <w:rPr>
                <w:sz w:val="17"/>
              </w:rPr>
              <w:t xml:space="preserve"> (D-03)</w:t>
            </w:r>
          </w:p>
        </w:tc>
      </w:tr>
      <w:tr>
        <w:trPr>
          <w:cantSplit/>
        </w:trPr>
        <w:tc>
          <w:tcPr>
            <w:tcW w:type="dxa" w:w="2157"/>
          </w:tcPr>
          <w:p>
            <w:pPr>
              <w:spacing w:after="0" w:line="252" w:lineRule="auto"/>
            </w:pPr>
            <w:r>
              <w:rPr>
                <w:sz w:val="17"/>
                <w:rtl/>
                <w:rFonts w:cs="Arial"/>
                <w:szCs w:val="17"/>
              </w:rPr>
              <w:t>‫الربع الحالي حتى اليوم‬</w:t>
            </w:r>
          </w:p>
        </w:tc>
        <w:tc>
          <w:tcPr>
            <w:tcW w:type="dxa" w:w="5630"/>
          </w:tcPr>
          <w:p>
            <w:pPr>
              <w:spacing w:after="0" w:line="252" w:lineRule="auto"/>
            </w:pPr>
            <w:r>
              <w:rPr>
                <w:sz w:val="17"/>
              </w:rPr>
              <w:t>1 Oct → 9 Oct</w:t>
            </w:r>
          </w:p>
        </w:tc>
        <w:tc>
          <w:tcPr>
            <w:tcW w:type="dxa" w:w="5032"/>
          </w:tcPr>
          <w:p>
            <w:pPr>
              <w:spacing w:after="0" w:line="252" w:lineRule="auto"/>
            </w:pPr>
            <w:r>
              <w:rPr>
                <w:sz w:val="17"/>
              </w:rPr>
              <w:t>Q4-to-date 2025</w:t>
            </w:r>
          </w:p>
        </w:tc>
        <w:tc>
          <w:tcPr>
            <w:tcW w:type="dxa" w:w="2204"/>
          </w:tcPr>
          <w:p>
            <w:pPr>
              <w:spacing w:after="0" w:line="252" w:lineRule="auto"/>
            </w:pPr>
            <w:r>
              <w:rPr>
                <w:sz w:val="17"/>
              </w:rPr>
              <w:t>optional</w:t>
            </w:r>
          </w:p>
        </w:tc>
      </w:tr>
      <w:tr>
        <w:trPr>
          <w:cantSplit/>
        </w:trPr>
        <w:tc>
          <w:tcPr>
            <w:tcW w:type="dxa" w:w="2157"/>
            <w:shd w:val="clear" w:color="auto" w:fill="F9FAFB"/>
          </w:tcPr>
          <w:p>
            <w:pPr>
              <w:spacing w:after="0" w:line="252" w:lineRule="auto"/>
            </w:pPr>
            <w:r>
              <w:rPr>
                <w:sz w:val="17"/>
                <w:rtl/>
                <w:rFonts w:cs="Arial"/>
                <w:szCs w:val="17"/>
              </w:rPr>
              <w:t>‫آخر ربع مكتمل‬</w:t>
            </w:r>
          </w:p>
        </w:tc>
        <w:tc>
          <w:tcPr>
            <w:tcW w:type="dxa" w:w="5630"/>
            <w:shd w:val="clear" w:color="auto" w:fill="F9FAFB"/>
          </w:tcPr>
          <w:p>
            <w:pPr>
              <w:spacing w:after="0" w:line="252" w:lineRule="auto"/>
            </w:pPr>
            <w:r>
              <w:rPr>
                <w:sz w:val="17"/>
              </w:rPr>
              <w:t>1 Jul → 30 Sep</w:t>
            </w:r>
          </w:p>
        </w:tc>
        <w:tc>
          <w:tcPr>
            <w:tcW w:type="dxa" w:w="5032"/>
            <w:shd w:val="clear" w:color="auto" w:fill="F9FAFB"/>
          </w:tcPr>
          <w:p>
            <w:pPr>
              <w:spacing w:after="0" w:line="252" w:lineRule="auto"/>
            </w:pPr>
            <w:r>
              <w:rPr>
                <w:sz w:val="17"/>
              </w:rPr>
              <w:t>Q3 2025</w:t>
            </w:r>
          </w:p>
        </w:tc>
        <w:tc>
          <w:tcPr>
            <w:tcW w:type="dxa" w:w="2204"/>
            <w:shd w:val="clear" w:color="auto" w:fill="F9FAFB"/>
          </w:tcPr>
          <w:p>
            <w:pPr>
              <w:spacing w:after="0" w:line="252" w:lineRule="auto"/>
            </w:pPr>
            <w:r>
              <w:rPr>
                <w:sz w:val="17"/>
              </w:rPr>
              <w:t>optional</w:t>
            </w:r>
          </w:p>
        </w:tc>
      </w:tr>
      <w:tr>
        <w:trPr>
          <w:cantSplit/>
        </w:trPr>
        <w:tc>
          <w:tcPr>
            <w:tcW w:type="dxa" w:w="2157"/>
          </w:tcPr>
          <w:p>
            <w:pPr>
              <w:spacing w:after="0" w:line="252" w:lineRule="auto"/>
            </w:pPr>
            <w:r>
              <w:rPr>
                <w:sz w:val="17"/>
                <w:rtl/>
                <w:rFonts w:cs="Arial"/>
                <w:szCs w:val="17"/>
              </w:rPr>
              <w:t>‫السنة حتى اليوم‬</w:t>
            </w:r>
          </w:p>
        </w:tc>
        <w:tc>
          <w:tcPr>
            <w:tcW w:type="dxa" w:w="5630"/>
          </w:tcPr>
          <w:p>
            <w:pPr>
              <w:spacing w:after="0" w:line="252" w:lineRule="auto"/>
            </w:pPr>
            <w:r>
              <w:rPr>
                <w:sz w:val="17"/>
              </w:rPr>
              <w:t>1 Jan → 9 Oct (calendar year, to be confirmed as fiscal year — Q14)</w:t>
            </w:r>
          </w:p>
        </w:tc>
        <w:tc>
          <w:tcPr>
            <w:tcW w:type="dxa" w:w="5032"/>
          </w:tcPr>
          <w:p>
            <w:pPr>
              <w:spacing w:after="0" w:line="252" w:lineRule="auto"/>
            </w:pPr>
            <w:r>
              <w:rPr>
                <w:sz w:val="17"/>
              </w:rPr>
              <w:t>1 Jan–9 Oct 2025</w:t>
            </w:r>
          </w:p>
        </w:tc>
        <w:tc>
          <w:tcPr>
            <w:tcW w:type="dxa" w:w="2204"/>
          </w:tcPr>
          <w:p>
            <w:pPr>
              <w:spacing w:after="0" w:line="252" w:lineRule="auto"/>
            </w:pPr>
          </w:p>
        </w:tc>
      </w:tr>
      <w:tr>
        <w:trPr>
          <w:cantSplit/>
        </w:trPr>
        <w:tc>
          <w:tcPr>
            <w:tcW w:type="dxa" w:w="2157"/>
            <w:shd w:val="clear" w:color="auto" w:fill="F9FAFB"/>
          </w:tcPr>
          <w:p>
            <w:pPr>
              <w:spacing w:after="0" w:line="252" w:lineRule="auto"/>
            </w:pPr>
            <w:r>
              <w:rPr>
                <w:sz w:val="17"/>
                <w:rtl/>
                <w:rFonts w:cs="Arial"/>
                <w:szCs w:val="17"/>
              </w:rPr>
              <w:t>‫فترة مخصصة‬</w:t>
            </w:r>
          </w:p>
        </w:tc>
        <w:tc>
          <w:tcPr>
            <w:tcW w:type="dxa" w:w="5630"/>
            <w:shd w:val="clear" w:color="auto" w:fill="F9FAFB"/>
          </w:tcPr>
          <w:p>
            <w:pPr>
              <w:spacing w:after="0" w:line="252" w:lineRule="auto"/>
            </w:pPr>
            <w:r>
              <w:rPr>
                <w:sz w:val="17"/>
              </w:rPr>
              <w:t>typed start/end, validated</w:t>
            </w:r>
          </w:p>
        </w:tc>
        <w:tc>
          <w:tcPr>
            <w:tcW w:type="dxa" w:w="5032"/>
            <w:shd w:val="clear" w:color="auto" w:fill="F9FAFB"/>
          </w:tcPr>
          <w:p>
            <w:pPr>
              <w:spacing w:after="0" w:line="252" w:lineRule="auto"/>
            </w:pPr>
            <w:r>
              <w:rPr>
                <w:sz w:val="17"/>
              </w:rPr>
              <w:t>previous period of equal length unless last year is inside coverage</w:t>
            </w:r>
          </w:p>
        </w:tc>
        <w:tc>
          <w:tcPr>
            <w:tcW w:type="dxa" w:w="2204"/>
            <w:shd w:val="clear" w:color="auto" w:fill="F9FAFB"/>
          </w:tcPr>
          <w:p>
            <w:pPr>
              <w:spacing w:after="0" w:line="252" w:lineRule="auto"/>
            </w:pPr>
          </w:p>
        </w:tc>
      </w:tr>
      <w:tr>
        <w:trPr>
          <w:cantSplit/>
        </w:trPr>
        <w:tc>
          <w:tcPr>
            <w:tcW w:type="dxa" w:w="2157"/>
          </w:tcPr>
          <w:p>
            <w:pPr>
              <w:spacing w:after="0" w:line="252" w:lineRule="auto"/>
            </w:pPr>
            <w:r>
              <w:rPr>
                <w:sz w:val="17"/>
                <w:rtl/>
                <w:rFonts w:cs="Arial"/>
                <w:szCs w:val="17"/>
              </w:rPr>
              <w:t>‫كل البيانات‬</w:t>
            </w:r>
          </w:p>
        </w:tc>
        <w:tc>
          <w:tcPr>
            <w:tcW w:type="dxa" w:w="5630"/>
          </w:tcPr>
          <w:p>
            <w:pPr>
              <w:spacing w:after="0" w:line="252" w:lineRule="auto"/>
            </w:pPr>
            <w:r>
              <w:rPr>
                <w:sz w:val="17"/>
              </w:rPr>
              <w:t xml:space="preserve">data start (1 Jan 2025) → today, </w:t>
            </w:r>
            <w:r>
              <w:rPr>
                <w:b/>
                <w:sz w:val="17"/>
              </w:rPr>
              <w:t>start date printed</w:t>
            </w:r>
          </w:p>
        </w:tc>
        <w:tc>
          <w:tcPr>
            <w:tcW w:type="dxa" w:w="5032"/>
          </w:tcPr>
          <w:p>
            <w:pPr>
              <w:spacing w:after="0" w:line="252" w:lineRule="auto"/>
            </w:pPr>
            <w:r>
              <w:rPr>
                <w:sz w:val="17"/>
              </w:rPr>
              <w:t>none</w:t>
            </w:r>
          </w:p>
        </w:tc>
        <w:tc>
          <w:tcPr>
            <w:tcW w:type="dxa" w:w="2204"/>
          </w:tcPr>
          <w:p>
            <w:pPr>
              <w:spacing w:after="0" w:line="252" w:lineRule="auto"/>
            </w:pPr>
          </w:p>
        </w:tc>
      </w:tr>
    </w:tbl>
    <w:p>
      <w:pPr>
        <w:spacing w:after="40"/>
      </w:pPr>
    </w:p>
    <w:p>
      <w:r>
        <w:t xml:space="preserve">Rules for all presets: the end date never exceeds today; a partial period is compared only with the </w:t>
      </w:r>
      <w:r>
        <w:rPr>
          <w:b/>
        </w:rPr>
        <w:t>same elapsed length</w:t>
      </w:r>
      <w:r>
        <w:t>; presets re-anchor to the current date on every load (and on rollover — D-12).</w:t>
      </w:r>
    </w:p>
    <w:p>
      <w:pPr>
        <w:pStyle w:val="Heading3"/>
      </w:pPr>
      <w:r>
        <w:t>12.3 Reporting bases — one sentence each (to appear in the control, the "?" panel and every export header)</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353"/>
        <w:gridCol w:w="7090"/>
        <w:gridCol w:w="5581"/>
      </w:tblGrid>
      <w:tr>
        <w:trPr>
          <w:tblHeader w:val="true"/>
          <w:cantSplit/>
        </w:trPr>
        <w:tc>
          <w:tcPr>
            <w:tcW w:type="dxa" w:w="2353"/>
            <w:shd w:val="clear" w:color="auto" w:fill="1B8354"/>
          </w:tcPr>
          <w:p>
            <w:pPr>
              <w:spacing w:after="0" w:line="252" w:lineRule="auto"/>
            </w:pPr>
            <w:r>
              <w:rPr>
                <w:b/>
                <w:color w:val="FFFFFF"/>
                <w:sz w:val="17"/>
              </w:rPr>
              <w:t>Basis</w:t>
            </w:r>
          </w:p>
        </w:tc>
        <w:tc>
          <w:tcPr>
            <w:tcW w:type="dxa" w:w="7090"/>
            <w:shd w:val="clear" w:color="auto" w:fill="1B8354"/>
          </w:tcPr>
          <w:p>
            <w:pPr>
              <w:spacing w:after="0" w:line="252" w:lineRule="auto"/>
            </w:pPr>
            <w:r>
              <w:rPr>
                <w:b/>
                <w:color w:val="FFFFFF"/>
                <w:sz w:val="17"/>
              </w:rPr>
              <w:t>Exact meaning</w:t>
            </w:r>
          </w:p>
        </w:tc>
        <w:tc>
          <w:tcPr>
            <w:tcW w:type="dxa" w:w="5581"/>
            <w:shd w:val="clear" w:color="auto" w:fill="1B8354"/>
          </w:tcPr>
          <w:p>
            <w:pPr>
              <w:spacing w:after="0" w:line="252" w:lineRule="auto"/>
            </w:pPr>
            <w:r>
              <w:rPr>
                <w:b/>
                <w:color w:val="FFFFFF"/>
                <w:sz w:val="17"/>
              </w:rPr>
              <w:t>Where it applies</w:t>
            </w:r>
          </w:p>
        </w:tc>
      </w:tr>
      <w:tr>
        <w:trPr>
          <w:cantSplit/>
        </w:trPr>
        <w:tc>
          <w:tcPr>
            <w:tcW w:type="dxa" w:w="2353"/>
          </w:tcPr>
          <w:p>
            <w:pPr>
              <w:spacing w:after="0" w:line="252" w:lineRule="auto"/>
            </w:pPr>
            <w:r>
              <w:rPr>
                <w:b/>
                <w:sz w:val="17"/>
                <w:rtl/>
                <w:rFonts w:cs="Arial"/>
                <w:szCs w:val="17"/>
                <w:bCs/>
              </w:rPr>
              <w:t>‫الفواتير حسب تاريخ الإصدار‬</w:t>
            </w:r>
          </w:p>
        </w:tc>
        <w:tc>
          <w:tcPr>
            <w:tcW w:type="dxa" w:w="7090"/>
          </w:tcPr>
          <w:p>
            <w:pPr>
              <w:spacing w:after="0" w:line="252" w:lineRule="auto"/>
            </w:pPr>
            <w:r>
              <w:rPr>
                <w:sz w:val="17"/>
              </w:rPr>
              <w:t>an invoice belongs to the period in which it was issued</w:t>
            </w:r>
          </w:p>
        </w:tc>
        <w:tc>
          <w:tcPr>
            <w:tcW w:type="dxa" w:w="5581"/>
          </w:tcPr>
          <w:p>
            <w:pPr>
              <w:spacing w:after="0" w:line="252" w:lineRule="auto"/>
            </w:pPr>
            <w:r>
              <w:rPr>
                <w:sz w:val="17"/>
              </w:rPr>
              <w:t>all "flow" figures: gross, exclusions, net, collected, uncollected, rate</w:t>
            </w:r>
          </w:p>
        </w:tc>
      </w:tr>
      <w:tr>
        <w:trPr>
          <w:cantSplit/>
        </w:trPr>
        <w:tc>
          <w:tcPr>
            <w:tcW w:type="dxa" w:w="2353"/>
            <w:shd w:val="clear" w:color="auto" w:fill="F9FAFB"/>
          </w:tcPr>
          <w:p>
            <w:pPr>
              <w:spacing w:after="0" w:line="252" w:lineRule="auto"/>
            </w:pPr>
            <w:r>
              <w:rPr>
                <w:b/>
                <w:sz w:val="17"/>
                <w:rtl/>
                <w:rFonts w:cs="Arial"/>
                <w:szCs w:val="17"/>
                <w:bCs/>
              </w:rPr>
              <w:t>‫المحصّل حتى‬</w:t>
            </w:r>
          </w:p>
        </w:tc>
        <w:tc>
          <w:tcPr>
            <w:tcW w:type="dxa" w:w="7090"/>
            <w:shd w:val="clear" w:color="auto" w:fill="F9FAFB"/>
          </w:tcPr>
          <w:p>
            <w:pPr>
              <w:spacing w:after="0" w:line="252" w:lineRule="auto"/>
            </w:pPr>
            <w:r>
              <w:rPr>
                <w:sz w:val="17"/>
              </w:rPr>
              <w:t xml:space="preserve">payments dated up to the chosen date, counted only inside net billed. Default for a </w:t>
            </w:r>
            <w:r>
              <w:rPr>
                <w:b/>
                <w:sz w:val="17"/>
              </w:rPr>
              <w:t>closed</w:t>
            </w:r>
            <w:r>
              <w:rPr>
                <w:sz w:val="17"/>
              </w:rPr>
              <w:t xml:space="preserve"> period: its end date (like-for-like); for an open period: today. </w:t>
            </w:r>
            <w:r>
              <w:rPr>
                <w:sz w:val="17"/>
                <w:rtl/>
                <w:rFonts w:cs="Arial"/>
                <w:szCs w:val="17"/>
              </w:rPr>
              <w:t>‫«حتى اليوم»‬</w:t>
            </w:r>
            <w:r>
              <w:rPr>
                <w:sz w:val="17"/>
              </w:rPr>
              <w:t xml:space="preserve"> is available as a second labelled figure</w:t>
            </w:r>
          </w:p>
        </w:tc>
        <w:tc>
          <w:tcPr>
            <w:tcW w:type="dxa" w:w="5581"/>
            <w:shd w:val="clear" w:color="auto" w:fill="F9FAFB"/>
          </w:tcPr>
          <w:p>
            <w:pPr>
              <w:spacing w:after="0" w:line="252" w:lineRule="auto"/>
            </w:pPr>
            <w:r>
              <w:rPr>
                <w:sz w:val="17"/>
              </w:rPr>
              <w:t>collected, rate, comparisons</w:t>
            </w:r>
          </w:p>
        </w:tc>
      </w:tr>
      <w:tr>
        <w:trPr>
          <w:cantSplit/>
        </w:trPr>
        <w:tc>
          <w:tcPr>
            <w:tcW w:type="dxa" w:w="2353"/>
          </w:tcPr>
          <w:p>
            <w:pPr>
              <w:spacing w:after="0" w:line="252" w:lineRule="auto"/>
            </w:pPr>
            <w:r>
              <w:rPr>
                <w:b/>
                <w:sz w:val="17"/>
                <w:rtl/>
                <w:rFonts w:cs="Arial"/>
                <w:szCs w:val="17"/>
                <w:bCs/>
              </w:rPr>
              <w:t>‫المقبوضات حسب تاريخ السداد‬</w:t>
            </w:r>
          </w:p>
        </w:tc>
        <w:tc>
          <w:tcPr>
            <w:tcW w:type="dxa" w:w="7090"/>
          </w:tcPr>
          <w:p>
            <w:pPr>
              <w:spacing w:after="0" w:line="252" w:lineRule="auto"/>
            </w:pPr>
            <w:r>
              <w:rPr>
                <w:sz w:val="17"/>
              </w:rPr>
              <w:t>cash received in the period regardless of invoice date</w:t>
            </w:r>
          </w:p>
        </w:tc>
        <w:tc>
          <w:tcPr>
            <w:tcW w:type="dxa" w:w="5581"/>
          </w:tcPr>
          <w:p>
            <w:pPr>
              <w:spacing w:after="0" w:line="252" w:lineRule="auto"/>
            </w:pPr>
            <w:r>
              <w:rPr>
                <w:sz w:val="17"/>
              </w:rPr>
              <w:t>trends (cash series), funding, receipts vs target</w:t>
            </w:r>
          </w:p>
        </w:tc>
      </w:tr>
      <w:tr>
        <w:trPr>
          <w:cantSplit/>
        </w:trPr>
        <w:tc>
          <w:tcPr>
            <w:tcW w:type="dxa" w:w="2353"/>
            <w:shd w:val="clear" w:color="auto" w:fill="F9FAFB"/>
          </w:tcPr>
          <w:p>
            <w:pPr>
              <w:spacing w:after="0" w:line="252" w:lineRule="auto"/>
            </w:pPr>
            <w:r>
              <w:rPr>
                <w:b/>
                <w:sz w:val="17"/>
                <w:rtl/>
                <w:rFonts w:cs="Arial"/>
                <w:szCs w:val="17"/>
                <w:bCs/>
              </w:rPr>
              <w:t>‫الرصيد القائم حتى‬</w:t>
            </w:r>
          </w:p>
        </w:tc>
        <w:tc>
          <w:tcPr>
            <w:tcW w:type="dxa" w:w="7090"/>
            <w:shd w:val="clear" w:color="auto" w:fill="F9FAFB"/>
          </w:tcPr>
          <w:p>
            <w:pPr>
              <w:spacing w:after="0" w:line="252" w:lineRule="auto"/>
            </w:pPr>
            <w:r>
              <w:rPr>
                <w:sz w:val="17"/>
              </w:rPr>
              <w:t>all unpaid invoices of any issue date as of the date</w:t>
            </w:r>
          </w:p>
        </w:tc>
        <w:tc>
          <w:tcPr>
            <w:tcW w:type="dxa" w:w="5581"/>
            <w:shd w:val="clear" w:color="auto" w:fill="F9FAFB"/>
          </w:tcPr>
          <w:p>
            <w:pPr>
              <w:spacing w:after="0" w:line="252" w:lineRule="auto"/>
            </w:pPr>
            <w:r>
              <w:rPr>
                <w:sz w:val="17"/>
              </w:rPr>
              <w:t>aging, standing balance</w:t>
            </w:r>
          </w:p>
        </w:tc>
      </w:tr>
      <w:tr>
        <w:trPr>
          <w:cantSplit/>
        </w:trPr>
        <w:tc>
          <w:tcPr>
            <w:tcW w:type="dxa" w:w="2353"/>
          </w:tcPr>
          <w:p>
            <w:pPr>
              <w:spacing w:after="0" w:line="252" w:lineRule="auto"/>
            </w:pPr>
            <w:r>
              <w:rPr>
                <w:b/>
                <w:sz w:val="17"/>
                <w:rtl/>
                <w:rFonts w:cs="Arial"/>
                <w:szCs w:val="17"/>
                <w:bCs/>
              </w:rPr>
              <w:t>‫تاريخ الاستحقاق‬</w:t>
            </w:r>
          </w:p>
        </w:tc>
        <w:tc>
          <w:tcPr>
            <w:tcW w:type="dxa" w:w="7090"/>
          </w:tcPr>
          <w:p>
            <w:pPr>
              <w:spacing w:after="0" w:line="252" w:lineRule="auto"/>
            </w:pPr>
            <w:r>
              <w:rPr>
                <w:sz w:val="17"/>
              </w:rPr>
              <w:t xml:space="preserve">basis of </w:t>
            </w:r>
            <w:r>
              <w:rPr>
                <w:sz w:val="17"/>
                <w:rtl/>
                <w:rFonts w:cs="Arial"/>
                <w:szCs w:val="17"/>
              </w:rPr>
              <w:t>‫«متأخر»‬</w:t>
            </w:r>
            <w:r>
              <w:rPr>
                <w:sz w:val="17"/>
              </w:rPr>
              <w:t xml:space="preserve"> and </w:t>
            </w:r>
            <w:r>
              <w:rPr>
                <w:sz w:val="17"/>
                <w:rtl/>
                <w:rFonts w:cs="Arial"/>
                <w:szCs w:val="17"/>
              </w:rPr>
              <w:t>‫«العمر بعد الاستحقاق»‬</w:t>
            </w:r>
          </w:p>
        </w:tc>
        <w:tc>
          <w:tcPr>
            <w:tcW w:type="dxa" w:w="5581"/>
          </w:tcPr>
          <w:p>
            <w:pPr>
              <w:spacing w:after="0" w:line="252" w:lineRule="auto"/>
            </w:pPr>
            <w:r>
              <w:rPr>
                <w:sz w:val="17"/>
              </w:rPr>
              <w:t>aging, overdue</w:t>
            </w:r>
          </w:p>
        </w:tc>
      </w:tr>
      <w:tr>
        <w:trPr>
          <w:cantSplit/>
        </w:trPr>
        <w:tc>
          <w:tcPr>
            <w:tcW w:type="dxa" w:w="2353"/>
            <w:shd w:val="clear" w:color="auto" w:fill="F9FAFB"/>
          </w:tcPr>
          <w:p>
            <w:pPr>
              <w:spacing w:after="0" w:line="252" w:lineRule="auto"/>
            </w:pPr>
            <w:r>
              <w:rPr>
                <w:b/>
                <w:sz w:val="17"/>
                <w:rtl/>
                <w:rFonts w:cs="Arial"/>
                <w:szCs w:val="17"/>
                <w:bCs/>
              </w:rPr>
              <w:t>‫أفق التخطيط‬</w:t>
            </w:r>
          </w:p>
        </w:tc>
        <w:tc>
          <w:tcPr>
            <w:tcW w:type="dxa" w:w="7090"/>
            <w:shd w:val="clear" w:color="auto" w:fill="F9FAFB"/>
          </w:tcPr>
          <w:p>
            <w:pPr>
              <w:spacing w:after="0" w:line="252" w:lineRule="auto"/>
            </w:pPr>
            <w:r>
              <w:rPr>
                <w:sz w:val="17"/>
              </w:rPr>
              <w:t>future dates for plans, forecasts and scenarios; never mixed with actuals</w:t>
            </w:r>
          </w:p>
        </w:tc>
        <w:tc>
          <w:tcPr>
            <w:tcW w:type="dxa" w:w="5581"/>
            <w:shd w:val="clear" w:color="auto" w:fill="F9FAFB"/>
          </w:tcPr>
          <w:p>
            <w:pPr>
              <w:spacing w:after="0" w:line="252" w:lineRule="auto"/>
            </w:pPr>
            <w:r>
              <w:rPr>
                <w:sz w:val="17"/>
              </w:rPr>
              <w:t>Planning only</w:t>
            </w:r>
          </w:p>
        </w:tc>
      </w:tr>
    </w:tbl>
    <w:p>
      <w:pPr>
        <w:spacing w:after="40"/>
      </w:pPr>
    </w:p>
    <w:p>
      <w:pPr>
        <w:pStyle w:val="Heading2"/>
      </w:pPr>
      <w:r>
        <w:t>13. UX references used (accessed 2026-10-09)</w:t>
      </w:r>
    </w:p>
    <w:p>
      <w:r>
        <w:t>The platform has no UX guidance of its own; these sources support the recommendations. Where a page could not be read in full, that is stated — no claim below goes beyond what was retrieved.</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5264"/>
        <w:gridCol w:w="5264"/>
        <w:gridCol w:w="4496"/>
      </w:tblGrid>
      <w:tr>
        <w:trPr>
          <w:tblHeader w:val="true"/>
          <w:cantSplit/>
        </w:trPr>
        <w:tc>
          <w:tcPr>
            <w:tcW w:type="dxa" w:w="5264"/>
            <w:shd w:val="clear" w:color="auto" w:fill="1B8354"/>
          </w:tcPr>
          <w:p>
            <w:pPr>
              <w:spacing w:after="0" w:line="252" w:lineRule="auto"/>
            </w:pPr>
            <w:r>
              <w:rPr>
                <w:b/>
                <w:color w:val="FFFFFF"/>
                <w:sz w:val="17"/>
              </w:rPr>
              <w:t>Source (published / date seen)</w:t>
            </w:r>
          </w:p>
        </w:tc>
        <w:tc>
          <w:tcPr>
            <w:tcW w:type="dxa" w:w="5264"/>
            <w:shd w:val="clear" w:color="auto" w:fill="1B8354"/>
          </w:tcPr>
          <w:p>
            <w:pPr>
              <w:spacing w:after="0" w:line="252" w:lineRule="auto"/>
            </w:pPr>
            <w:r>
              <w:rPr>
                <w:b/>
                <w:color w:val="FFFFFF"/>
                <w:sz w:val="17"/>
              </w:rPr>
              <w:t>What it supports here</w:t>
            </w:r>
          </w:p>
        </w:tc>
        <w:tc>
          <w:tcPr>
            <w:tcW w:type="dxa" w:w="4496"/>
            <w:shd w:val="clear" w:color="auto" w:fill="1B8354"/>
          </w:tcPr>
          <w:p>
            <w:pPr>
              <w:spacing w:after="0" w:line="252" w:lineRule="auto"/>
            </w:pPr>
            <w:r>
              <w:rPr>
                <w:b/>
                <w:color w:val="FFFFFF"/>
                <w:sz w:val="17"/>
              </w:rPr>
              <w:t>Limits</w:t>
            </w:r>
          </w:p>
        </w:tc>
      </w:tr>
      <w:tr>
        <w:trPr>
          <w:cantSplit/>
        </w:trPr>
        <w:tc>
          <w:tcPr>
            <w:tcW w:type="dxa" w:w="5264"/>
          </w:tcPr>
          <w:p>
            <w:pPr>
              <w:spacing w:after="0" w:line="252" w:lineRule="auto"/>
            </w:pPr>
            <w:hyperlink r:id="rId11">
              <w:r>
                <w:rPr>
                  <w:color w:val="1570EF"/>
                  <w:u w:val="single"/>
                  <w:sz w:val="17"/>
                </w:rPr>
                <w:t xml:space="preserve">GOV.UK Design System — Ask users for dates</w:t>
              </w:r>
            </w:hyperlink>
          </w:p>
        </w:tc>
        <w:tc>
          <w:tcPr>
            <w:tcW w:type="dxa" w:w="5264"/>
          </w:tcPr>
          <w:p>
            <w:pPr>
              <w:spacing w:after="0" w:line="252" w:lineRule="auto"/>
            </w:pPr>
            <w:r>
              <w:rPr>
                <w:sz w:val="17"/>
              </w:rPr>
              <w:t xml:space="preserve">Calendar only when users must see day-of-week or relative dates; </w:t>
            </w:r>
            <w:r>
              <w:rPr>
                <w:b/>
                <w:sz w:val="17"/>
              </w:rPr>
              <w:t>never the only way to enter a date — always allow typing</w:t>
            </w:r>
            <w:r>
              <w:rPr>
                <w:sz w:val="17"/>
              </w:rPr>
              <w:t>; give a format example (day &gt; 12 so order is clear) → §12.2, D-10, D-15</w:t>
            </w:r>
          </w:p>
        </w:tc>
        <w:tc>
          <w:tcPr>
            <w:tcW w:type="dxa" w:w="4496"/>
          </w:tcPr>
          <w:p>
            <w:pPr>
              <w:spacing w:after="0" w:line="252" w:lineRule="auto"/>
            </w:pPr>
            <w:r>
              <w:rPr>
                <w:sz w:val="17"/>
              </w:rPr>
              <w:t>does not cover validation errors or ranges (links to other pages)</w:t>
            </w:r>
          </w:p>
        </w:tc>
      </w:tr>
      <w:tr>
        <w:trPr>
          <w:cantSplit/>
        </w:trPr>
        <w:tc>
          <w:tcPr>
            <w:tcW w:type="dxa" w:w="5264"/>
            <w:shd w:val="clear" w:color="auto" w:fill="F9FAFB"/>
          </w:tcPr>
          <w:p>
            <w:pPr>
              <w:spacing w:after="0" w:line="252" w:lineRule="auto"/>
            </w:pPr>
            <w:hyperlink r:id="rId12">
              <w:r>
                <w:rPr>
                  <w:color w:val="1570EF"/>
                  <w:u w:val="single"/>
                  <w:sz w:val="17"/>
                </w:rPr>
                <w:t xml:space="preserve">USWDS — Date range picker</w:t>
              </w:r>
            </w:hyperlink>
          </w:p>
        </w:tc>
        <w:tc>
          <w:tcPr>
            <w:tcW w:type="dxa" w:w="5264"/>
            <w:shd w:val="clear" w:color="auto" w:fill="F9FAFB"/>
          </w:tcPr>
          <w:p>
            <w:pPr>
              <w:spacing w:after="0" w:line="252" w:lineRule="auto"/>
            </w:pPr>
            <w:r>
              <w:rPr>
                <w:sz w:val="17"/>
              </w:rPr>
              <w:t xml:space="preserve">Always allow typing; visible format hint; min/max limits and native validation; explain unavailable dates; </w:t>
            </w:r>
            <w:r>
              <w:rPr>
                <w:b/>
                <w:sz w:val="17"/>
              </w:rPr>
              <w:t>avoid auto-submitting on date change</w:t>
            </w:r>
            <w:r>
              <w:rPr>
                <w:sz w:val="17"/>
              </w:rPr>
              <w:t xml:space="preserve"> → D-01, D-02, D-15</w:t>
            </w:r>
          </w:p>
        </w:tc>
        <w:tc>
          <w:tcPr>
            <w:tcW w:type="dxa" w:w="4496"/>
            <w:shd w:val="clear" w:color="auto" w:fill="F9FAFB"/>
          </w:tcPr>
          <w:p>
            <w:pPr>
              <w:spacing w:after="0" w:line="252" w:lineRule="auto"/>
            </w:pPr>
            <w:r>
              <w:rPr>
                <w:sz w:val="17"/>
              </w:rPr>
              <w:t>US formats; no localisation guidance</w:t>
            </w:r>
          </w:p>
        </w:tc>
      </w:tr>
      <w:tr>
        <w:trPr>
          <w:cantSplit/>
        </w:trPr>
        <w:tc>
          <w:tcPr>
            <w:tcW w:type="dxa" w:w="5264"/>
          </w:tcPr>
          <w:p>
            <w:pPr>
              <w:spacing w:after="0" w:line="252" w:lineRule="auto"/>
            </w:pPr>
            <w:hyperlink r:id="rId13">
              <w:r>
                <w:rPr>
                  <w:color w:val="1570EF"/>
                  <w:u w:val="single"/>
                  <w:sz w:val="17"/>
                </w:rPr>
                <w:t xml:space="preserve">W3C WAI-ARIA APG — Date Picker Dialog example</w:t>
              </w:r>
            </w:hyperlink>
          </w:p>
        </w:tc>
        <w:tc>
          <w:tcPr>
            <w:tcW w:type="dxa" w:w="5264"/>
          </w:tcPr>
          <w:p>
            <w:pPr>
              <w:spacing w:after="0" w:line="252" w:lineRule="auto"/>
            </w:pPr>
            <w:r>
              <w:rPr>
                <w:sz w:val="17"/>
              </w:rPr>
              <w:t xml:space="preserve">Keyboard model (Esc, arrows, Page Up/Down), accessible names, format hint linked with </w:t>
            </w:r>
            <w:r>
              <w:rPr>
                <w:rFonts w:ascii="Consolas" w:hAnsi="Consolas" w:cs="Consolas"/>
                <w:color w:val="B42318"/>
                <w:sz w:val="16"/>
              </w:rPr>
              <w:t>aria-describedby</w:t>
            </w:r>
            <w:r>
              <w:rPr>
                <w:sz w:val="17"/>
              </w:rPr>
              <w:t xml:space="preserve"> → D-15</w:t>
            </w:r>
          </w:p>
        </w:tc>
        <w:tc>
          <w:tcPr>
            <w:tcW w:type="dxa" w:w="4496"/>
          </w:tcPr>
          <w:p>
            <w:pPr>
              <w:spacing w:after="0" w:line="252" w:lineRule="auto"/>
            </w:pPr>
            <w:r>
              <w:rPr>
                <w:sz w:val="17"/>
              </w:rPr>
              <w:t>an example, not a normative requirement</w:t>
            </w:r>
          </w:p>
        </w:tc>
      </w:tr>
      <w:tr>
        <w:trPr>
          <w:cantSplit/>
        </w:trPr>
        <w:tc>
          <w:tcPr>
            <w:tcW w:type="dxa" w:w="5264"/>
            <w:shd w:val="clear" w:color="auto" w:fill="F9FAFB"/>
          </w:tcPr>
          <w:p>
            <w:pPr>
              <w:spacing w:after="0" w:line="252" w:lineRule="auto"/>
            </w:pPr>
            <w:hyperlink r:id="rId14">
              <w:r>
                <w:rPr>
                  <w:color w:val="1570EF"/>
                  <w:u w:val="single"/>
                  <w:sz w:val="17"/>
                </w:rPr>
                <w:t xml:space="preserve">Nielsen Norman Group — Progressive Disclosure (J. Nielsen, 3 Dec 2006)</w:t>
              </w:r>
            </w:hyperlink>
          </w:p>
        </w:tc>
        <w:tc>
          <w:tcPr>
            <w:tcW w:type="dxa" w:w="5264"/>
            <w:shd w:val="clear" w:color="auto" w:fill="F9FAFB"/>
          </w:tcPr>
          <w:p>
            <w:pPr>
              <w:spacing w:after="0" w:line="252" w:lineRule="auto"/>
            </w:pPr>
            <w:r>
              <w:rPr>
                <w:sz w:val="17"/>
              </w:rPr>
              <w:t xml:space="preserve">Core options first, specialised ones on request; keep to </w:t>
            </w:r>
            <w:r>
              <w:rPr>
                <w:b/>
                <w:sz w:val="17"/>
              </w:rPr>
              <w:t>two levels</w:t>
            </w:r>
            <w:r>
              <w:rPr>
                <w:sz w:val="17"/>
              </w:rPr>
              <w:t>; label the control so users can predict what they find → §10.2, §11.2</w:t>
            </w:r>
          </w:p>
        </w:tc>
        <w:tc>
          <w:tcPr>
            <w:tcW w:type="dxa" w:w="4496"/>
            <w:shd w:val="clear" w:color="auto" w:fill="F9FAFB"/>
          </w:tcPr>
          <w:p>
            <w:pPr>
              <w:spacing w:after="0" w:line="252" w:lineRule="auto"/>
            </w:pPr>
            <w:r>
              <w:rPr>
                <w:sz w:val="17"/>
              </w:rPr>
              <w:t>old but still the standard reference</w:t>
            </w:r>
          </w:p>
        </w:tc>
      </w:tr>
      <w:tr>
        <w:trPr>
          <w:cantSplit/>
        </w:trPr>
        <w:tc>
          <w:tcPr>
            <w:tcW w:type="dxa" w:w="5264"/>
          </w:tcPr>
          <w:p>
            <w:pPr>
              <w:spacing w:after="0" w:line="252" w:lineRule="auto"/>
            </w:pPr>
            <w:hyperlink r:id="rId15">
              <w:r>
                <w:rPr>
                  <w:color w:val="1570EF"/>
                  <w:u w:val="single"/>
                  <w:sz w:val="17"/>
                </w:rPr>
                <w:t xml:space="preserve">Nielsen Norman Group — Tooltip Guidelines (A. Kendrick, 27 Jan 2019)</w:t>
              </w:r>
            </w:hyperlink>
          </w:p>
        </w:tc>
        <w:tc>
          <w:tcPr>
            <w:tcW w:type="dxa" w:w="5264"/>
          </w:tcPr>
          <w:p>
            <w:pPr>
              <w:spacing w:after="0" w:line="252" w:lineRule="auto"/>
            </w:pPr>
            <w:r>
              <w:rPr>
                <w:sz w:val="17"/>
              </w:rPr>
              <w:t xml:space="preserve">Tooltips for short supplementary context only, </w:t>
            </w:r>
            <w:r>
              <w:rPr>
                <w:b/>
                <w:sz w:val="17"/>
              </w:rPr>
              <w:t>not essential information</w:t>
            </w:r>
            <w:r>
              <w:rPr>
                <w:sz w:val="17"/>
              </w:rPr>
              <w:t>; must work on keyboard focus; do not rely on hover on touch → C-09, row 13</w:t>
            </w:r>
          </w:p>
        </w:tc>
        <w:tc>
          <w:tcPr>
            <w:tcW w:type="dxa" w:w="4496"/>
          </w:tcPr>
          <w:p>
            <w:pPr>
              <w:spacing w:after="0" w:line="252" w:lineRule="auto"/>
            </w:pPr>
            <w:r>
              <w:rPr>
                <w:sz w:val="17"/>
              </w:rPr>
              <w:t>–</w:t>
            </w:r>
          </w:p>
        </w:tc>
      </w:tr>
      <w:tr>
        <w:trPr>
          <w:cantSplit/>
        </w:trPr>
        <w:tc>
          <w:tcPr>
            <w:tcW w:type="dxa" w:w="5264"/>
            <w:shd w:val="clear" w:color="auto" w:fill="F9FAFB"/>
          </w:tcPr>
          <w:p>
            <w:pPr>
              <w:spacing w:after="0" w:line="252" w:lineRule="auto"/>
            </w:pPr>
            <w:hyperlink r:id="rId16">
              <w:r>
                <w:rPr>
                  <w:color w:val="1570EF"/>
                  <w:u w:val="single"/>
                  <w:sz w:val="17"/>
                </w:rPr>
                <w:t xml:space="preserve">W3C WCAG 2.2 — SC 1.4.13 Content on Hover or Focus</w:t>
              </w:r>
            </w:hyperlink>
          </w:p>
        </w:tc>
        <w:tc>
          <w:tcPr>
            <w:tcW w:type="dxa" w:w="5264"/>
            <w:shd w:val="clear" w:color="auto" w:fill="F9FAFB"/>
          </w:tcPr>
          <w:p>
            <w:pPr>
              <w:spacing w:after="0" w:line="252" w:lineRule="auto"/>
            </w:pPr>
            <w:r>
              <w:rPr>
                <w:sz w:val="17"/>
              </w:rPr>
              <w:t xml:space="preserve">Hover/focus content must be dismissible, hoverable and persistent (native </w:t>
            </w:r>
            <w:r>
              <w:rPr>
                <w:rFonts w:ascii="Consolas" w:hAnsi="Consolas" w:cs="Consolas"/>
                <w:color w:val="B42318"/>
                <w:sz w:val="16"/>
              </w:rPr>
              <w:t>title</w:t>
            </w:r>
            <w:r>
              <w:rPr>
                <w:sz w:val="17"/>
              </w:rPr>
              <w:t xml:space="preserve"> is excluded) → the 37 </w:t>
            </w:r>
            <w:r>
              <w:rPr>
                <w:rFonts w:ascii="Consolas" w:hAnsi="Consolas" w:cs="Consolas"/>
                <w:color w:val="B42318"/>
                <w:sz w:val="16"/>
              </w:rPr>
              <w:t>title</w:t>
            </w:r>
            <w:r>
              <w:rPr>
                <w:sz w:val="17"/>
              </w:rPr>
              <w:t xml:space="preserve"> attributes and the "?" panel</w:t>
            </w:r>
          </w:p>
        </w:tc>
        <w:tc>
          <w:tcPr>
            <w:tcW w:type="dxa" w:w="4496"/>
            <w:shd w:val="clear" w:color="auto" w:fill="F9FAFB"/>
          </w:tcPr>
          <w:p>
            <w:pPr>
              <w:spacing w:after="0" w:line="252" w:lineRule="auto"/>
            </w:pPr>
            <w:r>
              <w:rPr>
                <w:sz w:val="17"/>
              </w:rPr>
              <w:t>–</w:t>
            </w:r>
          </w:p>
        </w:tc>
      </w:tr>
      <w:tr>
        <w:trPr>
          <w:cantSplit/>
        </w:trPr>
        <w:tc>
          <w:tcPr>
            <w:tcW w:type="dxa" w:w="5264"/>
          </w:tcPr>
          <w:p>
            <w:pPr>
              <w:spacing w:after="0" w:line="252" w:lineRule="auto"/>
            </w:pPr>
            <w:hyperlink r:id="rId17">
              <w:r>
                <w:rPr>
                  <w:color w:val="1570EF"/>
                  <w:u w:val="single"/>
                  <w:sz w:val="17"/>
                </w:rPr>
                <w:t xml:space="preserve">Nielsen Norman Group — Dashboards: Making Charts and Graphs Easier to Understand (L. Laubheimer, 18 Jun 2017)</w:t>
              </w:r>
            </w:hyperlink>
          </w:p>
        </w:tc>
        <w:tc>
          <w:tcPr>
            <w:tcW w:type="dxa" w:w="5264"/>
          </w:tcPr>
          <w:p>
            <w:pPr>
              <w:spacing w:after="0" w:line="252" w:lineRule="auto"/>
            </w:pPr>
            <w:r>
              <w:rPr>
                <w:sz w:val="17"/>
              </w:rPr>
              <w:t>Dashboards are glanceable, one screen, for monitoring and acting; prefer bars/lines over pies/gauges → §11</w:t>
            </w:r>
          </w:p>
        </w:tc>
        <w:tc>
          <w:tcPr>
            <w:tcW w:type="dxa" w:w="4496"/>
          </w:tcPr>
          <w:p>
            <w:pPr>
              <w:spacing w:after="0" w:line="252" w:lineRule="auto"/>
            </w:pPr>
            <w:r>
              <w:rPr>
                <w:sz w:val="17"/>
              </w:rPr>
              <w:t xml:space="preserve">does </w:t>
            </w:r>
            <w:r>
              <w:rPr>
                <w:b/>
                <w:sz w:val="17"/>
              </w:rPr>
              <w:t>not</w:t>
            </w:r>
            <w:r>
              <w:rPr>
                <w:sz w:val="17"/>
              </w:rPr>
              <w:t xml:space="preserve"> address hierarchy or clutter explicitly</w:t>
            </w:r>
          </w:p>
        </w:tc>
      </w:tr>
      <w:tr>
        <w:trPr>
          <w:cantSplit/>
        </w:trPr>
        <w:tc>
          <w:tcPr>
            <w:tcW w:type="dxa" w:w="5264"/>
            <w:shd w:val="clear" w:color="auto" w:fill="F9FAFB"/>
          </w:tcPr>
          <w:p>
            <w:pPr>
              <w:spacing w:after="0" w:line="252" w:lineRule="auto"/>
            </w:pPr>
            <w:hyperlink r:id="rId18">
              <w:r>
                <w:rPr>
                  <w:color w:val="1570EF"/>
                  <w:u w:val="single"/>
                  <w:sz w:val="17"/>
                </w:rPr>
                <w:t xml:space="preserve">Microsoft Learn — Tips for designing a Power BI dashboard (ms.date 1 Oct 2025)</w:t>
              </w:r>
            </w:hyperlink>
          </w:p>
        </w:tc>
        <w:tc>
          <w:tcPr>
            <w:tcW w:type="dxa" w:w="5264"/>
            <w:shd w:val="clear" w:color="auto" w:fill="F9FAFB"/>
          </w:tcPr>
          <w:p>
            <w:pPr>
              <w:spacing w:after="0" w:line="252" w:lineRule="auto"/>
            </w:pPr>
            <w:r>
              <w:rPr>
                <w:sz w:val="17"/>
              </w:rPr>
              <w:t xml:space="preserve">Know the audience; most important information first (top-left; mirror to top-right for RTL); one screen; </w:t>
            </w:r>
            <w:r>
              <w:rPr>
                <w:b/>
                <w:sz w:val="17"/>
              </w:rPr>
              <w:t>don't put detail on the dashboard unless it is monitored</w:t>
            </w:r>
            <w:r>
              <w:rPr>
                <w:sz w:val="17"/>
              </w:rPr>
              <w:t xml:space="preserve">; scale numbers (3.4 million, not 3,400,000); </w:t>
            </w:r>
            <w:r>
              <w:rPr>
                <w:b/>
                <w:sz w:val="17"/>
              </w:rPr>
              <w:t>don't mix time frames</w:t>
            </w:r>
            <w:r>
              <w:rPr>
                <w:sz w:val="17"/>
              </w:rPr>
              <w:t xml:space="preserve"> → §11, D-06</w:t>
            </w:r>
          </w:p>
        </w:tc>
        <w:tc>
          <w:tcPr>
            <w:tcW w:type="dxa" w:w="4496"/>
            <w:shd w:val="clear" w:color="auto" w:fill="F9FAFB"/>
          </w:tcPr>
          <w:p>
            <w:pPr>
              <w:spacing w:after="0" w:line="252" w:lineRule="auto"/>
            </w:pPr>
            <w:r>
              <w:rPr>
                <w:sz w:val="17"/>
              </w:rPr>
              <w:t>vendor guidance for one product</w:t>
            </w:r>
          </w:p>
        </w:tc>
      </w:tr>
      <w:tr>
        <w:trPr>
          <w:cantSplit/>
        </w:trPr>
        <w:tc>
          <w:tcPr>
            <w:tcW w:type="dxa" w:w="5264"/>
          </w:tcPr>
          <w:p>
            <w:pPr>
              <w:spacing w:after="0" w:line="252" w:lineRule="auto"/>
            </w:pPr>
            <w:hyperlink r:id="rId19">
              <w:r>
                <w:rPr>
                  <w:color w:val="1570EF"/>
                  <w:u w:val="single"/>
                  <w:sz w:val="17"/>
                </w:rPr>
                <w:t xml:space="preserve">Nielsen Norman Group — Concise, SCANNABLE, and Objective (Morkes &amp; Nielsen, 1997)</w:t>
              </w:r>
            </w:hyperlink>
          </w:p>
        </w:tc>
        <w:tc>
          <w:tcPr>
            <w:tcW w:type="dxa" w:w="5264"/>
          </w:tcPr>
          <w:p>
            <w:pPr>
              <w:spacing w:after="0" w:line="252" w:lineRule="auto"/>
            </w:pPr>
            <w:r>
              <w:rPr>
                <w:sz w:val="17"/>
              </w:rPr>
              <w:t>Concise, scannable, objective text measured better than promotional text (58 % / 47 % / 27 %; combined 124 %) → §10</w:t>
            </w:r>
          </w:p>
        </w:tc>
        <w:tc>
          <w:tcPr>
            <w:tcW w:type="dxa" w:w="4496"/>
          </w:tcPr>
          <w:p>
            <w:pPr>
              <w:spacing w:after="0" w:line="252" w:lineRule="auto"/>
            </w:pPr>
            <w:r>
              <w:rPr>
                <w:sz w:val="17"/>
              </w:rPr>
              <w:t>1997 lab study, ~10 participants per condition; supportive, not decisive</w:t>
            </w:r>
          </w:p>
        </w:tc>
      </w:tr>
      <w:tr>
        <w:trPr>
          <w:cantSplit/>
        </w:trPr>
        <w:tc>
          <w:tcPr>
            <w:tcW w:type="dxa" w:w="5264"/>
            <w:shd w:val="clear" w:color="auto" w:fill="F9FAFB"/>
          </w:tcPr>
          <w:p>
            <w:pPr>
              <w:spacing w:after="0" w:line="252" w:lineRule="auto"/>
            </w:pPr>
            <w:hyperlink r:id="rId20">
              <w:r>
                <w:rPr>
                  <w:color w:val="1570EF"/>
                  <w:u w:val="single"/>
                  <w:sz w:val="17"/>
                </w:rPr>
                <w:t xml:space="preserve">W3C i18n — Setting the base direction (`dir`)</w:t>
              </w:r>
            </w:hyperlink>
            <w:r>
              <w:rPr>
                <w:sz w:val="17"/>
              </w:rPr>
              <w:t xml:space="preserve"> and </w:t>
            </w:r>
            <w:hyperlink r:id="rId21">
              <w:r>
                <w:rPr>
                  <w:color w:val="1570EF"/>
                  <w:u w:val="single"/>
                  <w:sz w:val="17"/>
                </w:rPr>
                <w:t xml:space="preserve">Unicode bidi basics</w:t>
              </w:r>
            </w:hyperlink>
          </w:p>
        </w:tc>
        <w:tc>
          <w:tcPr>
            <w:tcW w:type="dxa" w:w="5264"/>
            <w:shd w:val="clear" w:color="auto" w:fill="F9FAFB"/>
          </w:tcPr>
          <w:p>
            <w:pPr>
              <w:spacing w:after="0" w:line="252" w:lineRule="auto"/>
            </w:pPr>
            <w:r>
              <w:rPr>
                <w:sz w:val="17"/>
              </w:rPr>
              <w:t xml:space="preserve">Declare </w:t>
            </w:r>
            <w:r>
              <w:rPr>
                <w:rFonts w:ascii="Consolas" w:hAnsi="Consolas" w:cs="Consolas"/>
                <w:color w:val="B42318"/>
                <w:sz w:val="16"/>
              </w:rPr>
              <w:t>lang</w:t>
            </w:r>
            <w:r>
              <w:rPr>
                <w:sz w:val="17"/>
              </w:rPr>
              <w:t xml:space="preserve"> and </w:t>
            </w:r>
            <w:r>
              <w:rPr>
                <w:rFonts w:ascii="Consolas" w:hAnsi="Consolas" w:cs="Consolas"/>
                <w:color w:val="B42318"/>
                <w:sz w:val="16"/>
              </w:rPr>
              <w:t>dir</w:t>
            </w:r>
            <w:r>
              <w:rPr>
                <w:sz w:val="17"/>
              </w:rPr>
              <w:t xml:space="preserve">; digits and Latin runs inside Arabic are separate directional runs and boundary punctuation can land on the wrong side → D-10, C-08 (money strings such as </w:t>
            </w:r>
            <w:r>
              <w:rPr>
                <w:sz w:val="17"/>
                <w:rtl/>
                <w:rFonts w:cs="Arial"/>
                <w:szCs w:val="17"/>
              </w:rPr>
              <w:t>‫«14.92 مليار SAR»‬</w:t>
            </w:r>
            <w:r>
              <w:rPr>
                <w:sz w:val="17"/>
              </w:rPr>
              <w:t>)</w:t>
            </w:r>
          </w:p>
        </w:tc>
        <w:tc>
          <w:tcPr>
            <w:tcW w:type="dxa" w:w="4496"/>
            <w:shd w:val="clear" w:color="auto" w:fill="F9FAFB"/>
          </w:tcPr>
          <w:p>
            <w:pPr>
              <w:spacing w:after="0" w:line="252" w:lineRule="auto"/>
            </w:pPr>
            <w:r>
              <w:rPr>
                <w:sz w:val="17"/>
              </w:rPr>
              <w:t xml:space="preserve">the pages do not discuss dates or </w:t>
            </w:r>
            <w:r>
              <w:rPr>
                <w:rFonts w:ascii="Consolas" w:hAnsi="Consolas" w:cs="Consolas"/>
                <w:color w:val="B42318"/>
                <w:sz w:val="16"/>
              </w:rPr>
              <w:t>bdi</w:t>
            </w:r>
            <w:r>
              <w:rPr>
                <w:sz w:val="17"/>
              </w:rPr>
              <w:t xml:space="preserve"> specifically</w:t>
            </w:r>
          </w:p>
        </w:tc>
      </w:tr>
      <w:tr>
        <w:trPr>
          <w:cantSplit/>
        </w:trPr>
        <w:tc>
          <w:tcPr>
            <w:tcW w:type="dxa" w:w="5264"/>
          </w:tcPr>
          <w:p>
            <w:pPr>
              <w:spacing w:after="0" w:line="252" w:lineRule="auto"/>
            </w:pPr>
            <w:hyperlink r:id="rId22">
              <w:r>
                <w:rPr>
                  <w:color w:val="1570EF"/>
                  <w:u w:val="single"/>
                  <w:sz w:val="17"/>
                </w:rPr>
                <w:t xml:space="preserve">GOV.UK writing guidelines</w:t>
              </w:r>
            </w:hyperlink>
          </w:p>
        </w:tc>
        <w:tc>
          <w:tcPr>
            <w:tcW w:type="dxa" w:w="5264"/>
          </w:tcPr>
          <w:p>
            <w:pPr>
              <w:spacing w:after="0" w:line="252" w:lineRule="auto"/>
            </w:pPr>
            <w:r>
              <w:rPr>
                <w:sz w:val="17"/>
              </w:rPr>
              <w:t>Organise by user need, plain language, descriptive titles and summaries → §10</w:t>
            </w:r>
          </w:p>
        </w:tc>
        <w:tc>
          <w:tcPr>
            <w:tcW w:type="dxa" w:w="4496"/>
          </w:tcPr>
          <w:p>
            <w:pPr>
              <w:spacing w:after="0" w:line="252" w:lineRule="auto"/>
            </w:pPr>
            <w:r>
              <w:rPr>
                <w:sz w:val="17"/>
              </w:rPr>
              <w:t>only the section list was readable; specific rules not retrieved</w:t>
            </w:r>
          </w:p>
        </w:tc>
      </w:tr>
    </w:tbl>
    <w:p>
      <w:pPr>
        <w:spacing w:after="40"/>
      </w:pPr>
    </w:p>
    <w:p>
      <w:r>
        <w:t xml:space="preserve">Not retrievable in this session (so </w:t>
      </w:r>
      <w:r>
        <w:rPr>
          <w:b/>
        </w:rPr>
        <w:t>not</w:t>
      </w:r>
      <w:r>
        <w:t xml:space="preserve"> relied upon): the Saudi Digital Government Authority </w:t>
      </w:r>
      <w:r>
        <w:rPr>
          <w:i/>
        </w:rPr>
        <w:t>Platform Code</w:t>
      </w:r>
      <w:r>
        <w:t xml:space="preserve"> design system (the page returned no readable content; only secondary news confirms it was launched in November 2024 — please check its date-picker, RTL and Hijri guidance directly), Carbon and Cloudscape date-picker pages (incomplete), Material's bidirectionality page (no text). Secondary, unfetched snippets that informed wording only: Siemens iX date-picker guide (disabled out-of-range dates), Uxcel pickers (short preset lists).</w:t>
      </w:r>
    </w:p>
    <w:p>
      <w:pPr>
        <w:pStyle w:val="Heading2"/>
      </w:pPr>
      <w:r>
        <w:t>14. Updated priorities and remediation plan (adds to §6)</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842"/>
        <w:gridCol w:w="12181"/>
      </w:tblGrid>
      <w:tr>
        <w:trPr>
          <w:tblHeader w:val="true"/>
          <w:cantSplit/>
        </w:trPr>
        <w:tc>
          <w:tcPr>
            <w:tcW w:type="dxa" w:w="2842"/>
            <w:shd w:val="clear" w:color="auto" w:fill="1B8354"/>
          </w:tcPr>
          <w:p>
            <w:pPr>
              <w:spacing w:after="0" w:line="252" w:lineRule="auto"/>
            </w:pPr>
            <w:r>
              <w:rPr>
                <w:b/>
                <w:color w:val="FFFFFF"/>
                <w:sz w:val="17"/>
              </w:rPr>
              <w:t>Phase</w:t>
            </w:r>
          </w:p>
        </w:tc>
        <w:tc>
          <w:tcPr>
            <w:tcW w:type="dxa" w:w="12181"/>
            <w:shd w:val="clear" w:color="auto" w:fill="1B8354"/>
          </w:tcPr>
          <w:p>
            <w:pPr>
              <w:spacing w:after="0" w:line="252" w:lineRule="auto"/>
            </w:pPr>
            <w:r>
              <w:rPr>
                <w:b/>
                <w:color w:val="FFFFFF"/>
                <w:sz w:val="17"/>
              </w:rPr>
              <w:t>Added items</w:t>
            </w:r>
          </w:p>
        </w:tc>
      </w:tr>
      <w:tr>
        <w:trPr>
          <w:cantSplit/>
        </w:trPr>
        <w:tc>
          <w:tcPr>
            <w:tcW w:type="dxa" w:w="2842"/>
          </w:tcPr>
          <w:p>
            <w:pPr>
              <w:spacing w:after="0" w:line="252" w:lineRule="auto"/>
            </w:pPr>
            <w:r>
              <w:rPr>
                <w:b/>
                <w:sz w:val="17"/>
              </w:rPr>
              <w:t>0 — Stop-the-line</w:t>
            </w:r>
          </w:p>
        </w:tc>
        <w:tc>
          <w:tcPr>
            <w:tcW w:type="dxa" w:w="12181"/>
          </w:tcPr>
          <w:p>
            <w:pPr>
              <w:spacing w:after="0" w:line="252" w:lineRule="auto"/>
            </w:pPr>
            <w:r>
              <w:rPr>
                <w:sz w:val="17"/>
              </w:rPr>
              <w:t>D-01 range validation; D-02 coverage limits and message; D-04 reject future quarters; D-05 comparison only for matching scopes; D-06/F-01 visible basis; D-07 Riyadh formatting for all timestamps and file names; C-01 correct or remove the false statements (a–h); C-02/C-03 freeze the glossary and strip codes/ids/keys from visible text</w:t>
            </w:r>
          </w:p>
        </w:tc>
      </w:tr>
      <w:tr>
        <w:trPr>
          <w:cantSplit/>
        </w:trPr>
        <w:tc>
          <w:tcPr>
            <w:tcW w:type="dxa" w:w="2842"/>
            <w:shd w:val="clear" w:color="auto" w:fill="F9FAFB"/>
          </w:tcPr>
          <w:p>
            <w:pPr>
              <w:spacing w:after="0" w:line="252" w:lineRule="auto"/>
            </w:pPr>
            <w:r>
              <w:rPr>
                <w:b/>
                <w:sz w:val="17"/>
              </w:rPr>
              <w:t>1 — Consistency</w:t>
            </w:r>
          </w:p>
        </w:tc>
        <w:tc>
          <w:tcPr>
            <w:tcW w:type="dxa" w:w="12181"/>
            <w:shd w:val="clear" w:color="auto" w:fill="F9FAFB"/>
          </w:tcPr>
          <w:p>
            <w:pPr>
              <w:spacing w:after="0" w:line="252" w:lineRule="auto"/>
            </w:pPr>
            <w:r>
              <w:rPr>
                <w:sz w:val="17"/>
              </w:rPr>
              <w:t>one preset registry and one date/period module shared by control, chips, AI interpreter, planning and exports (D-03, D-08, D-14); the period control of §12.2 (typed input, hints, validation, apply, reset, active-filter count — D-09, D-15); date formatter and unit style (</w:t>
            </w:r>
            <w:r>
              <w:rPr>
                <w:sz w:val="17"/>
                <w:rtl/>
                <w:rFonts w:cs="Arial"/>
                <w:szCs w:val="17"/>
              </w:rPr>
              <w:t>‫«ريال»‬</w:t>
            </w:r>
            <w:r>
              <w:rPr>
                <w:sz w:val="17"/>
              </w:rPr>
              <w:t>, dates in words) (C-08, D-10); empty/invalid/error copy (rows 18–19); microcopy pass rows 1–30; named date columns (D-11); revised "?" panel (row 13)</w:t>
            </w:r>
          </w:p>
        </w:tc>
      </w:tr>
      <w:tr>
        <w:trPr>
          <w:cantSplit/>
        </w:trPr>
        <w:tc>
          <w:tcPr>
            <w:tcW w:type="dxa" w:w="2842"/>
          </w:tcPr>
          <w:p>
            <w:pPr>
              <w:spacing w:after="0" w:line="252" w:lineRule="auto"/>
            </w:pPr>
            <w:r>
              <w:rPr>
                <w:b/>
                <w:sz w:val="17"/>
              </w:rPr>
              <w:t>2 — UX / IA</w:t>
            </w:r>
          </w:p>
        </w:tc>
        <w:tc>
          <w:tcPr>
            <w:tcW w:type="dxa" w:w="12181"/>
          </w:tcPr>
          <w:p>
            <w:pPr>
              <w:spacing w:after="0" w:line="252" w:lineRule="auto"/>
            </w:pPr>
            <w:r>
              <w:rPr>
                <w:sz w:val="17"/>
              </w:rPr>
              <w:t>hierarchy restructure per §11.2 (attention block, collapsed budget card, report headers, planning status summary); disclaimers once (C-04); tooltip → popup/tap behaviour and keyboard (C-09); proposal and insight cards at 3–5 lines (rows 16, 28); Smart wording (rows 20–22); mobile sticky header</w:t>
            </w:r>
          </w:p>
        </w:tc>
      </w:tr>
      <w:tr>
        <w:trPr>
          <w:cantSplit/>
        </w:trPr>
        <w:tc>
          <w:tcPr>
            <w:tcW w:type="dxa" w:w="2842"/>
            <w:shd w:val="clear" w:color="auto" w:fill="F9FAFB"/>
          </w:tcPr>
          <w:p>
            <w:pPr>
              <w:spacing w:after="0" w:line="252" w:lineRule="auto"/>
            </w:pPr>
            <w:r>
              <w:rPr>
                <w:b/>
                <w:sz w:val="17"/>
              </w:rPr>
              <w:t>3 — Platform</w:t>
            </w:r>
          </w:p>
        </w:tc>
        <w:tc>
          <w:tcPr>
            <w:tcW w:type="dxa" w:w="12181"/>
            <w:shd w:val="clear" w:color="auto" w:fill="F9FAFB"/>
          </w:tcPr>
          <w:p>
            <w:pPr>
              <w:spacing w:after="0" w:line="252" w:lineRule="auto"/>
            </w:pPr>
            <w:r>
              <w:rPr>
                <w:sz w:val="17"/>
              </w:rPr>
              <w:t>rollover refresh (D-12); Hijri/localised calendar if required (Q13); content owner and glossary governance (Q16)</w:t>
            </w:r>
          </w:p>
        </w:tc>
      </w:tr>
    </w:tbl>
    <w:p>
      <w:pPr>
        <w:spacing w:after="40"/>
      </w:pPr>
    </w:p>
    <w:p>
      <w:r>
        <w:t>Tests to add: period-module table tests (each preset for 12 sample dates, month-ends, leap day, Jan 1); range validation; "closed period" cross-view parity; timestamp formatting at 22:00–03:00 UTC; copy lint (no English words, no raw keys/ids, no more than N pills per page).</w:t>
      </w:r>
    </w:p>
    <w:p>
      <w:pPr>
        <w:pStyle w:val="Heading2"/>
      </w:pPr>
      <w:r>
        <w:t>15. Additional questions</w:t>
      </w:r>
    </w:p>
    <w:p>
      <w:pPr>
        <w:spacing w:after="40"/>
        <w:ind w:left="510" w:hanging="283"/>
      </w:pPr>
      <w:r>
        <w:t xml:space="preserve">11.  </w:t>
      </w:r>
      <w:r>
        <w:rPr>
          <w:b/>
        </w:rPr>
        <w:t>Preset list:</w:t>
      </w:r>
      <w:r>
        <w:t xml:space="preserve"> are the seven presets in §12.2 right (add </w:t>
      </w:r>
      <w:r>
        <w:rPr>
          <w:i/>
          <w:rtl/>
          <w:rFonts w:cs="Arial"/>
        </w:rPr>
        <w:t>‫اليوم‬</w:t>
      </w:r>
      <w:r>
        <w:t xml:space="preserve">, </w:t>
      </w:r>
      <w:r>
        <w:rPr>
          <w:i/>
          <w:rtl/>
          <w:rFonts w:cs="Arial"/>
        </w:rPr>
        <w:t>‫آخر ربع مكتمل‬</w:t>
      </w:r>
      <w:r>
        <w:t xml:space="preserve">, </w:t>
      </w:r>
      <w:r>
        <w:rPr>
          <w:i/>
          <w:rtl/>
          <w:rFonts w:cs="Arial"/>
        </w:rPr>
        <w:t>‫آخر 12 شهراً‬</w:t>
      </w:r>
      <w:r>
        <w:t xml:space="preserve">; rename </w:t>
      </w:r>
      <w:r>
        <w:rPr>
          <w:rtl/>
          <w:rFonts w:cs="Arial"/>
        </w:rPr>
        <w:t>‫«آخر 3 أشهر»‬</w:t>
      </w:r>
      <w:r>
        <w:t xml:space="preserve">)? Should "last 3 months" mean three </w:t>
      </w:r>
      <w:r>
        <w:rPr>
          <w:b/>
        </w:rPr>
        <w:t>complete</w:t>
      </w:r>
      <w:r>
        <w:t xml:space="preserve"> months (recommended)?</w:t>
      </w:r>
    </w:p>
    <w:p>
      <w:pPr>
        <w:spacing w:after="40"/>
        <w:ind w:left="510" w:hanging="283"/>
      </w:pPr>
      <w:r>
        <w:t xml:space="preserve">12.  </w:t>
      </w:r>
      <w:r>
        <w:rPr>
          <w:b/>
        </w:rPr>
        <w:t>Digits and date style:</w:t>
      </w:r>
      <w:r>
        <w:t xml:space="preserve"> Western digits (current) or Arabic-Indic; Gregorian only, or Gregorian + Hijri (Umm al-Qura) side by side?</w:t>
      </w:r>
    </w:p>
    <w:p>
      <w:pPr>
        <w:spacing w:after="40"/>
        <w:ind w:left="510" w:hanging="283"/>
      </w:pPr>
      <w:r>
        <w:t xml:space="preserve">13.  </w:t>
      </w:r>
      <w:r>
        <w:rPr>
          <w:b/>
        </w:rPr>
        <w:t>Hijri requirement:</w:t>
      </w:r>
      <w:r>
        <w:t xml:space="preserve"> is a Hijri date picker/display mandatory for this audience, or optional?</w:t>
      </w:r>
    </w:p>
    <w:p>
      <w:pPr>
        <w:spacing w:after="40"/>
        <w:ind w:left="510" w:hanging="283"/>
      </w:pPr>
      <w:r>
        <w:t xml:space="preserve">14.  </w:t>
      </w:r>
      <w:r>
        <w:rPr>
          <w:b/>
        </w:rPr>
        <w:t>Fiscal year:</w:t>
      </w:r>
      <w:r>
        <w:t xml:space="preserve"> is the ministry fiscal year the Gregorian calendar year? (Currently assumed; drives </w:t>
      </w:r>
      <w:r>
        <w:rPr>
          <w:rtl/>
          <w:rFonts w:cs="Arial"/>
        </w:rPr>
        <w:t>‫«السنة حتى اليوم»‬</w:t>
      </w:r>
      <w:r>
        <w:t xml:space="preserve"> and the targets.)</w:t>
      </w:r>
    </w:p>
    <w:p>
      <w:pPr>
        <w:spacing w:after="40"/>
        <w:ind w:left="510" w:hanging="283"/>
      </w:pPr>
      <w:r>
        <w:t xml:space="preserve">15.  </w:t>
      </w:r>
      <w:r>
        <w:rPr>
          <w:b/>
        </w:rPr>
        <w:t>Default basis:</w:t>
      </w:r>
      <w:r>
        <w:t xml:space="preserve"> confirm "collected up to the period end" as the default headline for closed periods, with "to today" as a secondary figure (see Q1).</w:t>
      </w:r>
    </w:p>
    <w:p>
      <w:pPr>
        <w:spacing w:after="40"/>
        <w:ind w:left="510" w:hanging="283"/>
      </w:pPr>
      <w:r>
        <w:t xml:space="preserve">16.  </w:t>
      </w:r>
      <w:r>
        <w:rPr>
          <w:b/>
        </w:rPr>
        <w:t>Content ownership:</w:t>
      </w:r>
      <w:r>
        <w:t xml:space="preserve"> who approves the Arabic glossary and microcopy (finance, communications, or the product owner), and may unit style move from «SAR» to </w:t>
      </w:r>
      <w:r>
        <w:rPr>
          <w:rtl/>
          <w:rFonts w:cs="Arial"/>
        </w:rPr>
        <w:t>‫«ريال»‬</w:t>
      </w:r>
      <w:r>
        <w:t>?</w:t>
      </w:r>
    </w:p>
    <w:p>
      <w:pPr>
        <w:spacing w:after="40"/>
        <w:ind w:left="510" w:hanging="283"/>
      </w:pPr>
      <w:r>
        <w:t xml:space="preserve">17.  </w:t>
      </w:r>
      <w:r>
        <w:rPr>
          <w:b/>
        </w:rPr>
        <w:t>Disclaimers:</w:t>
      </w:r>
      <w:r>
        <w:t xml:space="preserve"> is one global </w:t>
      </w:r>
      <w:r>
        <w:rPr>
          <w:rtl/>
          <w:rFonts w:cs="Arial"/>
        </w:rPr>
        <w:t>‫«بيانات تجريبية»‬</w:t>
      </w:r>
      <w:r>
        <w:t xml:space="preserve"> badge acceptable, or must every export page carry the full statement?</w:t>
      </w:r>
    </w:p>
    <w:p>
      <w:pPr>
        <w:spacing w:after="40"/>
        <w:ind w:left="510" w:hanging="283"/>
      </w:pPr>
      <w:r>
        <w:t xml:space="preserve">18.  </w:t>
      </w:r>
      <w:r>
        <w:rPr>
          <w:b/>
        </w:rPr>
        <w:t>Attention block:</w:t>
      </w:r>
      <w:r>
        <w:t xml:space="preserve"> which three signals should the Dashboard always surface (e.g. aging &gt; 90 days, lowest-performing source, unapproved exclusions)?</w:t>
      </w:r>
    </w:p>
    <w:p>
      <w:pPr>
        <w:pStyle w:val="Heading2"/>
      </w:pPr>
      <w:r>
        <w:t>16. Limits of Part B</w:t>
      </w:r>
    </w:p>
    <w:p>
      <w:pPr>
        <w:spacing w:after="40"/>
        <w:ind w:left="510" w:hanging="283"/>
      </w:pPr>
      <w:r>
        <w:t xml:space="preserve">•  </w:t>
      </w:r>
      <w:r>
        <w:t>Screenshots from the brief were not visible. Wording proposals are drafts and need review by an Arabic content owner.</w:t>
      </w:r>
    </w:p>
    <w:p>
      <w:pPr>
        <w:spacing w:after="40"/>
        <w:ind w:left="510" w:hanging="283"/>
      </w:pPr>
      <w:r>
        <w:t xml:space="preserve">•  </w:t>
      </w:r>
      <w:r>
        <w:t>Native date-input rendering (format, digits, calendar popup) was not inspected visually; keyboard/screen-reader behaviour was not tested.</w:t>
      </w:r>
    </w:p>
    <w:p>
      <w:pPr>
        <w:spacing w:after="40"/>
        <w:ind w:left="510" w:hanging="283"/>
      </w:pPr>
      <w:r>
        <w:t xml:space="preserve">•  </w:t>
      </w:r>
      <w:r>
        <w:t>Word counts include table text; they are a relative measure, not a readability score.</w:t>
      </w:r>
    </w:p>
    <w:p>
      <w:pPr>
        <w:spacing w:after="40"/>
        <w:ind w:left="510" w:hanging="283"/>
      </w:pPr>
      <w:r>
        <w:t xml:space="preserve">•  </w:t>
      </w:r>
      <w:r>
        <w:t>UX sources are cited as retrieved on 2026-10-09; the DGA Platform Code, Carbon, Cloudscape and Material RTL pages could not be read.</w:t>
      </w:r>
    </w:p>
    <w:p>
      <w:pPr>
        <w:spacing w:after="40"/>
        <w:ind w:left="510" w:hanging="283"/>
      </w:pPr>
      <w:r>
        <w:t xml:space="preserve">•  </w:t>
      </w:r>
      <w:r>
        <w:t xml:space="preserve">During Part B only UI state was changed (filters were set to invalid/wide ranges and then reset to </w:t>
      </w:r>
      <w:r>
        <w:rPr>
          <w:i/>
        </w:rPr>
        <w:t>year to date</w:t>
      </w:r>
      <w:r>
        <w:t>; no plan, action or conversation data was written). The disclosure in §9 about the plan scenario value still applies.</w:t>
      </w:r>
    </w:p>
    <w:p>
      <w:r>
        <w:br w:type="page"/>
      </w:r>
    </w:p>
    <w:p>
      <w:pPr>
        <w:pStyle w:val="Heading1"/>
      </w:pPr>
      <w:r>
        <w:t>PART C — Platform review against the UX and visual reference (extension of the audit)</w:t>
      </w:r>
    </w:p>
    <w:p>
      <w:r>
        <w:t>Added 2026-10-09. Same rules: read-only analysis; nothing in the product was changed. Evidence labels as in the legend at the top (</w:t>
      </w:r>
      <w:r>
        <w:rPr>
          <w:b/>
        </w:rPr>
        <w:t>Verified (UI)</w:t>
      </w:r>
      <w:r>
        <w:t xml:space="preserve">, </w:t>
      </w:r>
      <w:r>
        <w:rPr>
          <w:b/>
        </w:rPr>
        <w:t>Verified (code)</w:t>
      </w:r>
      <w:r>
        <w:t xml:space="preserve">, </w:t>
      </w:r>
      <w:r>
        <w:rPr>
          <w:b/>
        </w:rPr>
        <w:t>Verified (data)</w:t>
      </w:r>
      <w:r>
        <w:t xml:space="preserve">, </w:t>
      </w:r>
      <w:r>
        <w:rPr>
          <w:b/>
        </w:rPr>
        <w:t>Hypothesis</w:t>
      </w:r>
      <w:r>
        <w:t xml:space="preserve">, </w:t>
      </w:r>
      <w:r>
        <w:rPr>
          <w:b/>
        </w:rPr>
        <w:t>Not tested</w:t>
      </w:r>
      <w:r>
        <w:t xml:space="preserve">). Findings continue as </w:t>
      </w:r>
      <w:r>
        <w:rPr>
          <w:b/>
        </w:rPr>
        <w:t>G-</w:t>
      </w:r>
      <w:r>
        <w:t xml:space="preserve"> (gap against the reference). Earlier ids (F-, C-, H-, D-) are cross-referenced, not repeated.</w:t>
      </w:r>
    </w:p>
    <w:p>
      <w:pPr>
        <w:pStyle w:val="Heading2"/>
      </w:pPr>
      <w:r>
        <w:t>17. The reference: what it is and what it actually specifies</w:t>
      </w:r>
    </w:p>
    <w:p>
      <w:pPr>
        <w:pStyle w:val="Heading3"/>
      </w:pPr>
      <w:r>
        <w:t>17.1 Sources read</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5008"/>
        <w:gridCol w:w="5008"/>
        <w:gridCol w:w="5008"/>
      </w:tblGrid>
      <w:tr>
        <w:trPr>
          <w:tblHeader w:val="true"/>
          <w:cantSplit/>
        </w:trPr>
        <w:tc>
          <w:tcPr>
            <w:tcW w:type="dxa" w:w="5008"/>
            <w:shd w:val="clear" w:color="auto" w:fill="1B8354"/>
          </w:tcPr>
          <w:p>
            <w:pPr>
              <w:spacing w:after="0" w:line="252" w:lineRule="auto"/>
            </w:pPr>
            <w:r>
              <w:rPr>
                <w:b/>
                <w:color w:val="FFFFFF"/>
                <w:sz w:val="17"/>
              </w:rPr>
              <w:t>Source</w:t>
            </w:r>
          </w:p>
        </w:tc>
        <w:tc>
          <w:tcPr>
            <w:tcW w:type="dxa" w:w="5008"/>
            <w:shd w:val="clear" w:color="auto" w:fill="1B8354"/>
          </w:tcPr>
          <w:p>
            <w:pPr>
              <w:spacing w:after="0" w:line="252" w:lineRule="auto"/>
            </w:pPr>
            <w:r>
              <w:rPr>
                <w:b/>
                <w:color w:val="FFFFFF"/>
                <w:sz w:val="17"/>
              </w:rPr>
              <w:t>What was read</w:t>
            </w:r>
          </w:p>
        </w:tc>
        <w:tc>
          <w:tcPr>
            <w:tcW w:type="dxa" w:w="5008"/>
            <w:shd w:val="clear" w:color="auto" w:fill="1B8354"/>
          </w:tcPr>
          <w:p>
            <w:pPr>
              <w:spacing w:after="0" w:line="252" w:lineRule="auto"/>
            </w:pPr>
            <w:r>
              <w:rPr>
                <w:b/>
                <w:color w:val="FFFFFF"/>
                <w:sz w:val="17"/>
              </w:rPr>
              <w:t>Limits</w:t>
            </w:r>
          </w:p>
        </w:tc>
      </w:tr>
      <w:tr>
        <w:trPr>
          <w:cantSplit/>
        </w:trPr>
        <w:tc>
          <w:tcPr>
            <w:tcW w:type="dxa" w:w="5008"/>
          </w:tcPr>
          <w:p>
            <w:pPr>
              <w:spacing w:after="0" w:line="252" w:lineRule="auto"/>
            </w:pPr>
            <w:r>
              <w:rPr>
                <w:b/>
                <w:sz w:val="17"/>
              </w:rPr>
              <w:t>«AI Foundations — Workshop #1 — UX/UI»</w:t>
            </w:r>
            <w:r>
              <w:rPr>
                <w:sz w:val="17"/>
              </w:rPr>
              <w:t xml:space="preserve"> (</w:t>
            </w:r>
            <w:r>
              <w:rPr>
                <w:rFonts w:ascii="Consolas" w:hAnsi="Consolas" w:cs="Consolas"/>
                <w:color w:val="B42318"/>
                <w:sz w:val="16"/>
              </w:rPr>
              <w:t>20260512 - AI Foundations - Workshop #1 - UX_UI.pdf</w:t>
            </w:r>
            <w:r>
              <w:rPr>
                <w:sz w:val="17"/>
              </w:rPr>
              <w:t>, 15 pages, author field "The Boston Consulting Group", May 2026; slides numbered 2, 21–31 and 47)</w:t>
            </w:r>
          </w:p>
        </w:tc>
        <w:tc>
          <w:tcPr>
            <w:tcW w:type="dxa" w:w="5008"/>
          </w:tcPr>
          <w:p>
            <w:pPr>
              <w:spacing w:after="0" w:line="252" w:lineRule="auto"/>
            </w:pPr>
            <w:r>
              <w:rPr>
                <w:sz w:val="17"/>
              </w:rPr>
              <w:t>all 15 pages, text and images; colour codes read from a 200 dpi render; the six hyperlinks extracted</w:t>
            </w:r>
          </w:p>
        </w:tc>
        <w:tc>
          <w:tcPr>
            <w:tcW w:type="dxa" w:w="5008"/>
          </w:tcPr>
          <w:p>
            <w:pPr>
              <w:spacing w:after="0" w:line="252" w:lineRule="auto"/>
            </w:pPr>
            <w:r>
              <w:rPr>
                <w:sz w:val="17"/>
              </w:rPr>
              <w:t xml:space="preserve">It is a </w:t>
            </w:r>
            <w:r>
              <w:rPr>
                <w:b/>
                <w:sz w:val="17"/>
              </w:rPr>
              <w:t>partial deck</w:t>
            </w:r>
            <w:r>
              <w:rPr>
                <w:sz w:val="17"/>
              </w:rPr>
              <w:t xml:space="preserve"> (pages 3–20 and 32–46 are not in the file) prepared for the </w:t>
            </w:r>
            <w:r>
              <w:rPr>
                <w:i/>
                <w:sz w:val="17"/>
              </w:rPr>
              <w:t>Technical Oversight Team that supports NHCI and MOMAH AI solutions</w:t>
            </w:r>
            <w:r>
              <w:rPr>
                <w:sz w:val="17"/>
              </w:rPr>
              <w:t xml:space="preserve">. It carries the </w:t>
            </w:r>
            <w:r>
              <w:rPr>
                <w:b/>
                <w:sz w:val="17"/>
              </w:rPr>
              <w:t>NHC Innovation</w:t>
            </w:r>
            <w:r>
              <w:rPr>
                <w:sz w:val="17"/>
              </w:rPr>
              <w:t xml:space="preserve"> logo, not a MOMAH identity manual.</w:t>
            </w:r>
          </w:p>
        </w:tc>
      </w:tr>
      <w:tr>
        <w:trPr>
          <w:cantSplit/>
        </w:trPr>
        <w:tc>
          <w:tcPr>
            <w:tcW w:type="dxa" w:w="5008"/>
            <w:shd w:val="clear" w:color="auto" w:fill="F9FAFB"/>
          </w:tcPr>
          <w:p>
            <w:pPr>
              <w:spacing w:after="0" w:line="252" w:lineRule="auto"/>
            </w:pPr>
            <w:r>
              <w:rPr>
                <w:b/>
                <w:sz w:val="17"/>
              </w:rPr>
              <w:t>[design.dga.gov.sa](https://design.dga.gov.sa/)</w:t>
            </w:r>
            <w:r>
              <w:rPr>
                <w:sz w:val="17"/>
              </w:rPr>
              <w:t xml:space="preserve"> (DGA "Platforms Code" design system, version 4.0, © 2024; linked from slides 5 and 11 and sent by you)</w:t>
            </w:r>
          </w:p>
        </w:tc>
        <w:tc>
          <w:tcPr>
            <w:tcW w:type="dxa" w:w="5008"/>
            <w:shd w:val="clear" w:color="auto" w:fill="F9FAFB"/>
          </w:tcPr>
          <w:p>
            <w:pPr>
              <w:spacing w:after="0" w:line="252" w:lineRule="auto"/>
            </w:pPr>
            <w:r>
              <w:rPr>
                <w:sz w:val="17"/>
              </w:rPr>
              <w:t>opened in the built-in browser and read: typography, layout and spacing, colour system (first part), iconography (first part), date picker, KPI card, charts, tooltip, table, buttons (first part), filter, top navigation header, chatbot template, accessibility article, consistency-and-unified-identity article</w:t>
            </w:r>
          </w:p>
        </w:tc>
        <w:tc>
          <w:tcPr>
            <w:tcW w:type="dxa" w:w="5008"/>
            <w:shd w:val="clear" w:color="auto" w:fill="F9FAFB"/>
          </w:tcPr>
          <w:p>
            <w:pPr>
              <w:spacing w:after="0" w:line="252" w:lineRule="auto"/>
            </w:pPr>
            <w:r>
              <w:rPr>
                <w:sz w:val="17"/>
              </w:rPr>
              <w:t>Not read: elevation, tabs, tags, notifications, modal, loading/skeleton, input, footer and the remaining templates. Component demos are "coming to Storybook".</w:t>
            </w:r>
          </w:p>
        </w:tc>
      </w:tr>
      <w:tr>
        <w:trPr>
          <w:cantSplit/>
        </w:trPr>
        <w:tc>
          <w:tcPr>
            <w:tcW w:type="dxa" w:w="5008"/>
          </w:tcPr>
          <w:p>
            <w:pPr>
              <w:spacing w:after="0" w:line="252" w:lineRule="auto"/>
            </w:pPr>
            <w:hyperlink r:id="rId23">
              <w:r>
                <w:rPr>
                  <w:color w:val="1570EF"/>
                  <w:u w:val="single"/>
                  <w:sz w:val="17"/>
                </w:rPr>
                <w:t xml:space="preserve">fonts.google.com — IBM Plex Sans</w:t>
              </w:r>
            </w:hyperlink>
            <w:r>
              <w:rPr>
                <w:sz w:val="17"/>
              </w:rPr>
              <w:t xml:space="preserve"> and </w:t>
            </w:r>
            <w:hyperlink r:id="rId24">
              <w:r>
                <w:rPr>
                  <w:color w:val="1570EF"/>
                  <w:u w:val="single"/>
                  <w:sz w:val="17"/>
                </w:rPr>
                <w:t xml:space="preserve">hugeicons.com</w:t>
              </w:r>
            </w:hyperlink>
            <w:r>
              <w:rPr>
                <w:sz w:val="17"/>
              </w:rPr>
              <w:t xml:space="preserve"> (linked from slides 8 and 10 and sent by you)</w:t>
            </w:r>
          </w:p>
        </w:tc>
        <w:tc>
          <w:tcPr>
            <w:tcW w:type="dxa" w:w="5008"/>
          </w:tcPr>
          <w:p>
            <w:pPr>
              <w:spacing w:after="0" w:line="252" w:lineRule="auto"/>
            </w:pPr>
            <w:r>
              <w:rPr>
                <w:sz w:val="17"/>
              </w:rPr>
              <w:t>Hugeicons home page read (60,000+ icons; Stroke/Twotone/Duotone/Solid/Bulk × Rounded/Standard/Sharp; free and Pro tiers; React/Vue/Angular/Flutter packages, icon font/CDN)</w:t>
            </w:r>
          </w:p>
        </w:tc>
        <w:tc>
          <w:tcPr>
            <w:tcW w:type="dxa" w:w="5008"/>
          </w:tcPr>
          <w:p>
            <w:pPr>
              <w:spacing w:after="0" w:line="252" w:lineRule="auto"/>
            </w:pPr>
            <w:r>
              <w:rPr>
                <w:sz w:val="17"/>
              </w:rPr>
              <w:t>The Google Fonts page was provided as a link only; the DGA typography page already names IBM Plex Sans.</w:t>
            </w:r>
          </w:p>
        </w:tc>
      </w:tr>
    </w:tbl>
    <w:p>
      <w:pPr>
        <w:spacing w:after="40"/>
      </w:pPr>
    </w:p>
    <w:p>
      <w:r>
        <w:rPr>
          <w:b/>
        </w:rPr>
        <w:t>How to read "explicit".</w:t>
      </w:r>
      <w:r>
        <w:t xml:space="preserve"> Throughout this part each rule is labelled </w:t>
      </w:r>
      <w:r>
        <w:rPr>
          <w:b/>
        </w:rPr>
        <w:t>[Deck]</w:t>
      </w:r>
      <w:r>
        <w:t xml:space="preserve"> (stated or shown in the workshop deck — treated as the MOMAH/NHCI requirement), </w:t>
      </w:r>
      <w:r>
        <w:rPr>
          <w:b/>
        </w:rPr>
        <w:t>[DGA]</w:t>
      </w:r>
      <w:r>
        <w:t xml:space="preserve"> (stated on design.dga.gov.sa, which the deck makes the </w:t>
      </w:r>
      <w:r>
        <w:rPr>
          <w:i/>
        </w:rPr>
        <w:t>fixed</w:t>
      </w:r>
      <w:r>
        <w:t xml:space="preserve"> foundation), or </w:t>
      </w:r>
      <w:r>
        <w:rPr>
          <w:b/>
        </w:rPr>
        <w:t>Rec.</w:t>
      </w:r>
      <w:r>
        <w:t xml:space="preserve"> (my recommendation, not in either source). Where something is not specified it is listed in §17.4 and I did not guess it.</w:t>
      </w:r>
    </w:p>
    <w:p>
      <w:pPr>
        <w:pStyle w:val="Heading3"/>
      </w:pPr>
      <w:r>
        <w:t>17.2 The ecosystem rules in the deck</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6824"/>
        <w:gridCol w:w="1376"/>
        <w:gridCol w:w="6824"/>
      </w:tblGrid>
      <w:tr>
        <w:trPr>
          <w:tblHeader w:val="true"/>
          <w:cantSplit/>
        </w:trPr>
        <w:tc>
          <w:tcPr>
            <w:tcW w:type="dxa" w:w="6824"/>
            <w:shd w:val="clear" w:color="auto" w:fill="1B8354"/>
          </w:tcPr>
          <w:p>
            <w:pPr>
              <w:spacing w:after="0" w:line="252" w:lineRule="auto"/>
            </w:pPr>
            <w:r>
              <w:rPr>
                <w:b/>
                <w:color w:val="FFFFFF"/>
                <w:sz w:val="17"/>
              </w:rPr>
              <w:t>Rule</w:t>
            </w:r>
          </w:p>
        </w:tc>
        <w:tc>
          <w:tcPr>
            <w:tcW w:type="dxa" w:w="1376"/>
            <w:shd w:val="clear" w:color="auto" w:fill="1B8354"/>
          </w:tcPr>
          <w:p>
            <w:pPr>
              <w:spacing w:after="0" w:line="252" w:lineRule="auto"/>
            </w:pPr>
            <w:r>
              <w:rPr>
                <w:b/>
                <w:color w:val="FFFFFF"/>
                <w:sz w:val="17"/>
              </w:rPr>
              <w:t>Where</w:t>
            </w:r>
          </w:p>
        </w:tc>
        <w:tc>
          <w:tcPr>
            <w:tcW w:type="dxa" w:w="6824"/>
            <w:shd w:val="clear" w:color="auto" w:fill="1B8354"/>
          </w:tcPr>
          <w:p>
            <w:pPr>
              <w:spacing w:after="0" w:line="252" w:lineRule="auto"/>
            </w:pPr>
            <w:r>
              <w:rPr>
                <w:b/>
                <w:color w:val="FFFFFF"/>
                <w:sz w:val="17"/>
              </w:rPr>
              <w:t>Meaning for this platform</w:t>
            </w:r>
          </w:p>
        </w:tc>
      </w:tr>
      <w:tr>
        <w:trPr>
          <w:cantSplit/>
        </w:trPr>
        <w:tc>
          <w:tcPr>
            <w:tcW w:type="dxa" w:w="6824"/>
          </w:tcPr>
          <w:p>
            <w:pPr>
              <w:spacing w:after="0" w:line="252" w:lineRule="auto"/>
            </w:pPr>
            <w:r>
              <w:rPr>
                <w:sz w:val="17"/>
              </w:rPr>
              <w:t xml:space="preserve">Three layers: </w:t>
            </w:r>
            <w:r>
              <w:rPr>
                <w:b/>
                <w:sz w:val="17"/>
              </w:rPr>
              <w:t>DGA Foundation (Fixed)</w:t>
            </w:r>
            <w:r>
              <w:rPr>
                <w:sz w:val="17"/>
              </w:rPr>
              <w:t xml:space="preserve"> — colour system, typography, spacing and layout, core component behaviour; </w:t>
            </w:r>
            <w:r>
              <w:rPr>
                <w:b/>
                <w:sz w:val="17"/>
              </w:rPr>
              <w:t>Product customization (Flexible)</w:t>
            </w:r>
            <w:r>
              <w:rPr>
                <w:sz w:val="17"/>
              </w:rPr>
              <w:t xml:space="preserve"> — layouts and workflows (dashboard, tools, chat-first), micro-interactions, visual tone (radius, density, optional brand accents); </w:t>
            </w:r>
            <w:r>
              <w:rPr>
                <w:b/>
                <w:sz w:val="17"/>
              </w:rPr>
              <w:t>AI extensions (Expandable)</w:t>
            </w:r>
            <w:r>
              <w:rPr>
                <w:sz w:val="17"/>
              </w:rPr>
              <w:t xml:space="preserve"> — AI states (thinking, generating, refining), AI indicators (e.g. "AI-generated"), confidence levels and explainability cues, conversational UI</w:t>
            </w:r>
          </w:p>
        </w:tc>
        <w:tc>
          <w:tcPr>
            <w:tcW w:type="dxa" w:w="1376"/>
          </w:tcPr>
          <w:p>
            <w:pPr>
              <w:spacing w:after="0" w:line="252" w:lineRule="auto"/>
            </w:pPr>
            <w:r>
              <w:rPr>
                <w:sz w:val="17"/>
              </w:rPr>
              <w:t>[Deck] p.6</w:t>
            </w:r>
          </w:p>
        </w:tc>
        <w:tc>
          <w:tcPr>
            <w:tcW w:type="dxa" w:w="6824"/>
          </w:tcPr>
          <w:p>
            <w:pPr>
              <w:spacing w:after="0" w:line="252" w:lineRule="auto"/>
            </w:pPr>
            <w:r>
              <w:rPr>
                <w:sz w:val="17"/>
              </w:rPr>
              <w:t xml:space="preserve">colours, type, spacing and core components may </w:t>
            </w:r>
            <w:r>
              <w:rPr>
                <w:b/>
                <w:sz w:val="17"/>
              </w:rPr>
              <w:t>not</w:t>
            </w:r>
            <w:r>
              <w:rPr>
                <w:sz w:val="17"/>
              </w:rPr>
              <w:t xml:space="preserve"> vary per product; layouts, density, radius and accents may; AI-specific patterns are added on top</w:t>
            </w:r>
          </w:p>
        </w:tc>
      </w:tr>
      <w:tr>
        <w:trPr>
          <w:cantSplit/>
        </w:trPr>
        <w:tc>
          <w:tcPr>
            <w:tcW w:type="dxa" w:w="6824"/>
            <w:shd w:val="clear" w:color="auto" w:fill="F9FAFB"/>
          </w:tcPr>
          <w:p>
            <w:pPr>
              <w:spacing w:after="0" w:line="252" w:lineRule="auto"/>
            </w:pPr>
            <w:r>
              <w:rPr>
                <w:sz w:val="17"/>
              </w:rPr>
              <w:t xml:space="preserve">AI products must be </w:t>
            </w:r>
            <w:r>
              <w:rPr>
                <w:b/>
                <w:sz w:val="17"/>
              </w:rPr>
              <w:t>Consistent</w:t>
            </w:r>
            <w:r>
              <w:rPr>
                <w:sz w:val="17"/>
              </w:rPr>
              <w:t xml:space="preserve"> (same patterns, voice, design language), </w:t>
            </w:r>
            <w:r>
              <w:rPr>
                <w:b/>
                <w:sz w:val="17"/>
              </w:rPr>
              <w:t>Trustworthy</w:t>
            </w:r>
            <w:r>
              <w:rPr>
                <w:sz w:val="17"/>
              </w:rPr>
              <w:t xml:space="preserve"> ("users always know what AI is doing and why: transparent, honest, in control of the user") and </w:t>
            </w:r>
            <w:r>
              <w:rPr>
                <w:b/>
                <w:sz w:val="17"/>
              </w:rPr>
              <w:t>Compliant</w:t>
            </w:r>
            <w:r>
              <w:rPr>
                <w:sz w:val="17"/>
              </w:rPr>
              <w:t xml:space="preserve"> (aligned with Saudi digital-government standards)</w:t>
            </w:r>
          </w:p>
        </w:tc>
        <w:tc>
          <w:tcPr>
            <w:tcW w:type="dxa" w:w="1376"/>
            <w:shd w:val="clear" w:color="auto" w:fill="F9FAFB"/>
          </w:tcPr>
          <w:p>
            <w:pPr>
              <w:spacing w:after="0" w:line="252" w:lineRule="auto"/>
            </w:pPr>
            <w:r>
              <w:rPr>
                <w:sz w:val="17"/>
              </w:rPr>
              <w:t>[Deck] p.4</w:t>
            </w:r>
          </w:p>
        </w:tc>
        <w:tc>
          <w:tcPr>
            <w:tcW w:type="dxa" w:w="6824"/>
            <w:shd w:val="clear" w:color="auto" w:fill="F9FAFB"/>
          </w:tcPr>
          <w:p>
            <w:pPr>
              <w:spacing w:after="0" w:line="252" w:lineRule="auto"/>
            </w:pPr>
            <w:r>
              <w:rPr>
                <w:sz w:val="17"/>
              </w:rPr>
              <w:t>a shared look across NHCI/MOMAH solutions is the point of the framework</w:t>
            </w:r>
          </w:p>
        </w:tc>
      </w:tr>
      <w:tr>
        <w:trPr>
          <w:cantSplit/>
        </w:trPr>
        <w:tc>
          <w:tcPr>
            <w:tcW w:type="dxa" w:w="6824"/>
          </w:tcPr>
          <w:p>
            <w:pPr>
              <w:spacing w:after="0" w:line="252" w:lineRule="auto"/>
            </w:pPr>
            <w:r>
              <w:rPr>
                <w:sz w:val="17"/>
              </w:rPr>
              <w:t xml:space="preserve">"AI solutions may introduce </w:t>
            </w:r>
            <w:r>
              <w:rPr>
                <w:b/>
                <w:sz w:val="17"/>
              </w:rPr>
              <w:t>additional accent colours</w:t>
            </w:r>
            <w:r>
              <w:rPr>
                <w:sz w:val="17"/>
              </w:rPr>
              <w:t xml:space="preserve"> … while maintaining alignment with the core system"</w:t>
            </w:r>
          </w:p>
        </w:tc>
        <w:tc>
          <w:tcPr>
            <w:tcW w:type="dxa" w:w="1376"/>
          </w:tcPr>
          <w:p>
            <w:pPr>
              <w:spacing w:after="0" w:line="252" w:lineRule="auto"/>
            </w:pPr>
            <w:r>
              <w:rPr>
                <w:sz w:val="17"/>
              </w:rPr>
              <w:t>[Deck] p.7</w:t>
            </w:r>
          </w:p>
        </w:tc>
        <w:tc>
          <w:tcPr>
            <w:tcW w:type="dxa" w:w="6824"/>
          </w:tcPr>
          <w:p>
            <w:pPr>
              <w:spacing w:after="0" w:line="252" w:lineRule="auto"/>
            </w:pPr>
            <w:r>
              <w:rPr>
                <w:sz w:val="17"/>
              </w:rPr>
              <w:t>the platform may keep a non-DGA accent if the core palette is respected</w:t>
            </w:r>
          </w:p>
        </w:tc>
      </w:tr>
      <w:tr>
        <w:trPr>
          <w:cantSplit/>
        </w:trPr>
        <w:tc>
          <w:tcPr>
            <w:tcW w:type="dxa" w:w="6824"/>
            <w:shd w:val="clear" w:color="auto" w:fill="F9FAFB"/>
          </w:tcPr>
          <w:p>
            <w:pPr>
              <w:spacing w:after="0" w:line="252" w:lineRule="auto"/>
            </w:pPr>
            <w:r>
              <w:rPr>
                <w:sz w:val="17"/>
              </w:rPr>
              <w:t xml:space="preserve">Component categories to use: Actions (buttons, dropdowns, links, chips); Content display (cards, lists, accordions); Data display (tables, charts, </w:t>
            </w:r>
            <w:r>
              <w:rPr>
                <w:b/>
                <w:sz w:val="17"/>
              </w:rPr>
              <w:t>metrics</w:t>
            </w:r>
            <w:r>
              <w:rPr>
                <w:sz w:val="17"/>
              </w:rPr>
              <w:t xml:space="preserve">, avatars); Forms and inputs (inputs, </w:t>
            </w:r>
            <w:r>
              <w:rPr>
                <w:b/>
                <w:sz w:val="17"/>
              </w:rPr>
              <w:t>datepicker</w:t>
            </w:r>
            <w:r>
              <w:rPr>
                <w:sz w:val="17"/>
              </w:rPr>
              <w:t xml:space="preserve">, upload, selection); Navigation (menu, tabs, pagination, </w:t>
            </w:r>
            <w:r>
              <w:rPr>
                <w:b/>
                <w:sz w:val="17"/>
              </w:rPr>
              <w:t>breadcrumbs</w:t>
            </w:r>
            <w:r>
              <w:rPr>
                <w:sz w:val="17"/>
              </w:rPr>
              <w:t xml:space="preserve">); Feedback (notifications, modals, </w:t>
            </w:r>
            <w:r>
              <w:rPr>
                <w:b/>
                <w:sz w:val="17"/>
              </w:rPr>
              <w:t>tooltips</w:t>
            </w:r>
            <w:r>
              <w:rPr>
                <w:sz w:val="17"/>
              </w:rPr>
              <w:t xml:space="preserve">, loading); Search and </w:t>
            </w:r>
            <w:r>
              <w:rPr>
                <w:b/>
                <w:sz w:val="17"/>
              </w:rPr>
              <w:t>filters</w:t>
            </w:r>
            <w:r>
              <w:rPr>
                <w:sz w:val="17"/>
              </w:rPr>
              <w:t xml:space="preserve"> (search, tags, filtering); UI shell (</w:t>
            </w:r>
            <w:r>
              <w:rPr>
                <w:b/>
                <w:sz w:val="17"/>
              </w:rPr>
              <w:t>headers</w:t>
            </w:r>
            <w:r>
              <w:rPr>
                <w:sz w:val="17"/>
              </w:rPr>
              <w:t xml:space="preserve">, navigation drawer, </w:t>
            </w:r>
            <w:r>
              <w:rPr>
                <w:b/>
                <w:sz w:val="17"/>
              </w:rPr>
              <w:t>footer</w:t>
            </w:r>
            <w:r>
              <w:rPr>
                <w:sz w:val="17"/>
              </w:rPr>
              <w:t>)</w:t>
            </w:r>
          </w:p>
        </w:tc>
        <w:tc>
          <w:tcPr>
            <w:tcW w:type="dxa" w:w="1376"/>
            <w:shd w:val="clear" w:color="auto" w:fill="F9FAFB"/>
          </w:tcPr>
          <w:p>
            <w:pPr>
              <w:spacing w:after="0" w:line="252" w:lineRule="auto"/>
            </w:pPr>
            <w:r>
              <w:rPr>
                <w:sz w:val="17"/>
              </w:rPr>
              <w:t>[Deck] p.11</w:t>
            </w:r>
          </w:p>
        </w:tc>
        <w:tc>
          <w:tcPr>
            <w:tcW w:type="dxa" w:w="6824"/>
            <w:shd w:val="clear" w:color="auto" w:fill="F9FAFB"/>
          </w:tcPr>
          <w:p>
            <w:pPr>
              <w:spacing w:after="0" w:line="252" w:lineRule="auto"/>
            </w:pPr>
            <w:r>
              <w:rPr>
                <w:sz w:val="17"/>
              </w:rPr>
              <w:t>maps to §19</w:t>
            </w:r>
          </w:p>
        </w:tc>
      </w:tr>
      <w:tr>
        <w:trPr>
          <w:cantSplit/>
        </w:trPr>
        <w:tc>
          <w:tcPr>
            <w:tcW w:type="dxa" w:w="6824"/>
          </w:tcPr>
          <w:p>
            <w:pPr>
              <w:spacing w:after="0" w:line="252" w:lineRule="auto"/>
            </w:pPr>
            <w:r>
              <w:rPr>
                <w:sz w:val="17"/>
              </w:rPr>
              <w:t xml:space="preserve">Design character and tone sliders (institutional↔accessible, serious↔approachable, analytical↔expressive, authoritative↔assistive, advanced↔familiar, structured↔flexible; formal↔conversational, directive↔suggestive, technical↔clear &amp; plain) and the sentence "AI communication should feel </w:t>
            </w:r>
            <w:r>
              <w:rPr>
                <w:b/>
                <w:sz w:val="17"/>
              </w:rPr>
              <w:t>helpful, trustworthy and easy to understand, never overwhelming or unclear</w:t>
            </w:r>
            <w:r>
              <w:rPr>
                <w:sz w:val="17"/>
              </w:rPr>
              <w:t>"</w:t>
            </w:r>
          </w:p>
        </w:tc>
        <w:tc>
          <w:tcPr>
            <w:tcW w:type="dxa" w:w="1376"/>
          </w:tcPr>
          <w:p>
            <w:pPr>
              <w:spacing w:after="0" w:line="252" w:lineRule="auto"/>
            </w:pPr>
            <w:r>
              <w:rPr>
                <w:sz w:val="17"/>
              </w:rPr>
              <w:t>[Deck] pp.12–13</w:t>
            </w:r>
          </w:p>
        </w:tc>
        <w:tc>
          <w:tcPr>
            <w:tcW w:type="dxa" w:w="6824"/>
          </w:tcPr>
          <w:p>
            <w:pPr>
              <w:spacing w:after="0" w:line="252" w:lineRule="auto"/>
            </w:pPr>
            <w:r>
              <w:rPr>
                <w:sz w:val="17"/>
              </w:rPr>
              <w:t>the sliders are qualitative (no numeric positions); the sentence is the only testable tone rule</w:t>
            </w:r>
          </w:p>
        </w:tc>
      </w:tr>
    </w:tbl>
    <w:p>
      <w:pPr>
        <w:spacing w:after="40"/>
      </w:pPr>
    </w:p>
    <w:p>
      <w:pPr>
        <w:pStyle w:val="Heading3"/>
      </w:pPr>
      <w:r>
        <w:t>17.3 Concrete specifications extracted</w:t>
      </w:r>
    </w:p>
    <w:p>
      <w:r>
        <w:rPr>
          <w:b/>
        </w:rPr>
        <w:t>Colour</w:t>
      </w:r>
      <w:r>
        <w:t xml:space="preserve"> [Deck p.7] — six palettes with hex codes (read from the render):</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345"/>
        <w:gridCol w:w="1057"/>
        <w:gridCol w:w="1057"/>
        <w:gridCol w:w="1057"/>
        <w:gridCol w:w="1057"/>
        <w:gridCol w:w="1057"/>
        <w:gridCol w:w="1057"/>
        <w:gridCol w:w="1057"/>
        <w:gridCol w:w="1057"/>
        <w:gridCol w:w="1057"/>
        <w:gridCol w:w="1057"/>
        <w:gridCol w:w="1057"/>
        <w:gridCol w:w="1057"/>
      </w:tblGrid>
      <w:tr>
        <w:trPr>
          <w:tblHeader w:val="true"/>
          <w:cantSplit/>
        </w:trPr>
        <w:tc>
          <w:tcPr>
            <w:tcW w:type="dxa" w:w="2345"/>
            <w:shd w:val="clear" w:color="auto" w:fill="1B8354"/>
          </w:tcPr>
          <w:p>
            <w:pPr>
              <w:spacing w:after="0" w:line="252" w:lineRule="auto"/>
            </w:pPr>
            <w:r>
              <w:rPr>
                <w:b/>
                <w:color w:val="FFFFFF"/>
                <w:sz w:val="16"/>
              </w:rPr>
              <w:t>Palette</w:t>
            </w:r>
          </w:p>
        </w:tc>
        <w:tc>
          <w:tcPr>
            <w:tcW w:type="dxa" w:w="1057"/>
            <w:shd w:val="clear" w:color="auto" w:fill="1B8354"/>
          </w:tcPr>
          <w:p>
            <w:pPr>
              <w:spacing w:after="0" w:line="252" w:lineRule="auto"/>
            </w:pPr>
            <w:r>
              <w:rPr>
                <w:b/>
                <w:color w:val="FFFFFF"/>
                <w:sz w:val="16"/>
              </w:rPr>
              <w:t>25</w:t>
            </w:r>
          </w:p>
        </w:tc>
        <w:tc>
          <w:tcPr>
            <w:tcW w:type="dxa" w:w="1057"/>
            <w:shd w:val="clear" w:color="auto" w:fill="1B8354"/>
          </w:tcPr>
          <w:p>
            <w:pPr>
              <w:spacing w:after="0" w:line="252" w:lineRule="auto"/>
            </w:pPr>
            <w:r>
              <w:rPr>
                <w:b/>
                <w:color w:val="FFFFFF"/>
                <w:sz w:val="16"/>
              </w:rPr>
              <w:t>50</w:t>
            </w:r>
          </w:p>
        </w:tc>
        <w:tc>
          <w:tcPr>
            <w:tcW w:type="dxa" w:w="1057"/>
            <w:shd w:val="clear" w:color="auto" w:fill="1B8354"/>
          </w:tcPr>
          <w:p>
            <w:pPr>
              <w:spacing w:after="0" w:line="252" w:lineRule="auto"/>
            </w:pPr>
            <w:r>
              <w:rPr>
                <w:b/>
                <w:color w:val="FFFFFF"/>
                <w:sz w:val="16"/>
              </w:rPr>
              <w:t>100</w:t>
            </w:r>
          </w:p>
        </w:tc>
        <w:tc>
          <w:tcPr>
            <w:tcW w:type="dxa" w:w="1057"/>
            <w:shd w:val="clear" w:color="auto" w:fill="1B8354"/>
          </w:tcPr>
          <w:p>
            <w:pPr>
              <w:spacing w:after="0" w:line="252" w:lineRule="auto"/>
            </w:pPr>
            <w:r>
              <w:rPr>
                <w:b/>
                <w:color w:val="FFFFFF"/>
                <w:sz w:val="16"/>
              </w:rPr>
              <w:t>200</w:t>
            </w:r>
          </w:p>
        </w:tc>
        <w:tc>
          <w:tcPr>
            <w:tcW w:type="dxa" w:w="1057"/>
            <w:shd w:val="clear" w:color="auto" w:fill="1B8354"/>
          </w:tcPr>
          <w:p>
            <w:pPr>
              <w:spacing w:after="0" w:line="252" w:lineRule="auto"/>
            </w:pPr>
            <w:r>
              <w:rPr>
                <w:b/>
                <w:color w:val="FFFFFF"/>
                <w:sz w:val="16"/>
              </w:rPr>
              <w:t>300</w:t>
            </w:r>
          </w:p>
        </w:tc>
        <w:tc>
          <w:tcPr>
            <w:tcW w:type="dxa" w:w="1057"/>
            <w:shd w:val="clear" w:color="auto" w:fill="1B8354"/>
          </w:tcPr>
          <w:p>
            <w:pPr>
              <w:spacing w:after="0" w:line="252" w:lineRule="auto"/>
            </w:pPr>
            <w:r>
              <w:rPr>
                <w:b/>
                <w:color w:val="FFFFFF"/>
                <w:sz w:val="16"/>
              </w:rPr>
              <w:t>400</w:t>
            </w:r>
          </w:p>
        </w:tc>
        <w:tc>
          <w:tcPr>
            <w:tcW w:type="dxa" w:w="1057"/>
            <w:shd w:val="clear" w:color="auto" w:fill="1B8354"/>
          </w:tcPr>
          <w:p>
            <w:pPr>
              <w:spacing w:after="0" w:line="252" w:lineRule="auto"/>
            </w:pPr>
            <w:r>
              <w:rPr>
                <w:b/>
                <w:color w:val="FFFFFF"/>
                <w:sz w:val="16"/>
              </w:rPr>
              <w:t>500</w:t>
            </w:r>
          </w:p>
        </w:tc>
        <w:tc>
          <w:tcPr>
            <w:tcW w:type="dxa" w:w="1057"/>
            <w:shd w:val="clear" w:color="auto" w:fill="1B8354"/>
          </w:tcPr>
          <w:p>
            <w:pPr>
              <w:spacing w:after="0" w:line="252" w:lineRule="auto"/>
            </w:pPr>
            <w:r>
              <w:rPr>
                <w:b/>
                <w:color w:val="FFFFFF"/>
                <w:sz w:val="16"/>
              </w:rPr>
              <w:t>600</w:t>
            </w:r>
          </w:p>
        </w:tc>
        <w:tc>
          <w:tcPr>
            <w:tcW w:type="dxa" w:w="1057"/>
            <w:shd w:val="clear" w:color="auto" w:fill="1B8354"/>
          </w:tcPr>
          <w:p>
            <w:pPr>
              <w:spacing w:after="0" w:line="252" w:lineRule="auto"/>
            </w:pPr>
            <w:r>
              <w:rPr>
                <w:b/>
                <w:color w:val="FFFFFF"/>
                <w:sz w:val="16"/>
              </w:rPr>
              <w:t>700</w:t>
            </w:r>
          </w:p>
        </w:tc>
        <w:tc>
          <w:tcPr>
            <w:tcW w:type="dxa" w:w="1057"/>
            <w:shd w:val="clear" w:color="auto" w:fill="1B8354"/>
          </w:tcPr>
          <w:p>
            <w:pPr>
              <w:spacing w:after="0" w:line="252" w:lineRule="auto"/>
            </w:pPr>
            <w:r>
              <w:rPr>
                <w:b/>
                <w:color w:val="FFFFFF"/>
                <w:sz w:val="16"/>
              </w:rPr>
              <w:t>800</w:t>
            </w:r>
          </w:p>
        </w:tc>
        <w:tc>
          <w:tcPr>
            <w:tcW w:type="dxa" w:w="1057"/>
            <w:shd w:val="clear" w:color="auto" w:fill="1B8354"/>
          </w:tcPr>
          <w:p>
            <w:pPr>
              <w:spacing w:after="0" w:line="252" w:lineRule="auto"/>
            </w:pPr>
            <w:r>
              <w:rPr>
                <w:b/>
                <w:color w:val="FFFFFF"/>
                <w:sz w:val="16"/>
              </w:rPr>
              <w:t>900</w:t>
            </w:r>
          </w:p>
        </w:tc>
        <w:tc>
          <w:tcPr>
            <w:tcW w:type="dxa" w:w="1057"/>
            <w:shd w:val="clear" w:color="auto" w:fill="1B8354"/>
          </w:tcPr>
          <w:p>
            <w:pPr>
              <w:spacing w:after="0" w:line="252" w:lineRule="auto"/>
            </w:pPr>
            <w:r>
              <w:rPr>
                <w:b/>
                <w:color w:val="FFFFFF"/>
                <w:sz w:val="16"/>
              </w:rPr>
              <w:t>950</w:t>
            </w:r>
          </w:p>
        </w:tc>
      </w:tr>
      <w:tr>
        <w:trPr>
          <w:cantSplit/>
        </w:trPr>
        <w:tc>
          <w:tcPr>
            <w:tcW w:type="dxa" w:w="2345"/>
          </w:tcPr>
          <w:p>
            <w:pPr>
              <w:spacing w:after="0" w:line="252" w:lineRule="auto"/>
            </w:pPr>
            <w:r>
              <w:rPr>
                <w:sz w:val="16"/>
              </w:rPr>
              <w:t>Neutral (Gray)</w:t>
            </w:r>
          </w:p>
        </w:tc>
        <w:tc>
          <w:tcPr>
            <w:tcW w:type="dxa" w:w="1057"/>
          </w:tcPr>
          <w:p>
            <w:pPr>
              <w:spacing w:after="0" w:line="252" w:lineRule="auto"/>
            </w:pPr>
            <w:r>
              <w:rPr>
                <w:sz w:val="16"/>
              </w:rPr>
              <w:t>FCFCFD</w:t>
            </w:r>
          </w:p>
        </w:tc>
        <w:tc>
          <w:tcPr>
            <w:tcW w:type="dxa" w:w="1057"/>
          </w:tcPr>
          <w:p>
            <w:pPr>
              <w:spacing w:after="0" w:line="252" w:lineRule="auto"/>
            </w:pPr>
            <w:r>
              <w:rPr>
                <w:sz w:val="16"/>
              </w:rPr>
              <w:t>F9FAFB</w:t>
            </w:r>
          </w:p>
        </w:tc>
        <w:tc>
          <w:tcPr>
            <w:tcW w:type="dxa" w:w="1057"/>
          </w:tcPr>
          <w:p>
            <w:pPr>
              <w:spacing w:after="0" w:line="252" w:lineRule="auto"/>
            </w:pPr>
            <w:r>
              <w:rPr>
                <w:sz w:val="16"/>
              </w:rPr>
              <w:t>F3F4F6</w:t>
            </w:r>
          </w:p>
        </w:tc>
        <w:tc>
          <w:tcPr>
            <w:tcW w:type="dxa" w:w="1057"/>
          </w:tcPr>
          <w:p>
            <w:pPr>
              <w:spacing w:after="0" w:line="252" w:lineRule="auto"/>
            </w:pPr>
            <w:r>
              <w:rPr>
                <w:sz w:val="16"/>
              </w:rPr>
              <w:t>E5E7EB</w:t>
            </w:r>
          </w:p>
        </w:tc>
        <w:tc>
          <w:tcPr>
            <w:tcW w:type="dxa" w:w="1057"/>
          </w:tcPr>
          <w:p>
            <w:pPr>
              <w:spacing w:after="0" w:line="252" w:lineRule="auto"/>
            </w:pPr>
            <w:r>
              <w:rPr>
                <w:sz w:val="16"/>
              </w:rPr>
              <w:t>D2D6DB</w:t>
            </w:r>
          </w:p>
        </w:tc>
        <w:tc>
          <w:tcPr>
            <w:tcW w:type="dxa" w:w="1057"/>
          </w:tcPr>
          <w:p>
            <w:pPr>
              <w:spacing w:after="0" w:line="252" w:lineRule="auto"/>
            </w:pPr>
            <w:r>
              <w:rPr>
                <w:sz w:val="16"/>
              </w:rPr>
              <w:t>9DA4AE</w:t>
            </w:r>
          </w:p>
        </w:tc>
        <w:tc>
          <w:tcPr>
            <w:tcW w:type="dxa" w:w="1057"/>
          </w:tcPr>
          <w:p>
            <w:pPr>
              <w:spacing w:after="0" w:line="252" w:lineRule="auto"/>
            </w:pPr>
            <w:r>
              <w:rPr>
                <w:sz w:val="16"/>
              </w:rPr>
              <w:t>6C737F</w:t>
            </w:r>
          </w:p>
        </w:tc>
        <w:tc>
          <w:tcPr>
            <w:tcW w:type="dxa" w:w="1057"/>
          </w:tcPr>
          <w:p>
            <w:pPr>
              <w:spacing w:after="0" w:line="252" w:lineRule="auto"/>
            </w:pPr>
            <w:r>
              <w:rPr>
                <w:sz w:val="16"/>
              </w:rPr>
              <w:t>4D5761</w:t>
            </w:r>
          </w:p>
        </w:tc>
        <w:tc>
          <w:tcPr>
            <w:tcW w:type="dxa" w:w="1057"/>
          </w:tcPr>
          <w:p>
            <w:pPr>
              <w:spacing w:after="0" w:line="252" w:lineRule="auto"/>
            </w:pPr>
            <w:r>
              <w:rPr>
                <w:sz w:val="16"/>
              </w:rPr>
              <w:t>384250</w:t>
            </w:r>
          </w:p>
        </w:tc>
        <w:tc>
          <w:tcPr>
            <w:tcW w:type="dxa" w:w="1057"/>
          </w:tcPr>
          <w:p>
            <w:pPr>
              <w:spacing w:after="0" w:line="252" w:lineRule="auto"/>
            </w:pPr>
            <w:r>
              <w:rPr>
                <w:sz w:val="16"/>
              </w:rPr>
              <w:t>1F2A37</w:t>
            </w:r>
          </w:p>
        </w:tc>
        <w:tc>
          <w:tcPr>
            <w:tcW w:type="dxa" w:w="1057"/>
          </w:tcPr>
          <w:p>
            <w:pPr>
              <w:spacing w:after="0" w:line="252" w:lineRule="auto"/>
            </w:pPr>
            <w:r>
              <w:rPr>
                <w:sz w:val="16"/>
              </w:rPr>
              <w:t>111927</w:t>
            </w:r>
          </w:p>
        </w:tc>
        <w:tc>
          <w:tcPr>
            <w:tcW w:type="dxa" w:w="1057"/>
          </w:tcPr>
          <w:p>
            <w:pPr>
              <w:spacing w:after="0" w:line="252" w:lineRule="auto"/>
            </w:pPr>
            <w:r>
              <w:rPr>
                <w:sz w:val="16"/>
              </w:rPr>
              <w:t>0D121C</w:t>
            </w:r>
          </w:p>
        </w:tc>
      </w:tr>
      <w:tr>
        <w:trPr>
          <w:cantSplit/>
        </w:trPr>
        <w:tc>
          <w:tcPr>
            <w:tcW w:type="dxa" w:w="2345"/>
            <w:shd w:val="clear" w:color="auto" w:fill="F9FAFB"/>
          </w:tcPr>
          <w:p>
            <w:pPr>
              <w:spacing w:after="0" w:line="252" w:lineRule="auto"/>
            </w:pPr>
            <w:r>
              <w:rPr>
                <w:sz w:val="16"/>
              </w:rPr>
              <w:t>Primary "Saudi green" (SA)</w:t>
            </w:r>
          </w:p>
        </w:tc>
        <w:tc>
          <w:tcPr>
            <w:tcW w:type="dxa" w:w="1057"/>
            <w:shd w:val="clear" w:color="auto" w:fill="F9FAFB"/>
          </w:tcPr>
          <w:p>
            <w:pPr>
              <w:spacing w:after="0" w:line="252" w:lineRule="auto"/>
            </w:pPr>
            <w:r>
              <w:rPr>
                <w:sz w:val="16"/>
              </w:rPr>
              <w:t>F7FDF9</w:t>
            </w:r>
          </w:p>
        </w:tc>
        <w:tc>
          <w:tcPr>
            <w:tcW w:type="dxa" w:w="1057"/>
            <w:shd w:val="clear" w:color="auto" w:fill="F9FAFB"/>
          </w:tcPr>
          <w:p>
            <w:pPr>
              <w:spacing w:after="0" w:line="252" w:lineRule="auto"/>
            </w:pPr>
            <w:r>
              <w:rPr>
                <w:sz w:val="16"/>
              </w:rPr>
              <w:t>F3FCF6</w:t>
            </w:r>
          </w:p>
        </w:tc>
        <w:tc>
          <w:tcPr>
            <w:tcW w:type="dxa" w:w="1057"/>
            <w:shd w:val="clear" w:color="auto" w:fill="F9FAFB"/>
          </w:tcPr>
          <w:p>
            <w:pPr>
              <w:spacing w:after="0" w:line="252" w:lineRule="auto"/>
            </w:pPr>
            <w:r>
              <w:rPr>
                <w:sz w:val="16"/>
              </w:rPr>
              <w:t>DFF6E7</w:t>
            </w:r>
          </w:p>
        </w:tc>
        <w:tc>
          <w:tcPr>
            <w:tcW w:type="dxa" w:w="1057"/>
            <w:shd w:val="clear" w:color="auto" w:fill="F9FAFB"/>
          </w:tcPr>
          <w:p>
            <w:pPr>
              <w:spacing w:after="0" w:line="252" w:lineRule="auto"/>
            </w:pPr>
            <w:r>
              <w:rPr>
                <w:sz w:val="16"/>
              </w:rPr>
              <w:t>B8EACB</w:t>
            </w:r>
          </w:p>
        </w:tc>
        <w:tc>
          <w:tcPr>
            <w:tcW w:type="dxa" w:w="1057"/>
            <w:shd w:val="clear" w:color="auto" w:fill="F9FAFB"/>
          </w:tcPr>
          <w:p>
            <w:pPr>
              <w:spacing w:after="0" w:line="252" w:lineRule="auto"/>
            </w:pPr>
            <w:r>
              <w:rPr>
                <w:sz w:val="16"/>
              </w:rPr>
              <w:t>88D8AD</w:t>
            </w:r>
          </w:p>
        </w:tc>
        <w:tc>
          <w:tcPr>
            <w:tcW w:type="dxa" w:w="1057"/>
            <w:shd w:val="clear" w:color="auto" w:fill="F9FAFB"/>
          </w:tcPr>
          <w:p>
            <w:pPr>
              <w:spacing w:after="0" w:line="252" w:lineRule="auto"/>
            </w:pPr>
            <w:r>
              <w:rPr>
                <w:sz w:val="16"/>
              </w:rPr>
              <w:t>54C08A</w:t>
            </w:r>
          </w:p>
        </w:tc>
        <w:tc>
          <w:tcPr>
            <w:tcW w:type="dxa" w:w="1057"/>
            <w:shd w:val="clear" w:color="auto" w:fill="F9FAFB"/>
          </w:tcPr>
          <w:p>
            <w:pPr>
              <w:spacing w:after="0" w:line="252" w:lineRule="auto"/>
            </w:pPr>
            <w:r>
              <w:rPr>
                <w:sz w:val="16"/>
              </w:rPr>
              <w:t>25935F</w:t>
            </w:r>
          </w:p>
        </w:tc>
        <w:tc>
          <w:tcPr>
            <w:tcW w:type="dxa" w:w="1057"/>
            <w:shd w:val="clear" w:color="auto" w:fill="F9FAFB"/>
          </w:tcPr>
          <w:p>
            <w:pPr>
              <w:spacing w:after="0" w:line="252" w:lineRule="auto"/>
            </w:pPr>
            <w:r>
              <w:rPr>
                <w:b/>
                <w:sz w:val="16"/>
              </w:rPr>
              <w:t>1B8354</w:t>
            </w:r>
          </w:p>
        </w:tc>
        <w:tc>
          <w:tcPr>
            <w:tcW w:type="dxa" w:w="1057"/>
            <w:shd w:val="clear" w:color="auto" w:fill="F9FAFB"/>
          </w:tcPr>
          <w:p>
            <w:pPr>
              <w:spacing w:after="0" w:line="252" w:lineRule="auto"/>
            </w:pPr>
            <w:r>
              <w:rPr>
                <w:sz w:val="16"/>
              </w:rPr>
              <w:t>166A45</w:t>
            </w:r>
          </w:p>
        </w:tc>
        <w:tc>
          <w:tcPr>
            <w:tcW w:type="dxa" w:w="1057"/>
            <w:shd w:val="clear" w:color="auto" w:fill="F9FAFB"/>
          </w:tcPr>
          <w:p>
            <w:pPr>
              <w:spacing w:after="0" w:line="252" w:lineRule="auto"/>
            </w:pPr>
            <w:r>
              <w:rPr>
                <w:sz w:val="16"/>
              </w:rPr>
              <w:t>14573A</w:t>
            </w:r>
          </w:p>
        </w:tc>
        <w:tc>
          <w:tcPr>
            <w:tcW w:type="dxa" w:w="1057"/>
            <w:shd w:val="clear" w:color="auto" w:fill="F9FAFB"/>
          </w:tcPr>
          <w:p>
            <w:pPr>
              <w:spacing w:after="0" w:line="252" w:lineRule="auto"/>
            </w:pPr>
            <w:r>
              <w:rPr>
                <w:sz w:val="16"/>
              </w:rPr>
              <w:t>104631</w:t>
            </w:r>
          </w:p>
        </w:tc>
        <w:tc>
          <w:tcPr>
            <w:tcW w:type="dxa" w:w="1057"/>
            <w:shd w:val="clear" w:color="auto" w:fill="F9FAFB"/>
          </w:tcPr>
          <w:p>
            <w:pPr>
              <w:spacing w:after="0" w:line="252" w:lineRule="auto"/>
            </w:pPr>
            <w:r>
              <w:rPr>
                <w:sz w:val="16"/>
              </w:rPr>
              <w:t>092A1E</w:t>
            </w:r>
          </w:p>
        </w:tc>
      </w:tr>
      <w:tr>
        <w:trPr>
          <w:cantSplit/>
        </w:trPr>
        <w:tc>
          <w:tcPr>
            <w:tcW w:type="dxa" w:w="2345"/>
          </w:tcPr>
          <w:p>
            <w:pPr>
              <w:spacing w:after="0" w:line="252" w:lineRule="auto"/>
            </w:pPr>
            <w:r>
              <w:rPr>
                <w:sz w:val="16"/>
              </w:rPr>
              <w:t>Warning</w:t>
            </w:r>
          </w:p>
        </w:tc>
        <w:tc>
          <w:tcPr>
            <w:tcW w:type="dxa" w:w="1057"/>
          </w:tcPr>
          <w:p>
            <w:pPr>
              <w:spacing w:after="0" w:line="252" w:lineRule="auto"/>
            </w:pPr>
            <w:r>
              <w:rPr>
                <w:sz w:val="16"/>
              </w:rPr>
              <w:t>FFFCF5</w:t>
            </w:r>
          </w:p>
        </w:tc>
        <w:tc>
          <w:tcPr>
            <w:tcW w:type="dxa" w:w="1057"/>
          </w:tcPr>
          <w:p>
            <w:pPr>
              <w:spacing w:after="0" w:line="252" w:lineRule="auto"/>
            </w:pPr>
            <w:r>
              <w:rPr>
                <w:sz w:val="16"/>
              </w:rPr>
              <w:t>FFFAEB</w:t>
            </w:r>
          </w:p>
        </w:tc>
        <w:tc>
          <w:tcPr>
            <w:tcW w:type="dxa" w:w="1057"/>
          </w:tcPr>
          <w:p>
            <w:pPr>
              <w:spacing w:after="0" w:line="252" w:lineRule="auto"/>
            </w:pPr>
            <w:r>
              <w:rPr>
                <w:sz w:val="16"/>
              </w:rPr>
              <w:t>FEF0C7</w:t>
            </w:r>
          </w:p>
        </w:tc>
        <w:tc>
          <w:tcPr>
            <w:tcW w:type="dxa" w:w="1057"/>
          </w:tcPr>
          <w:p>
            <w:pPr>
              <w:spacing w:after="0" w:line="252" w:lineRule="auto"/>
            </w:pPr>
            <w:r>
              <w:rPr>
                <w:sz w:val="16"/>
              </w:rPr>
              <w:t>FEDF89</w:t>
            </w:r>
          </w:p>
        </w:tc>
        <w:tc>
          <w:tcPr>
            <w:tcW w:type="dxa" w:w="1057"/>
          </w:tcPr>
          <w:p>
            <w:pPr>
              <w:spacing w:after="0" w:line="252" w:lineRule="auto"/>
            </w:pPr>
            <w:r>
              <w:rPr>
                <w:sz w:val="16"/>
              </w:rPr>
              <w:t>FEC84B</w:t>
            </w:r>
          </w:p>
        </w:tc>
        <w:tc>
          <w:tcPr>
            <w:tcW w:type="dxa" w:w="1057"/>
          </w:tcPr>
          <w:p>
            <w:pPr>
              <w:spacing w:after="0" w:line="252" w:lineRule="auto"/>
            </w:pPr>
            <w:r>
              <w:rPr>
                <w:sz w:val="16"/>
              </w:rPr>
              <w:t>FDB022</w:t>
            </w:r>
          </w:p>
        </w:tc>
        <w:tc>
          <w:tcPr>
            <w:tcW w:type="dxa" w:w="1057"/>
          </w:tcPr>
          <w:p>
            <w:pPr>
              <w:spacing w:after="0" w:line="252" w:lineRule="auto"/>
            </w:pPr>
            <w:r>
              <w:rPr>
                <w:sz w:val="16"/>
              </w:rPr>
              <w:t>F79009</w:t>
            </w:r>
          </w:p>
        </w:tc>
        <w:tc>
          <w:tcPr>
            <w:tcW w:type="dxa" w:w="1057"/>
          </w:tcPr>
          <w:p>
            <w:pPr>
              <w:spacing w:after="0" w:line="252" w:lineRule="auto"/>
            </w:pPr>
            <w:r>
              <w:rPr>
                <w:sz w:val="16"/>
              </w:rPr>
              <w:t>DC6803</w:t>
            </w:r>
          </w:p>
        </w:tc>
        <w:tc>
          <w:tcPr>
            <w:tcW w:type="dxa" w:w="1057"/>
          </w:tcPr>
          <w:p>
            <w:pPr>
              <w:spacing w:after="0" w:line="252" w:lineRule="auto"/>
            </w:pPr>
            <w:r>
              <w:rPr>
                <w:sz w:val="16"/>
              </w:rPr>
              <w:t>B54708</w:t>
            </w:r>
          </w:p>
        </w:tc>
        <w:tc>
          <w:tcPr>
            <w:tcW w:type="dxa" w:w="1057"/>
          </w:tcPr>
          <w:p>
            <w:pPr>
              <w:spacing w:after="0" w:line="252" w:lineRule="auto"/>
            </w:pPr>
            <w:r>
              <w:rPr>
                <w:sz w:val="16"/>
              </w:rPr>
              <w:t>93370D</w:t>
            </w:r>
          </w:p>
        </w:tc>
        <w:tc>
          <w:tcPr>
            <w:tcW w:type="dxa" w:w="1057"/>
          </w:tcPr>
          <w:p>
            <w:pPr>
              <w:spacing w:after="0" w:line="252" w:lineRule="auto"/>
            </w:pPr>
            <w:r>
              <w:rPr>
                <w:sz w:val="16"/>
              </w:rPr>
              <w:t>7A2E0E</w:t>
            </w:r>
          </w:p>
        </w:tc>
        <w:tc>
          <w:tcPr>
            <w:tcW w:type="dxa" w:w="1057"/>
          </w:tcPr>
          <w:p>
            <w:pPr>
              <w:spacing w:after="0" w:line="252" w:lineRule="auto"/>
            </w:pPr>
            <w:r>
              <w:rPr>
                <w:sz w:val="16"/>
              </w:rPr>
              <w:t>4E1D09</w:t>
            </w:r>
          </w:p>
        </w:tc>
      </w:tr>
      <w:tr>
        <w:trPr>
          <w:cantSplit/>
        </w:trPr>
        <w:tc>
          <w:tcPr>
            <w:tcW w:type="dxa" w:w="2345"/>
            <w:shd w:val="clear" w:color="auto" w:fill="F9FAFB"/>
          </w:tcPr>
          <w:p>
            <w:pPr>
              <w:spacing w:after="0" w:line="252" w:lineRule="auto"/>
            </w:pPr>
            <w:r>
              <w:rPr>
                <w:sz w:val="16"/>
              </w:rPr>
              <w:t>Error</w:t>
            </w:r>
          </w:p>
        </w:tc>
        <w:tc>
          <w:tcPr>
            <w:tcW w:type="dxa" w:w="1057"/>
            <w:shd w:val="clear" w:color="auto" w:fill="F9FAFB"/>
          </w:tcPr>
          <w:p>
            <w:pPr>
              <w:spacing w:after="0" w:line="252" w:lineRule="auto"/>
            </w:pPr>
            <w:r>
              <w:rPr>
                <w:sz w:val="16"/>
              </w:rPr>
              <w:t>FFFBFA</w:t>
            </w:r>
          </w:p>
        </w:tc>
        <w:tc>
          <w:tcPr>
            <w:tcW w:type="dxa" w:w="1057"/>
            <w:shd w:val="clear" w:color="auto" w:fill="F9FAFB"/>
          </w:tcPr>
          <w:p>
            <w:pPr>
              <w:spacing w:after="0" w:line="252" w:lineRule="auto"/>
            </w:pPr>
            <w:r>
              <w:rPr>
                <w:sz w:val="16"/>
              </w:rPr>
              <w:t>FEF3F2</w:t>
            </w:r>
          </w:p>
        </w:tc>
        <w:tc>
          <w:tcPr>
            <w:tcW w:type="dxa" w:w="1057"/>
            <w:shd w:val="clear" w:color="auto" w:fill="F9FAFB"/>
          </w:tcPr>
          <w:p>
            <w:pPr>
              <w:spacing w:after="0" w:line="252" w:lineRule="auto"/>
            </w:pPr>
            <w:r>
              <w:rPr>
                <w:sz w:val="16"/>
              </w:rPr>
              <w:t>FEE4E2</w:t>
            </w:r>
          </w:p>
        </w:tc>
        <w:tc>
          <w:tcPr>
            <w:tcW w:type="dxa" w:w="1057"/>
            <w:shd w:val="clear" w:color="auto" w:fill="F9FAFB"/>
          </w:tcPr>
          <w:p>
            <w:pPr>
              <w:spacing w:after="0" w:line="252" w:lineRule="auto"/>
            </w:pPr>
            <w:r>
              <w:rPr>
                <w:sz w:val="16"/>
              </w:rPr>
              <w:t>FECDCA</w:t>
            </w:r>
          </w:p>
        </w:tc>
        <w:tc>
          <w:tcPr>
            <w:tcW w:type="dxa" w:w="1057"/>
            <w:shd w:val="clear" w:color="auto" w:fill="F9FAFB"/>
          </w:tcPr>
          <w:p>
            <w:pPr>
              <w:spacing w:after="0" w:line="252" w:lineRule="auto"/>
            </w:pPr>
            <w:r>
              <w:rPr>
                <w:sz w:val="16"/>
              </w:rPr>
              <w:t>FDA29B</w:t>
            </w:r>
          </w:p>
        </w:tc>
        <w:tc>
          <w:tcPr>
            <w:tcW w:type="dxa" w:w="1057"/>
            <w:shd w:val="clear" w:color="auto" w:fill="F9FAFB"/>
          </w:tcPr>
          <w:p>
            <w:pPr>
              <w:spacing w:after="0" w:line="252" w:lineRule="auto"/>
            </w:pPr>
            <w:r>
              <w:rPr>
                <w:sz w:val="16"/>
              </w:rPr>
              <w:t>F97066</w:t>
            </w:r>
          </w:p>
        </w:tc>
        <w:tc>
          <w:tcPr>
            <w:tcW w:type="dxa" w:w="1057"/>
            <w:shd w:val="clear" w:color="auto" w:fill="F9FAFB"/>
          </w:tcPr>
          <w:p>
            <w:pPr>
              <w:spacing w:after="0" w:line="252" w:lineRule="auto"/>
            </w:pPr>
            <w:r>
              <w:rPr>
                <w:sz w:val="16"/>
              </w:rPr>
              <w:t>F04438</w:t>
            </w:r>
          </w:p>
        </w:tc>
        <w:tc>
          <w:tcPr>
            <w:tcW w:type="dxa" w:w="1057"/>
            <w:shd w:val="clear" w:color="auto" w:fill="F9FAFB"/>
          </w:tcPr>
          <w:p>
            <w:pPr>
              <w:spacing w:after="0" w:line="252" w:lineRule="auto"/>
            </w:pPr>
            <w:r>
              <w:rPr>
                <w:sz w:val="16"/>
              </w:rPr>
              <w:t>D92D20</w:t>
            </w:r>
          </w:p>
        </w:tc>
        <w:tc>
          <w:tcPr>
            <w:tcW w:type="dxa" w:w="1057"/>
            <w:shd w:val="clear" w:color="auto" w:fill="F9FAFB"/>
          </w:tcPr>
          <w:p>
            <w:pPr>
              <w:spacing w:after="0" w:line="252" w:lineRule="auto"/>
            </w:pPr>
            <w:r>
              <w:rPr>
                <w:sz w:val="16"/>
              </w:rPr>
              <w:t>B42318</w:t>
            </w:r>
          </w:p>
        </w:tc>
        <w:tc>
          <w:tcPr>
            <w:tcW w:type="dxa" w:w="1057"/>
            <w:shd w:val="clear" w:color="auto" w:fill="F9FAFB"/>
          </w:tcPr>
          <w:p>
            <w:pPr>
              <w:spacing w:after="0" w:line="252" w:lineRule="auto"/>
            </w:pPr>
            <w:r>
              <w:rPr>
                <w:sz w:val="16"/>
              </w:rPr>
              <w:t>912018</w:t>
            </w:r>
          </w:p>
        </w:tc>
        <w:tc>
          <w:tcPr>
            <w:tcW w:type="dxa" w:w="1057"/>
            <w:shd w:val="clear" w:color="auto" w:fill="F9FAFB"/>
          </w:tcPr>
          <w:p>
            <w:pPr>
              <w:spacing w:after="0" w:line="252" w:lineRule="auto"/>
            </w:pPr>
            <w:r>
              <w:rPr>
                <w:sz w:val="16"/>
              </w:rPr>
              <w:t>7A271A</w:t>
            </w:r>
          </w:p>
        </w:tc>
        <w:tc>
          <w:tcPr>
            <w:tcW w:type="dxa" w:w="1057"/>
            <w:shd w:val="clear" w:color="auto" w:fill="F9FAFB"/>
          </w:tcPr>
          <w:p>
            <w:pPr>
              <w:spacing w:after="0" w:line="252" w:lineRule="auto"/>
            </w:pPr>
            <w:r>
              <w:rPr>
                <w:sz w:val="16"/>
              </w:rPr>
              <w:t>55160C</w:t>
            </w:r>
          </w:p>
        </w:tc>
      </w:tr>
      <w:tr>
        <w:trPr>
          <w:cantSplit/>
        </w:trPr>
        <w:tc>
          <w:tcPr>
            <w:tcW w:type="dxa" w:w="2345"/>
          </w:tcPr>
          <w:p>
            <w:pPr>
              <w:spacing w:after="0" w:line="252" w:lineRule="auto"/>
            </w:pPr>
            <w:r>
              <w:rPr>
                <w:sz w:val="16"/>
              </w:rPr>
              <w:t>Info</w:t>
            </w:r>
          </w:p>
        </w:tc>
        <w:tc>
          <w:tcPr>
            <w:tcW w:type="dxa" w:w="1057"/>
          </w:tcPr>
          <w:p>
            <w:pPr>
              <w:spacing w:after="0" w:line="252" w:lineRule="auto"/>
            </w:pPr>
            <w:r>
              <w:rPr>
                <w:sz w:val="16"/>
              </w:rPr>
              <w:t>F5FAFF</w:t>
            </w:r>
          </w:p>
        </w:tc>
        <w:tc>
          <w:tcPr>
            <w:tcW w:type="dxa" w:w="1057"/>
          </w:tcPr>
          <w:p>
            <w:pPr>
              <w:spacing w:after="0" w:line="252" w:lineRule="auto"/>
            </w:pPr>
            <w:r>
              <w:rPr>
                <w:sz w:val="16"/>
              </w:rPr>
              <w:t>ECFDF3*</w:t>
            </w:r>
          </w:p>
        </w:tc>
        <w:tc>
          <w:tcPr>
            <w:tcW w:type="dxa" w:w="1057"/>
          </w:tcPr>
          <w:p>
            <w:pPr>
              <w:spacing w:after="0" w:line="252" w:lineRule="auto"/>
            </w:pPr>
            <w:r>
              <w:rPr>
                <w:sz w:val="16"/>
              </w:rPr>
              <w:t>D1E9FF</w:t>
            </w:r>
          </w:p>
        </w:tc>
        <w:tc>
          <w:tcPr>
            <w:tcW w:type="dxa" w:w="1057"/>
          </w:tcPr>
          <w:p>
            <w:pPr>
              <w:spacing w:after="0" w:line="252" w:lineRule="auto"/>
            </w:pPr>
            <w:r>
              <w:rPr>
                <w:sz w:val="16"/>
              </w:rPr>
              <w:t>B2DDFF</w:t>
            </w:r>
          </w:p>
        </w:tc>
        <w:tc>
          <w:tcPr>
            <w:tcW w:type="dxa" w:w="1057"/>
          </w:tcPr>
          <w:p>
            <w:pPr>
              <w:spacing w:after="0" w:line="252" w:lineRule="auto"/>
            </w:pPr>
            <w:r>
              <w:rPr>
                <w:sz w:val="16"/>
              </w:rPr>
              <w:t>84CAFF</w:t>
            </w:r>
          </w:p>
        </w:tc>
        <w:tc>
          <w:tcPr>
            <w:tcW w:type="dxa" w:w="1057"/>
          </w:tcPr>
          <w:p>
            <w:pPr>
              <w:spacing w:after="0" w:line="252" w:lineRule="auto"/>
            </w:pPr>
            <w:r>
              <w:rPr>
                <w:sz w:val="16"/>
              </w:rPr>
              <w:t>53B1FD</w:t>
            </w:r>
          </w:p>
        </w:tc>
        <w:tc>
          <w:tcPr>
            <w:tcW w:type="dxa" w:w="1057"/>
          </w:tcPr>
          <w:p>
            <w:pPr>
              <w:spacing w:after="0" w:line="252" w:lineRule="auto"/>
            </w:pPr>
            <w:r>
              <w:rPr>
                <w:sz w:val="16"/>
              </w:rPr>
              <w:t>2E90FA</w:t>
            </w:r>
          </w:p>
        </w:tc>
        <w:tc>
          <w:tcPr>
            <w:tcW w:type="dxa" w:w="1057"/>
          </w:tcPr>
          <w:p>
            <w:pPr>
              <w:spacing w:after="0" w:line="252" w:lineRule="auto"/>
            </w:pPr>
            <w:r>
              <w:rPr>
                <w:sz w:val="16"/>
              </w:rPr>
              <w:t>1570EF</w:t>
            </w:r>
          </w:p>
        </w:tc>
        <w:tc>
          <w:tcPr>
            <w:tcW w:type="dxa" w:w="1057"/>
          </w:tcPr>
          <w:p>
            <w:pPr>
              <w:spacing w:after="0" w:line="252" w:lineRule="auto"/>
            </w:pPr>
            <w:r>
              <w:rPr>
                <w:sz w:val="16"/>
              </w:rPr>
              <w:t>175CD3</w:t>
            </w:r>
          </w:p>
        </w:tc>
        <w:tc>
          <w:tcPr>
            <w:tcW w:type="dxa" w:w="1057"/>
          </w:tcPr>
          <w:p>
            <w:pPr>
              <w:spacing w:after="0" w:line="252" w:lineRule="auto"/>
            </w:pPr>
            <w:r>
              <w:rPr>
                <w:sz w:val="16"/>
              </w:rPr>
              <w:t>1849A9</w:t>
            </w:r>
          </w:p>
        </w:tc>
        <w:tc>
          <w:tcPr>
            <w:tcW w:type="dxa" w:w="1057"/>
          </w:tcPr>
          <w:p>
            <w:pPr>
              <w:spacing w:after="0" w:line="252" w:lineRule="auto"/>
            </w:pPr>
            <w:r>
              <w:rPr>
                <w:sz w:val="16"/>
              </w:rPr>
              <w:t>194185</w:t>
            </w:r>
          </w:p>
        </w:tc>
        <w:tc>
          <w:tcPr>
            <w:tcW w:type="dxa" w:w="1057"/>
          </w:tcPr>
          <w:p>
            <w:pPr>
              <w:spacing w:after="0" w:line="252" w:lineRule="auto"/>
            </w:pPr>
            <w:r>
              <w:rPr>
                <w:sz w:val="16"/>
              </w:rPr>
              <w:t>102A56</w:t>
            </w:r>
          </w:p>
        </w:tc>
      </w:tr>
      <w:tr>
        <w:trPr>
          <w:cantSplit/>
        </w:trPr>
        <w:tc>
          <w:tcPr>
            <w:tcW w:type="dxa" w:w="2345"/>
            <w:shd w:val="clear" w:color="auto" w:fill="F9FAFB"/>
          </w:tcPr>
          <w:p>
            <w:pPr>
              <w:spacing w:after="0" w:line="252" w:lineRule="auto"/>
            </w:pPr>
            <w:r>
              <w:rPr>
                <w:sz w:val="16"/>
              </w:rPr>
              <w:t>Success</w:t>
            </w:r>
          </w:p>
        </w:tc>
        <w:tc>
          <w:tcPr>
            <w:tcW w:type="dxa" w:w="1057"/>
            <w:shd w:val="clear" w:color="auto" w:fill="F9FAFB"/>
          </w:tcPr>
          <w:p>
            <w:pPr>
              <w:spacing w:after="0" w:line="252" w:lineRule="auto"/>
            </w:pPr>
            <w:r>
              <w:rPr>
                <w:sz w:val="16"/>
              </w:rPr>
              <w:t>F6FEF9</w:t>
            </w:r>
          </w:p>
        </w:tc>
        <w:tc>
          <w:tcPr>
            <w:tcW w:type="dxa" w:w="1057"/>
            <w:shd w:val="clear" w:color="auto" w:fill="F9FAFB"/>
          </w:tcPr>
          <w:p>
            <w:pPr>
              <w:spacing w:after="0" w:line="252" w:lineRule="auto"/>
            </w:pPr>
            <w:r>
              <w:rPr>
                <w:sz w:val="16"/>
              </w:rPr>
              <w:t>ECFDF3</w:t>
            </w:r>
          </w:p>
        </w:tc>
        <w:tc>
          <w:tcPr>
            <w:tcW w:type="dxa" w:w="1057"/>
            <w:shd w:val="clear" w:color="auto" w:fill="F9FAFB"/>
          </w:tcPr>
          <w:p>
            <w:pPr>
              <w:spacing w:after="0" w:line="252" w:lineRule="auto"/>
            </w:pPr>
            <w:r>
              <w:rPr>
                <w:sz w:val="16"/>
              </w:rPr>
              <w:t>DCFAE6</w:t>
            </w:r>
          </w:p>
        </w:tc>
        <w:tc>
          <w:tcPr>
            <w:tcW w:type="dxa" w:w="1057"/>
            <w:shd w:val="clear" w:color="auto" w:fill="F9FAFB"/>
          </w:tcPr>
          <w:p>
            <w:pPr>
              <w:spacing w:after="0" w:line="252" w:lineRule="auto"/>
            </w:pPr>
            <w:r>
              <w:rPr>
                <w:sz w:val="16"/>
              </w:rPr>
              <w:t>ABEFC6</w:t>
            </w:r>
          </w:p>
        </w:tc>
        <w:tc>
          <w:tcPr>
            <w:tcW w:type="dxa" w:w="1057"/>
            <w:shd w:val="clear" w:color="auto" w:fill="F9FAFB"/>
          </w:tcPr>
          <w:p>
            <w:pPr>
              <w:spacing w:after="0" w:line="252" w:lineRule="auto"/>
            </w:pPr>
            <w:r>
              <w:rPr>
                <w:sz w:val="16"/>
              </w:rPr>
              <w:t>75E0A7</w:t>
            </w:r>
          </w:p>
        </w:tc>
        <w:tc>
          <w:tcPr>
            <w:tcW w:type="dxa" w:w="1057"/>
            <w:shd w:val="clear" w:color="auto" w:fill="F9FAFB"/>
          </w:tcPr>
          <w:p>
            <w:pPr>
              <w:spacing w:after="0" w:line="252" w:lineRule="auto"/>
            </w:pPr>
            <w:r>
              <w:rPr>
                <w:sz w:val="16"/>
              </w:rPr>
              <w:t>47CD89</w:t>
            </w:r>
          </w:p>
        </w:tc>
        <w:tc>
          <w:tcPr>
            <w:tcW w:type="dxa" w:w="1057"/>
            <w:shd w:val="clear" w:color="auto" w:fill="F9FAFB"/>
          </w:tcPr>
          <w:p>
            <w:pPr>
              <w:spacing w:after="0" w:line="252" w:lineRule="auto"/>
            </w:pPr>
            <w:r>
              <w:rPr>
                <w:sz w:val="16"/>
              </w:rPr>
              <w:t>17B26A</w:t>
            </w:r>
          </w:p>
        </w:tc>
        <w:tc>
          <w:tcPr>
            <w:tcW w:type="dxa" w:w="1057"/>
            <w:shd w:val="clear" w:color="auto" w:fill="F9FAFB"/>
          </w:tcPr>
          <w:p>
            <w:pPr>
              <w:spacing w:after="0" w:line="252" w:lineRule="auto"/>
            </w:pPr>
            <w:r>
              <w:rPr>
                <w:sz w:val="16"/>
              </w:rPr>
              <w:t>079455</w:t>
            </w:r>
          </w:p>
        </w:tc>
        <w:tc>
          <w:tcPr>
            <w:tcW w:type="dxa" w:w="1057"/>
            <w:shd w:val="clear" w:color="auto" w:fill="F9FAFB"/>
          </w:tcPr>
          <w:p>
            <w:pPr>
              <w:spacing w:after="0" w:line="252" w:lineRule="auto"/>
            </w:pPr>
            <w:r>
              <w:rPr>
                <w:sz w:val="16"/>
              </w:rPr>
              <w:t>067647</w:t>
            </w:r>
          </w:p>
        </w:tc>
        <w:tc>
          <w:tcPr>
            <w:tcW w:type="dxa" w:w="1057"/>
            <w:shd w:val="clear" w:color="auto" w:fill="F9FAFB"/>
          </w:tcPr>
          <w:p>
            <w:pPr>
              <w:spacing w:after="0" w:line="252" w:lineRule="auto"/>
            </w:pPr>
            <w:r>
              <w:rPr>
                <w:sz w:val="16"/>
              </w:rPr>
              <w:t>085D3A</w:t>
            </w:r>
          </w:p>
        </w:tc>
        <w:tc>
          <w:tcPr>
            <w:tcW w:type="dxa" w:w="1057"/>
            <w:shd w:val="clear" w:color="auto" w:fill="F9FAFB"/>
          </w:tcPr>
          <w:p>
            <w:pPr>
              <w:spacing w:after="0" w:line="252" w:lineRule="auto"/>
            </w:pPr>
            <w:r>
              <w:rPr>
                <w:sz w:val="16"/>
              </w:rPr>
              <w:t>074D31</w:t>
            </w:r>
          </w:p>
        </w:tc>
        <w:tc>
          <w:tcPr>
            <w:tcW w:type="dxa" w:w="1057"/>
            <w:shd w:val="clear" w:color="auto" w:fill="F9FAFB"/>
          </w:tcPr>
          <w:p>
            <w:pPr>
              <w:spacing w:after="0" w:line="252" w:lineRule="auto"/>
            </w:pPr>
            <w:r>
              <w:rPr>
                <w:sz w:val="16"/>
              </w:rPr>
              <w:t>053321</w:t>
            </w:r>
          </w:p>
        </w:tc>
      </w:tr>
    </w:tbl>
    <w:p>
      <w:pPr>
        <w:spacing w:after="40"/>
      </w:pPr>
    </w:p>
    <w:p>
      <w:r>
        <w:t>* Info 50 is printed as ECFDF3, identical to Success 50 — most likely a typo in the slide; confirm with the Figma kit before using it.</w:t>
      </w:r>
    </w:p>
    <w:p>
      <w:r>
        <w:t xml:space="preserve">[DGA] adds secondary </w:t>
      </w:r>
      <w:r>
        <w:rPr>
          <w:b/>
        </w:rPr>
        <w:t>gold</w:t>
      </w:r>
      <w:r>
        <w:t xml:space="preserve"> and </w:t>
      </w:r>
      <w:r>
        <w:rPr>
          <w:b/>
        </w:rPr>
        <w:t>lavender (Khuzama)</w:t>
      </w:r>
      <w:r>
        <w:t xml:space="preserve"> palettes and gradients (identity article: green from the flag; black and gold from the bisht; violet from lavender fields), and states the goal of </w:t>
      </w:r>
      <w:r>
        <w:rPr>
          <w:b/>
        </w:rPr>
        <w:t>WCAG 2.1 AA</w:t>
      </w:r>
      <w:r>
        <w:t>: use Gray 500/600/700/950 text on backgrounds numbered 400 and below, white text on 500 and above; minimum contrast 4.5:1 (3:1 large text; large = 18.5 px bold or 24 px).</w:t>
      </w:r>
    </w:p>
    <w:p>
      <w:r>
        <w:rPr>
          <w:b/>
        </w:rPr>
        <w:t>Typography</w:t>
      </w:r>
      <w:r>
        <w:t xml:space="preserve"> [Deck p.8; DGA]: </w:t>
      </w:r>
      <w:r>
        <w:rPr>
          <w:b/>
        </w:rPr>
        <w:t>IBM Plex Sans</w:t>
      </w:r>
      <w:r>
        <w:t xml:space="preserve"> (English) and </w:t>
      </w:r>
      <w:r>
        <w:rPr>
          <w:b/>
        </w:rPr>
        <w:t>IBM Plex Sans Arabic</w:t>
      </w:r>
      <w:r>
        <w:t xml:space="preserve"> (Arabic); weights Regular, Medium, Semibold, Bold; scale — Display 2xl 72/90, xl 60/72, lg 48/60, md 36/44, sm 30/38, xs 24/32; Text xl 20/30, lg 18/28, md 16/24, sm 14/20, xs 12/18, 2xs 10/14 (size/line-height px; display tracking −2 %). "Saudi font" only for national occasions, headlines only. WCAG line-height ≥ 1.5 for body text.</w:t>
      </w:r>
    </w:p>
    <w:p>
      <w:r>
        <w:rPr>
          <w:b/>
        </w:rPr>
        <w:t>Spacing and layout</w:t>
      </w:r>
      <w:r>
        <w:t xml:space="preserve"> [Deck p.9; DGA]: one unit = 4 px; DGA tokens 0, 2, 4, 6, 8, 12, 16, 20, 24, 32, 40, 48, 64, 80, 96, 128, 160 px; container padding 16 px (mobile) / 32 px (desktop); container max width 1,280 px; paragraph max width 720 px; deck frames: desktop 1,280 / tablet 768 / phone 375; DGA breakpoints 0–599, 600–959, 960–1,279, 1,280+; 12-column desktop grid; minimum interactive target 44×44 px (cited from WCAG); logical reading order equal to visual order.</w:t>
      </w:r>
    </w:p>
    <w:p>
      <w:r>
        <w:rPr>
          <w:b/>
        </w:rPr>
        <w:t>Icons</w:t>
      </w:r>
      <w:r>
        <w:t xml:space="preserve">: [Deck p.10] </w:t>
      </w:r>
      <w:r>
        <w:rPr>
          <w:b/>
        </w:rPr>
        <w:t>Hugeicons</w:t>
      </w:r>
      <w:r>
        <w:t xml:space="preserve">; [DGA] its own "Platforms Code" icon set (Figma + SVG, bundled in the DGA packages) with sizes 10, 14, 16, 18, 20, 24 (standard), 28, 32 px. </w:t>
      </w:r>
      <w:r>
        <w:rPr>
          <w:i/>
        </w:rPr>
        <w:t>The two sources differ — see Q23.</w:t>
      </w:r>
    </w:p>
    <w:p>
      <w:r>
        <w:rPr>
          <w:b/>
        </w:rPr>
        <w:t>Components</w:t>
      </w:r>
      <w:r>
        <w:t xml:space="preserve"> [DGA]: </w:t>
      </w:r>
      <w:r>
        <w:rPr>
          <w:b/>
        </w:rPr>
        <w:t>date picker</w:t>
      </w:r>
      <w:r>
        <w:t xml:space="preserve"> — calendar pop-up with month/year navigation, keyboard date entry, single or two-month view, </w:t>
      </w:r>
      <w:r>
        <w:rPr>
          <w:rFonts w:ascii="Consolas" w:hAnsi="Consolas" w:cs="Consolas"/>
          <w:color w:val="B42318"/>
          <w:sz w:val="19"/>
        </w:rPr>
        <w:t>role=dialog</w:t>
      </w:r>
      <w:r>
        <w:t xml:space="preserve"> + grid roles, focus moves to the selected/today date, arrows/Enter/Esc, live-region announcements; </w:t>
      </w:r>
      <w:r>
        <w:rPr>
          <w:b/>
        </w:rPr>
        <w:t>tooltip</w:t>
      </w:r>
      <w:r>
        <w:t xml:space="preserve"> — </w:t>
      </w:r>
      <w:r>
        <w:rPr>
          <w:rFonts w:ascii="Consolas" w:hAnsi="Consolas" w:cs="Consolas"/>
          <w:color w:val="B42318"/>
          <w:sz w:val="19"/>
        </w:rPr>
        <w:t>role=tooltip</w:t>
      </w:r>
      <w:r>
        <w:t xml:space="preserve">, shown on focus as well as hover, </w:t>
      </w:r>
      <w:r>
        <w:rPr>
          <w:rFonts w:ascii="Consolas" w:hAnsi="Consolas" w:cs="Consolas"/>
          <w:color w:val="B42318"/>
          <w:sz w:val="19"/>
        </w:rPr>
        <w:t>aria-describedby</w:t>
      </w:r>
      <w:r>
        <w:t xml:space="preserve">, short delay, must not cover interactive elements; </w:t>
      </w:r>
      <w:r>
        <w:rPr>
          <w:b/>
        </w:rPr>
        <w:t>KPI card (metric)</w:t>
      </w:r>
      <w:r>
        <w:t xml:space="preserve"> — label (with icon), main value, trend indicator with comparison, optional small chart, CTA, </w:t>
      </w:r>
      <w:r>
        <w:rPr>
          <w:rFonts w:ascii="Consolas" w:hAnsi="Consolas" w:cs="Consolas"/>
          <w:color w:val="B42318"/>
          <w:sz w:val="19"/>
        </w:rPr>
        <w:t>aria-live=polite</w:t>
      </w:r>
      <w:r>
        <w:t xml:space="preserve"> for dynamic values; </w:t>
      </w:r>
      <w:r>
        <w:rPr>
          <w:b/>
        </w:rPr>
        <w:t>charts</w:t>
      </w:r>
      <w:r>
        <w:t xml:space="preserve"> — pie ≤ 6 categories, line ≤ 3 series, bar ≤ 3 series, each a different colour; </w:t>
      </w:r>
      <w:r>
        <w:rPr>
          <w:b/>
        </w:rPr>
        <w:t>table</w:t>
      </w:r>
      <w:r>
        <w:t xml:space="preserve"> — header cells (actions, sort, filter), row cells (link, badge, status, actions); </w:t>
      </w:r>
      <w:r>
        <w:rPr>
          <w:b/>
        </w:rPr>
        <w:t>filter</w:t>
      </w:r>
      <w:r>
        <w:t xml:space="preserve"> — closed / open / results states, a filter button that shows the </w:t>
      </w:r>
      <w:r>
        <w:rPr>
          <w:b/>
        </w:rPr>
        <w:t>number of active filters</w:t>
      </w:r>
      <w:r>
        <w:t xml:space="preserve">, active filters as removable chips (×); </w:t>
      </w:r>
      <w:r>
        <w:rPr>
          <w:b/>
        </w:rPr>
        <w:t>top navigation</w:t>
      </w:r>
      <w:r>
        <w:t xml:space="preserve"> — states selected, unselected, default, hover, pressed, focus, disabled; </w:t>
      </w:r>
      <w:r>
        <w:rPr>
          <w:b/>
        </w:rPr>
        <w:t>buttons</w:t>
      </w:r>
      <w:r>
        <w:t xml:space="preserve"> — three emphasis levels, destructive buttons need confirmation; </w:t>
      </w:r>
      <w:r>
        <w:rPr>
          <w:b/>
        </w:rPr>
        <w:t>chatbot template</w:t>
      </w:r>
      <w:r>
        <w:t xml:space="preserve"> — short welcome, highlight main capabilities, </w:t>
      </w:r>
      <w:r>
        <w:rPr>
          <w:b/>
        </w:rPr>
        <w:t>feedback ("Was this helpful?")</w:t>
      </w:r>
      <w:r>
        <w:t xml:space="preserve">, </w:t>
      </w:r>
      <w:r>
        <w:rPr>
          <w:b/>
        </w:rPr>
        <w:t>option to escalate to a human</w:t>
      </w:r>
      <w:r>
        <w:t>, accessibility tools first in tab order, floating button must not cover important content.</w:t>
      </w:r>
    </w:p>
    <w:p>
      <w:pPr>
        <w:pStyle w:val="Heading3"/>
      </w:pPr>
      <w:r>
        <w:t>17.4 Not specified (missing assets and decisions) — nothing below was assumed</w:t>
      </w:r>
    </w:p>
    <w:p>
      <w:pPr>
        <w:spacing w:after="40"/>
        <w:ind w:left="510" w:hanging="283"/>
      </w:pPr>
      <w:r>
        <w:t xml:space="preserve">1.  </w:t>
      </w:r>
      <w:r>
        <w:rPr>
          <w:b/>
        </w:rPr>
        <w:t>Logo rules</w:t>
      </w:r>
      <w:r>
        <w:t xml:space="preserve"> — no MOMAH logo, no version (colour/mono/reverse), proportions, clear space, minimum size or background rules; the deck only </w:t>
      </w:r>
      <w:r>
        <w:rPr>
          <w:i/>
        </w:rPr>
        <w:t>shows</w:t>
      </w:r>
      <w:r>
        <w:t xml:space="preserve"> the NHC Innovation logo (white on dark green, green on white) and the DGA/flag lockup. </w:t>
      </w:r>
      <w:r>
        <w:rPr>
          <w:b/>
        </w:rPr>
        <w:t>A MOMAH (and/or NHC Innovation) logo asset and usage rules are missing.</w:t>
      </w:r>
    </w:p>
    <w:p>
      <w:pPr>
        <w:spacing w:after="40"/>
        <w:ind w:left="510" w:hanging="283"/>
      </w:pPr>
      <w:r>
        <w:t xml:space="preserve">2.  </w:t>
      </w:r>
      <w:r>
        <w:t xml:space="preserve">The </w:t>
      </w:r>
      <w:r>
        <w:rPr>
          <w:b/>
        </w:rPr>
        <w:t>brand dark-green</w:t>
      </w:r>
      <w:r>
        <w:t xml:space="preserve"> used for slide backgrounds is not in the palette tables; no official hex for it.</w:t>
      </w:r>
    </w:p>
    <w:p>
      <w:pPr>
        <w:spacing w:after="40"/>
        <w:ind w:left="510" w:hanging="283"/>
      </w:pPr>
      <w:r>
        <w:t xml:space="preserve">3.  </w:t>
      </w:r>
      <w:r>
        <w:t xml:space="preserve">Exact </w:t>
      </w:r>
      <w:r>
        <w:rPr>
          <w:b/>
        </w:rPr>
        <w:t>component specs</w:t>
      </w:r>
      <w:r>
        <w:t xml:space="preserve"> (heights, padding, radii, states for each component) — only in the Figma kit and Storybook, not in the deck.</w:t>
      </w:r>
    </w:p>
    <w:p>
      <w:pPr>
        <w:spacing w:after="40"/>
        <w:ind w:left="510" w:hanging="283"/>
      </w:pPr>
      <w:r>
        <w:t xml:space="preserve">4.  </w:t>
      </w:r>
      <w:r>
        <w:rPr>
          <w:b/>
        </w:rPr>
        <w:t>Radius and elevation</w:t>
      </w:r>
      <w:r>
        <w:t xml:space="preserve"> values (the deck leaves them "flexible"); [DGA] has an elevation page I did not read.</w:t>
      </w:r>
    </w:p>
    <w:p>
      <w:pPr>
        <w:spacing w:after="40"/>
        <w:ind w:left="510" w:hanging="283"/>
      </w:pPr>
      <w:r>
        <w:t xml:space="preserve">5.  </w:t>
      </w:r>
      <w:r>
        <w:rPr>
          <w:b/>
        </w:rPr>
        <w:t>Data-visualisation palette and ordering</w:t>
      </w:r>
      <w:r>
        <w:t>, number/currency formatting, Arabic-Indic vs Western digits, Hijri display.</w:t>
      </w:r>
    </w:p>
    <w:p>
      <w:pPr>
        <w:spacing w:after="40"/>
        <w:ind w:left="510" w:hanging="283"/>
      </w:pPr>
      <w:r>
        <w:t xml:space="preserve">6.  </w:t>
      </w:r>
      <w:r>
        <w:rPr>
          <w:b/>
        </w:rPr>
        <w:t>Dark theme</w:t>
      </w:r>
      <w:r>
        <w:t xml:space="preserve"> — not mentioned in either source.</w:t>
      </w:r>
    </w:p>
    <w:p>
      <w:pPr>
        <w:spacing w:after="40"/>
        <w:ind w:left="510" w:hanging="283"/>
      </w:pPr>
      <w:r>
        <w:t xml:space="preserve">7.  </w:t>
      </w:r>
      <w:r>
        <w:rPr>
          <w:b/>
        </w:rPr>
        <w:t>Reports and exports</w:t>
      </w:r>
      <w:r>
        <w:t xml:space="preserve"> (Word/Excel/PowerPoint templates, headers, page numbering) — not covered; §21 treats them by analogy.</w:t>
      </w:r>
    </w:p>
    <w:p>
      <w:pPr>
        <w:spacing w:after="40"/>
        <w:ind w:left="510" w:hanging="283"/>
      </w:pPr>
      <w:r>
        <w:t xml:space="preserve">8.  </w:t>
      </w:r>
      <w:r>
        <w:t>Which Hugeicons style/pack and licence, and whether the DGA icon set or Hugeicons wins (§17.3).</w:t>
      </w:r>
    </w:p>
    <w:p>
      <w:pPr>
        <w:spacing w:after="40"/>
        <w:ind w:left="510" w:hanging="283"/>
      </w:pPr>
      <w:r>
        <w:t xml:space="preserve">9.  </w:t>
      </w:r>
      <w:r>
        <w:t>Slides 3–20 and 32–46 of the deck, the Figma UI kit (</w:t>
      </w:r>
      <w:r>
        <w:rPr>
          <w:rFonts w:ascii="Consolas" w:hAnsi="Consolas" w:cs="Consolas"/>
          <w:color w:val="B42318"/>
          <w:sz w:val="19"/>
        </w:rPr>
        <w:t>figma.com/@sdga</w:t>
      </w:r>
      <w:r>
        <w:t>) and the full DGA component demos.</w:t>
      </w:r>
    </w:p>
    <w:p>
      <w:pPr>
        <w:spacing w:after="40"/>
        <w:ind w:left="510" w:hanging="283"/>
      </w:pPr>
      <w:r>
        <w:t xml:space="preserve">10.  </w:t>
      </w:r>
      <w:r>
        <w:t>UX-writing rules beyond the tone sliders (terminology, number formats, error-message patterns).</w:t>
      </w:r>
    </w:p>
    <w:p>
      <w:pPr>
        <w:pStyle w:val="Heading2"/>
      </w:pPr>
      <w:r>
        <w:t>18. Platform-wide visual and UX consistency assessment</w:t>
      </w:r>
    </w:p>
    <w:p>
      <w:pPr>
        <w:pStyle w:val="Heading3"/>
      </w:pPr>
      <w:r>
        <w:t>18.1 Overall</w:t>
      </w:r>
    </w:p>
    <w:p>
      <w:r>
        <w:t xml:space="preserve">The platform is </w:t>
      </w:r>
      <w:r>
        <w:rPr>
          <w:b/>
        </w:rPr>
        <w:t>visually coherent with itself</w:t>
      </w:r>
      <w:r>
        <w:t xml:space="preserve"> (one green, one font family, cards, pills) and it already gets four things right against the reference: the </w:t>
      </w:r>
      <w:r>
        <w:rPr>
          <w:b/>
        </w:rPr>
        <w:t>primary green `#1B8354` is exactly DGA SA 600</w:t>
      </w:r>
      <w:r>
        <w:t xml:space="preserve">, the font family is </w:t>
      </w:r>
      <w:r>
        <w:rPr>
          <w:b/>
        </w:rPr>
        <w:t>IBM Plex Sans Arabic</w:t>
      </w:r>
      <w:r>
        <w:t xml:space="preserve">, the page is </w:t>
      </w:r>
      <w:r>
        <w:rPr>
          <w:b/>
        </w:rPr>
        <w:t>RTL with `lang="ar"`</w:t>
      </w:r>
      <w:r>
        <w:t xml:space="preserve">, and the AI assistants are </w:t>
      </w:r>
      <w:r>
        <w:rPr>
          <w:b/>
        </w:rPr>
        <w:t>honest about being rule-based</w:t>
      </w:r>
      <w:r>
        <w:t xml:space="preserve"> (the deck's "Trustworthy" principle). But it is </w:t>
      </w:r>
      <w:r>
        <w:rPr>
          <w:b/>
        </w:rPr>
        <w:t>not aligned to the DGA foundation that the deck fixes</w:t>
      </w:r>
      <w:r>
        <w:t xml:space="preserve">: the other colour tokens, the type scale and weights, the spacing/breakpoints, the icons, the date picker and filters, and the brand/identity layer all come from a different source (the colour tokens' own comment says they were extracted from the </w:t>
      </w:r>
      <w:r>
        <w:rPr>
          <w:i/>
        </w:rPr>
        <w:t>financial-imagination</w:t>
      </w:r>
      <w:r>
        <w:t xml:space="preserve"> prototype). Consistency </w:t>
      </w:r>
      <w:r>
        <w:rPr>
          <w:b/>
        </w:rPr>
        <w:t>between</w:t>
      </w:r>
      <w:r>
        <w:t xml:space="preserve"> pages is weakest on the operational pages (no H1, 70–95 % small tap targets, many AA contrast failures) and strongest on the newer management pages.</w:t>
      </w:r>
    </w:p>
    <w:p>
      <w:pPr>
        <w:pStyle w:val="Heading3"/>
      </w:pPr>
      <w:r>
        <w:t>18.2 Measured scorecard (1280 px, Arabic, 2026-10-09; Verified UI by scripted audit of every route)</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957"/>
        <w:gridCol w:w="1154"/>
        <w:gridCol w:w="1339"/>
        <w:gridCol w:w="1154"/>
        <w:gridCol w:w="1154"/>
        <w:gridCol w:w="1964"/>
        <w:gridCol w:w="1387"/>
        <w:gridCol w:w="1377"/>
        <w:gridCol w:w="1154"/>
        <w:gridCol w:w="1154"/>
        <w:gridCol w:w="1229"/>
      </w:tblGrid>
      <w:tr>
        <w:trPr>
          <w:tblHeader w:val="true"/>
          <w:cantSplit/>
        </w:trPr>
        <w:tc>
          <w:tcPr>
            <w:tcW w:type="dxa" w:w="1957"/>
            <w:shd w:val="clear" w:color="auto" w:fill="1B8354"/>
          </w:tcPr>
          <w:p>
            <w:pPr>
              <w:spacing w:after="0" w:line="252" w:lineRule="auto"/>
            </w:pPr>
            <w:r>
              <w:rPr>
                <w:b/>
                <w:color w:val="FFFFFF"/>
                <w:sz w:val="16"/>
              </w:rPr>
              <w:t>Page</w:t>
            </w:r>
          </w:p>
        </w:tc>
        <w:tc>
          <w:tcPr>
            <w:tcW w:type="dxa" w:w="1154"/>
            <w:shd w:val="clear" w:color="auto" w:fill="1B8354"/>
          </w:tcPr>
          <w:p>
            <w:pPr>
              <w:spacing w:after="0" w:line="252" w:lineRule="auto"/>
            </w:pPr>
            <w:r>
              <w:rPr>
                <w:b/>
                <w:color w:val="FFFFFF"/>
                <w:sz w:val="16"/>
              </w:rPr>
              <w:t>Text nodes</w:t>
            </w:r>
          </w:p>
        </w:tc>
        <w:tc>
          <w:tcPr>
            <w:tcW w:type="dxa" w:w="1339"/>
            <w:shd w:val="clear" w:color="auto" w:fill="1B8354"/>
          </w:tcPr>
          <w:p>
            <w:pPr>
              <w:spacing w:after="0" w:line="252" w:lineRule="auto"/>
            </w:pPr>
            <w:r>
              <w:rPr>
                <w:b/>
                <w:color w:val="FFFFFF"/>
                <w:sz w:val="16"/>
              </w:rPr>
              <w:t>Off-scale font sizes</w:t>
            </w:r>
          </w:p>
        </w:tc>
        <w:tc>
          <w:tcPr>
            <w:tcW w:type="dxa" w:w="1154"/>
            <w:shd w:val="clear" w:color="auto" w:fill="1B8354"/>
          </w:tcPr>
          <w:p>
            <w:pPr>
              <w:spacing w:after="0" w:line="252" w:lineRule="auto"/>
            </w:pPr>
            <w:r>
              <w:rPr>
                <w:b/>
                <w:color w:val="FFFFFF"/>
                <w:sz w:val="16"/>
              </w:rPr>
              <w:t>Text &lt; 12 px</w:t>
            </w:r>
          </w:p>
        </w:tc>
        <w:tc>
          <w:tcPr>
            <w:tcW w:type="dxa" w:w="1154"/>
            <w:shd w:val="clear" w:color="auto" w:fill="1B8354"/>
          </w:tcPr>
          <w:p>
            <w:pPr>
              <w:spacing w:after="0" w:line="252" w:lineRule="auto"/>
            </w:pPr>
            <w:r>
              <w:rPr>
                <w:b/>
                <w:color w:val="FFFFFF"/>
                <w:sz w:val="16"/>
              </w:rPr>
              <w:t>Weights 800–900</w:t>
            </w:r>
          </w:p>
        </w:tc>
        <w:tc>
          <w:tcPr>
            <w:tcW w:type="dxa" w:w="1964"/>
            <w:shd w:val="clear" w:color="auto" w:fill="1B8354"/>
          </w:tcPr>
          <w:p>
            <w:pPr>
              <w:spacing w:after="0" w:line="252" w:lineRule="auto"/>
            </w:pPr>
            <w:r>
              <w:rPr>
                <w:b/>
                <w:color w:val="FFFFFF"/>
                <w:sz w:val="16"/>
              </w:rPr>
              <w:t>Exact DGA hex (text / bg)</w:t>
            </w:r>
          </w:p>
        </w:tc>
        <w:tc>
          <w:tcPr>
            <w:tcW w:type="dxa" w:w="1387"/>
            <w:shd w:val="clear" w:color="auto" w:fill="1B8354"/>
          </w:tcPr>
          <w:p>
            <w:pPr>
              <w:spacing w:after="0" w:line="252" w:lineRule="auto"/>
            </w:pPr>
            <w:r>
              <w:rPr>
                <w:b/>
                <w:color w:val="FFFFFF"/>
                <w:sz w:val="16"/>
              </w:rPr>
              <w:t>Contrast fails (WCAG AA)</w:t>
            </w:r>
          </w:p>
        </w:tc>
        <w:tc>
          <w:tcPr>
            <w:tcW w:type="dxa" w:w="1377"/>
            <w:shd w:val="clear" w:color="auto" w:fill="1B8354"/>
          </w:tcPr>
          <w:p>
            <w:pPr>
              <w:spacing w:after="0" w:line="252" w:lineRule="auto"/>
            </w:pPr>
            <w:r>
              <w:rPr>
                <w:b/>
                <w:color w:val="FFFFFF"/>
                <w:sz w:val="16"/>
              </w:rPr>
              <w:t>Targets &lt; 44 px</w:t>
            </w:r>
          </w:p>
        </w:tc>
        <w:tc>
          <w:tcPr>
            <w:tcW w:type="dxa" w:w="1154"/>
            <w:shd w:val="clear" w:color="auto" w:fill="1B8354"/>
          </w:tcPr>
          <w:p>
            <w:pPr>
              <w:spacing w:after="0" w:line="252" w:lineRule="auto"/>
            </w:pPr>
            <w:r>
              <w:rPr>
                <w:b/>
                <w:color w:val="FFFFFF"/>
                <w:sz w:val="16"/>
              </w:rPr>
              <w:t>Targets &lt; 24 px</w:t>
            </w:r>
          </w:p>
        </w:tc>
        <w:tc>
          <w:tcPr>
            <w:tcW w:type="dxa" w:w="1154"/>
            <w:shd w:val="clear" w:color="auto" w:fill="1B8354"/>
          </w:tcPr>
          <w:p>
            <w:pPr>
              <w:spacing w:after="0" w:line="252" w:lineRule="auto"/>
            </w:pPr>
            <w:r>
              <w:rPr>
                <w:b/>
                <w:color w:val="FFFFFF"/>
                <w:sz w:val="16"/>
              </w:rPr>
              <w:t>H1</w:t>
            </w:r>
          </w:p>
        </w:tc>
        <w:tc>
          <w:tcPr>
            <w:tcW w:type="dxa" w:w="1229"/>
            <w:shd w:val="clear" w:color="auto" w:fill="1B8354"/>
          </w:tcPr>
          <w:p>
            <w:pPr>
              <w:spacing w:after="0" w:line="252" w:lineRule="auto"/>
            </w:pPr>
            <w:r>
              <w:rPr>
                <w:b/>
                <w:color w:val="FFFFFF"/>
                <w:sz w:val="16"/>
              </w:rPr>
              <w:t>Heading sequence</w:t>
            </w:r>
          </w:p>
        </w:tc>
      </w:tr>
      <w:tr>
        <w:trPr>
          <w:cantSplit/>
        </w:trPr>
        <w:tc>
          <w:tcPr>
            <w:tcW w:type="dxa" w:w="1957"/>
          </w:tcPr>
          <w:p>
            <w:pPr>
              <w:spacing w:after="0" w:line="252" w:lineRule="auto"/>
            </w:pPr>
            <w:r>
              <w:rPr>
                <w:sz w:val="16"/>
              </w:rPr>
              <w:t>Dashboard</w:t>
            </w:r>
          </w:p>
        </w:tc>
        <w:tc>
          <w:tcPr>
            <w:tcW w:type="dxa" w:w="1154"/>
          </w:tcPr>
          <w:p>
            <w:pPr>
              <w:spacing w:after="0" w:line="252" w:lineRule="auto"/>
            </w:pPr>
            <w:r>
              <w:rPr>
                <w:sz w:val="16"/>
              </w:rPr>
              <w:t>387</w:t>
            </w:r>
          </w:p>
        </w:tc>
        <w:tc>
          <w:tcPr>
            <w:tcW w:type="dxa" w:w="1339"/>
          </w:tcPr>
          <w:p>
            <w:pPr>
              <w:spacing w:after="0" w:line="252" w:lineRule="auto"/>
            </w:pPr>
            <w:r>
              <w:rPr>
                <w:sz w:val="16"/>
              </w:rPr>
              <w:t>76 %</w:t>
            </w:r>
          </w:p>
        </w:tc>
        <w:tc>
          <w:tcPr>
            <w:tcW w:type="dxa" w:w="1154"/>
          </w:tcPr>
          <w:p>
            <w:pPr>
              <w:spacing w:after="0" w:line="252" w:lineRule="auto"/>
            </w:pPr>
            <w:r>
              <w:rPr>
                <w:sz w:val="16"/>
              </w:rPr>
              <w:t>69 (18 %)</w:t>
            </w:r>
          </w:p>
        </w:tc>
        <w:tc>
          <w:tcPr>
            <w:tcW w:type="dxa" w:w="1154"/>
          </w:tcPr>
          <w:p>
            <w:pPr>
              <w:spacing w:after="0" w:line="252" w:lineRule="auto"/>
            </w:pPr>
            <w:r>
              <w:rPr>
                <w:sz w:val="16"/>
              </w:rPr>
              <w:t>70</w:t>
            </w:r>
          </w:p>
        </w:tc>
        <w:tc>
          <w:tcPr>
            <w:tcW w:type="dxa" w:w="1964"/>
          </w:tcPr>
          <w:p>
            <w:pPr>
              <w:spacing w:after="0" w:line="252" w:lineRule="auto"/>
            </w:pPr>
            <w:r>
              <w:rPr>
                <w:sz w:val="16"/>
              </w:rPr>
              <w:t>5 % / 1 %</w:t>
            </w:r>
          </w:p>
        </w:tc>
        <w:tc>
          <w:tcPr>
            <w:tcW w:type="dxa" w:w="1387"/>
          </w:tcPr>
          <w:p>
            <w:pPr>
              <w:spacing w:after="0" w:line="252" w:lineRule="auto"/>
            </w:pPr>
            <w:r>
              <w:rPr>
                <w:sz w:val="16"/>
              </w:rPr>
              <w:t>2</w:t>
            </w:r>
          </w:p>
        </w:tc>
        <w:tc>
          <w:tcPr>
            <w:tcW w:type="dxa" w:w="1377"/>
          </w:tcPr>
          <w:p>
            <w:pPr>
              <w:spacing w:after="0" w:line="252" w:lineRule="auto"/>
            </w:pPr>
            <w:r>
              <w:rPr>
                <w:sz w:val="16"/>
              </w:rPr>
              <w:t>69 of 82</w:t>
            </w:r>
          </w:p>
        </w:tc>
        <w:tc>
          <w:tcPr>
            <w:tcW w:type="dxa" w:w="1154"/>
          </w:tcPr>
          <w:p>
            <w:pPr>
              <w:spacing w:after="0" w:line="252" w:lineRule="auto"/>
            </w:pPr>
            <w:r>
              <w:rPr>
                <w:sz w:val="16"/>
              </w:rPr>
              <w:t>29</w:t>
            </w:r>
          </w:p>
        </w:tc>
        <w:tc>
          <w:tcPr>
            <w:tcW w:type="dxa" w:w="1154"/>
          </w:tcPr>
          <w:p>
            <w:pPr>
              <w:spacing w:after="0" w:line="252" w:lineRule="auto"/>
            </w:pPr>
            <w:r>
              <w:rPr>
                <w:sz w:val="16"/>
              </w:rPr>
              <w:t>1</w:t>
            </w:r>
          </w:p>
        </w:tc>
        <w:tc>
          <w:tcPr>
            <w:tcW w:type="dxa" w:w="1229"/>
          </w:tcPr>
          <w:p>
            <w:pPr>
              <w:spacing w:after="0" w:line="252" w:lineRule="auto"/>
            </w:pPr>
            <w:r>
              <w:rPr>
                <w:sz w:val="16"/>
              </w:rPr>
              <w:t>H1 H3 (no H2)</w:t>
            </w:r>
          </w:p>
        </w:tc>
      </w:tr>
      <w:tr>
        <w:trPr>
          <w:cantSplit/>
        </w:trPr>
        <w:tc>
          <w:tcPr>
            <w:tcW w:type="dxa" w:w="1957"/>
            <w:shd w:val="clear" w:color="auto" w:fill="F9FAFB"/>
          </w:tcPr>
          <w:p>
            <w:pPr>
              <w:spacing w:after="0" w:line="252" w:lineRule="auto"/>
            </w:pPr>
            <w:r>
              <w:rPr>
                <w:sz w:val="16"/>
              </w:rPr>
              <w:t>Monthly report</w:t>
            </w:r>
          </w:p>
        </w:tc>
        <w:tc>
          <w:tcPr>
            <w:tcW w:type="dxa" w:w="1154"/>
            <w:shd w:val="clear" w:color="auto" w:fill="F9FAFB"/>
          </w:tcPr>
          <w:p>
            <w:pPr>
              <w:spacing w:after="0" w:line="252" w:lineRule="auto"/>
            </w:pPr>
            <w:r>
              <w:rPr>
                <w:sz w:val="16"/>
              </w:rPr>
              <w:t>1,867</w:t>
            </w:r>
          </w:p>
        </w:tc>
        <w:tc>
          <w:tcPr>
            <w:tcW w:type="dxa" w:w="1339"/>
            <w:shd w:val="clear" w:color="auto" w:fill="F9FAFB"/>
          </w:tcPr>
          <w:p>
            <w:pPr>
              <w:spacing w:after="0" w:line="252" w:lineRule="auto"/>
            </w:pPr>
            <w:r>
              <w:rPr>
                <w:sz w:val="16"/>
              </w:rPr>
              <w:t>89 %</w:t>
            </w:r>
          </w:p>
        </w:tc>
        <w:tc>
          <w:tcPr>
            <w:tcW w:type="dxa" w:w="1154"/>
            <w:shd w:val="clear" w:color="auto" w:fill="F9FAFB"/>
          </w:tcPr>
          <w:p>
            <w:pPr>
              <w:spacing w:after="0" w:line="252" w:lineRule="auto"/>
            </w:pPr>
            <w:r>
              <w:rPr>
                <w:sz w:val="16"/>
              </w:rPr>
              <w:t>44</w:t>
            </w:r>
          </w:p>
        </w:tc>
        <w:tc>
          <w:tcPr>
            <w:tcW w:type="dxa" w:w="1154"/>
            <w:shd w:val="clear" w:color="auto" w:fill="F9FAFB"/>
          </w:tcPr>
          <w:p>
            <w:pPr>
              <w:spacing w:after="0" w:line="252" w:lineRule="auto"/>
            </w:pPr>
            <w:r>
              <w:rPr>
                <w:sz w:val="16"/>
              </w:rPr>
              <w:t>184</w:t>
            </w:r>
          </w:p>
        </w:tc>
        <w:tc>
          <w:tcPr>
            <w:tcW w:type="dxa" w:w="1964"/>
            <w:shd w:val="clear" w:color="auto" w:fill="F9FAFB"/>
          </w:tcPr>
          <w:p>
            <w:pPr>
              <w:spacing w:after="0" w:line="252" w:lineRule="auto"/>
            </w:pPr>
            <w:r>
              <w:rPr>
                <w:sz w:val="16"/>
              </w:rPr>
              <w:t>0 % / 1 %</w:t>
            </w:r>
          </w:p>
        </w:tc>
        <w:tc>
          <w:tcPr>
            <w:tcW w:type="dxa" w:w="1387"/>
            <w:shd w:val="clear" w:color="auto" w:fill="F9FAFB"/>
          </w:tcPr>
          <w:p>
            <w:pPr>
              <w:spacing w:after="0" w:line="252" w:lineRule="auto"/>
            </w:pPr>
            <w:r>
              <w:rPr>
                <w:sz w:val="16"/>
              </w:rPr>
              <w:t>4</w:t>
            </w:r>
          </w:p>
        </w:tc>
        <w:tc>
          <w:tcPr>
            <w:tcW w:type="dxa" w:w="1377"/>
            <w:shd w:val="clear" w:color="auto" w:fill="F9FAFB"/>
          </w:tcPr>
          <w:p>
            <w:pPr>
              <w:spacing w:after="0" w:line="252" w:lineRule="auto"/>
            </w:pPr>
            <w:r>
              <w:rPr>
                <w:sz w:val="16"/>
              </w:rPr>
              <w:t>30 of 41</w:t>
            </w:r>
          </w:p>
        </w:tc>
        <w:tc>
          <w:tcPr>
            <w:tcW w:type="dxa" w:w="1154"/>
            <w:shd w:val="clear" w:color="auto" w:fill="F9FAFB"/>
          </w:tcPr>
          <w:p>
            <w:pPr>
              <w:spacing w:after="0" w:line="252" w:lineRule="auto"/>
            </w:pPr>
            <w:r>
              <w:rPr>
                <w:sz w:val="16"/>
              </w:rPr>
              <w:t>0</w:t>
            </w:r>
          </w:p>
        </w:tc>
        <w:tc>
          <w:tcPr>
            <w:tcW w:type="dxa" w:w="1154"/>
            <w:shd w:val="clear" w:color="auto" w:fill="F9FAFB"/>
          </w:tcPr>
          <w:p>
            <w:pPr>
              <w:spacing w:after="0" w:line="252" w:lineRule="auto"/>
            </w:pPr>
            <w:r>
              <w:rPr>
                <w:sz w:val="16"/>
              </w:rPr>
              <w:t>1</w:t>
            </w:r>
          </w:p>
        </w:tc>
        <w:tc>
          <w:tcPr>
            <w:tcW w:type="dxa" w:w="1229"/>
            <w:shd w:val="clear" w:color="auto" w:fill="F9FAFB"/>
          </w:tcPr>
          <w:p>
            <w:pPr>
              <w:spacing w:after="0" w:line="252" w:lineRule="auto"/>
            </w:pPr>
            <w:r>
              <w:rPr>
                <w:sz w:val="16"/>
              </w:rPr>
              <w:t>H1 H3 H4…</w:t>
            </w:r>
          </w:p>
        </w:tc>
      </w:tr>
      <w:tr>
        <w:trPr>
          <w:cantSplit/>
        </w:trPr>
        <w:tc>
          <w:tcPr>
            <w:tcW w:type="dxa" w:w="1957"/>
          </w:tcPr>
          <w:p>
            <w:pPr>
              <w:spacing w:after="0" w:line="252" w:lineRule="auto"/>
            </w:pPr>
            <w:r>
              <w:rPr>
                <w:sz w:val="16"/>
              </w:rPr>
              <w:t>Smart reports</w:t>
            </w:r>
          </w:p>
        </w:tc>
        <w:tc>
          <w:tcPr>
            <w:tcW w:type="dxa" w:w="1154"/>
          </w:tcPr>
          <w:p>
            <w:pPr>
              <w:spacing w:after="0" w:line="252" w:lineRule="auto"/>
            </w:pPr>
            <w:r>
              <w:rPr>
                <w:sz w:val="16"/>
              </w:rPr>
              <w:t>232</w:t>
            </w:r>
          </w:p>
        </w:tc>
        <w:tc>
          <w:tcPr>
            <w:tcW w:type="dxa" w:w="1339"/>
          </w:tcPr>
          <w:p>
            <w:pPr>
              <w:spacing w:after="0" w:line="252" w:lineRule="auto"/>
            </w:pPr>
            <w:r>
              <w:rPr>
                <w:sz w:val="16"/>
              </w:rPr>
              <w:t>55 %</w:t>
            </w:r>
          </w:p>
        </w:tc>
        <w:tc>
          <w:tcPr>
            <w:tcW w:type="dxa" w:w="1154"/>
          </w:tcPr>
          <w:p>
            <w:pPr>
              <w:spacing w:after="0" w:line="252" w:lineRule="auto"/>
            </w:pPr>
            <w:r>
              <w:rPr>
                <w:sz w:val="16"/>
              </w:rPr>
              <w:t>38</w:t>
            </w:r>
          </w:p>
        </w:tc>
        <w:tc>
          <w:tcPr>
            <w:tcW w:type="dxa" w:w="1154"/>
          </w:tcPr>
          <w:p>
            <w:pPr>
              <w:spacing w:after="0" w:line="252" w:lineRule="auto"/>
            </w:pPr>
            <w:r>
              <w:rPr>
                <w:sz w:val="16"/>
              </w:rPr>
              <w:t>32</w:t>
            </w:r>
          </w:p>
        </w:tc>
        <w:tc>
          <w:tcPr>
            <w:tcW w:type="dxa" w:w="1964"/>
          </w:tcPr>
          <w:p>
            <w:pPr>
              <w:spacing w:after="0" w:line="252" w:lineRule="auto"/>
            </w:pPr>
            <w:r>
              <w:rPr>
                <w:sz w:val="16"/>
              </w:rPr>
              <w:t>0 % / 4 %</w:t>
            </w:r>
          </w:p>
        </w:tc>
        <w:tc>
          <w:tcPr>
            <w:tcW w:type="dxa" w:w="1387"/>
          </w:tcPr>
          <w:p>
            <w:pPr>
              <w:spacing w:after="0" w:line="252" w:lineRule="auto"/>
            </w:pPr>
            <w:r>
              <w:rPr>
                <w:sz w:val="16"/>
              </w:rPr>
              <w:t>5</w:t>
            </w:r>
          </w:p>
        </w:tc>
        <w:tc>
          <w:tcPr>
            <w:tcW w:type="dxa" w:w="1377"/>
          </w:tcPr>
          <w:p>
            <w:pPr>
              <w:spacing w:after="0" w:line="252" w:lineRule="auto"/>
            </w:pPr>
            <w:r>
              <w:rPr>
                <w:sz w:val="16"/>
              </w:rPr>
              <w:t>36 of 40</w:t>
            </w:r>
          </w:p>
        </w:tc>
        <w:tc>
          <w:tcPr>
            <w:tcW w:type="dxa" w:w="1154"/>
          </w:tcPr>
          <w:p>
            <w:pPr>
              <w:spacing w:after="0" w:line="252" w:lineRule="auto"/>
            </w:pPr>
            <w:r>
              <w:rPr>
                <w:sz w:val="16"/>
              </w:rPr>
              <w:t>1</w:t>
            </w:r>
          </w:p>
        </w:tc>
        <w:tc>
          <w:tcPr>
            <w:tcW w:type="dxa" w:w="1154"/>
          </w:tcPr>
          <w:p>
            <w:pPr>
              <w:spacing w:after="0" w:line="252" w:lineRule="auto"/>
            </w:pPr>
            <w:r>
              <w:rPr>
                <w:sz w:val="16"/>
              </w:rPr>
              <w:t>1</w:t>
            </w:r>
          </w:p>
        </w:tc>
        <w:tc>
          <w:tcPr>
            <w:tcW w:type="dxa" w:w="1229"/>
          </w:tcPr>
          <w:p>
            <w:pPr>
              <w:spacing w:after="0" w:line="252" w:lineRule="auto"/>
            </w:pPr>
            <w:r>
              <w:rPr>
                <w:sz w:val="16"/>
              </w:rPr>
              <w:t>H1 H3 H4</w:t>
            </w:r>
          </w:p>
        </w:tc>
      </w:tr>
      <w:tr>
        <w:trPr>
          <w:cantSplit/>
        </w:trPr>
        <w:tc>
          <w:tcPr>
            <w:tcW w:type="dxa" w:w="1957"/>
            <w:shd w:val="clear" w:color="auto" w:fill="F9FAFB"/>
          </w:tcPr>
          <w:p>
            <w:pPr>
              <w:spacing w:after="0" w:line="252" w:lineRule="auto"/>
            </w:pPr>
            <w:r>
              <w:rPr>
                <w:sz w:val="16"/>
              </w:rPr>
              <w:t>Planning</w:t>
            </w:r>
          </w:p>
        </w:tc>
        <w:tc>
          <w:tcPr>
            <w:tcW w:type="dxa" w:w="1154"/>
            <w:shd w:val="clear" w:color="auto" w:fill="F9FAFB"/>
          </w:tcPr>
          <w:p>
            <w:pPr>
              <w:spacing w:after="0" w:line="252" w:lineRule="auto"/>
            </w:pPr>
            <w:r>
              <w:rPr>
                <w:sz w:val="16"/>
              </w:rPr>
              <w:t>616</w:t>
            </w:r>
          </w:p>
        </w:tc>
        <w:tc>
          <w:tcPr>
            <w:tcW w:type="dxa" w:w="1339"/>
            <w:shd w:val="clear" w:color="auto" w:fill="F9FAFB"/>
          </w:tcPr>
          <w:p>
            <w:pPr>
              <w:spacing w:after="0" w:line="252" w:lineRule="auto"/>
            </w:pPr>
            <w:r>
              <w:rPr>
                <w:sz w:val="16"/>
              </w:rPr>
              <w:t>68 %</w:t>
            </w:r>
          </w:p>
        </w:tc>
        <w:tc>
          <w:tcPr>
            <w:tcW w:type="dxa" w:w="1154"/>
            <w:shd w:val="clear" w:color="auto" w:fill="F9FAFB"/>
          </w:tcPr>
          <w:p>
            <w:pPr>
              <w:spacing w:after="0" w:line="252" w:lineRule="auto"/>
            </w:pPr>
            <w:r>
              <w:rPr>
                <w:sz w:val="16"/>
              </w:rPr>
              <w:t>90</w:t>
            </w:r>
          </w:p>
        </w:tc>
        <w:tc>
          <w:tcPr>
            <w:tcW w:type="dxa" w:w="1154"/>
            <w:shd w:val="clear" w:color="auto" w:fill="F9FAFB"/>
          </w:tcPr>
          <w:p>
            <w:pPr>
              <w:spacing w:after="0" w:line="252" w:lineRule="auto"/>
            </w:pPr>
            <w:r>
              <w:rPr>
                <w:sz w:val="16"/>
              </w:rPr>
              <w:t>108</w:t>
            </w:r>
          </w:p>
        </w:tc>
        <w:tc>
          <w:tcPr>
            <w:tcW w:type="dxa" w:w="1964"/>
            <w:shd w:val="clear" w:color="auto" w:fill="F9FAFB"/>
          </w:tcPr>
          <w:p>
            <w:pPr>
              <w:spacing w:after="0" w:line="252" w:lineRule="auto"/>
            </w:pPr>
            <w:r>
              <w:rPr>
                <w:sz w:val="16"/>
              </w:rPr>
              <w:t>0 % / 7 %</w:t>
            </w:r>
          </w:p>
        </w:tc>
        <w:tc>
          <w:tcPr>
            <w:tcW w:type="dxa" w:w="1387"/>
            <w:shd w:val="clear" w:color="auto" w:fill="F9FAFB"/>
          </w:tcPr>
          <w:p>
            <w:pPr>
              <w:spacing w:after="0" w:line="252" w:lineRule="auto"/>
            </w:pPr>
            <w:r>
              <w:rPr>
                <w:sz w:val="16"/>
              </w:rPr>
              <w:t>2</w:t>
            </w:r>
          </w:p>
        </w:tc>
        <w:tc>
          <w:tcPr>
            <w:tcW w:type="dxa" w:w="1377"/>
            <w:shd w:val="clear" w:color="auto" w:fill="F9FAFB"/>
          </w:tcPr>
          <w:p>
            <w:pPr>
              <w:spacing w:after="0" w:line="252" w:lineRule="auto"/>
            </w:pPr>
            <w:r>
              <w:rPr>
                <w:sz w:val="16"/>
              </w:rPr>
              <w:t>79 of 98</w:t>
            </w:r>
          </w:p>
        </w:tc>
        <w:tc>
          <w:tcPr>
            <w:tcW w:type="dxa" w:w="1154"/>
            <w:shd w:val="clear" w:color="auto" w:fill="F9FAFB"/>
          </w:tcPr>
          <w:p>
            <w:pPr>
              <w:spacing w:after="0" w:line="252" w:lineRule="auto"/>
            </w:pPr>
            <w:r>
              <w:rPr>
                <w:sz w:val="16"/>
              </w:rPr>
              <w:t>8</w:t>
            </w:r>
          </w:p>
        </w:tc>
        <w:tc>
          <w:tcPr>
            <w:tcW w:type="dxa" w:w="1154"/>
            <w:shd w:val="clear" w:color="auto" w:fill="F9FAFB"/>
          </w:tcPr>
          <w:p>
            <w:pPr>
              <w:spacing w:after="0" w:line="252" w:lineRule="auto"/>
            </w:pPr>
            <w:r>
              <w:rPr>
                <w:sz w:val="16"/>
              </w:rPr>
              <w:t>1</w:t>
            </w:r>
          </w:p>
        </w:tc>
        <w:tc>
          <w:tcPr>
            <w:tcW w:type="dxa" w:w="1229"/>
            <w:shd w:val="clear" w:color="auto" w:fill="F9FAFB"/>
          </w:tcPr>
          <w:p>
            <w:pPr>
              <w:spacing w:after="0" w:line="252" w:lineRule="auto"/>
            </w:pPr>
            <w:r>
              <w:rPr>
                <w:sz w:val="16"/>
              </w:rPr>
              <w:t>H1 H2</w:t>
            </w:r>
          </w:p>
        </w:tc>
      </w:tr>
      <w:tr>
        <w:trPr>
          <w:cantSplit/>
        </w:trPr>
        <w:tc>
          <w:tcPr>
            <w:tcW w:type="dxa" w:w="1957"/>
          </w:tcPr>
          <w:p>
            <w:pPr>
              <w:spacing w:after="0" w:line="252" w:lineRule="auto"/>
            </w:pPr>
            <w:r>
              <w:rPr>
                <w:sz w:val="16"/>
              </w:rPr>
              <w:t>Invoices</w:t>
            </w:r>
          </w:p>
        </w:tc>
        <w:tc>
          <w:tcPr>
            <w:tcW w:type="dxa" w:w="1154"/>
          </w:tcPr>
          <w:p>
            <w:pPr>
              <w:spacing w:after="0" w:line="252" w:lineRule="auto"/>
            </w:pPr>
            <w:r>
              <w:rPr>
                <w:sz w:val="16"/>
              </w:rPr>
              <w:t>775</w:t>
            </w:r>
          </w:p>
        </w:tc>
        <w:tc>
          <w:tcPr>
            <w:tcW w:type="dxa" w:w="1339"/>
          </w:tcPr>
          <w:p>
            <w:pPr>
              <w:spacing w:after="0" w:line="252" w:lineRule="auto"/>
            </w:pPr>
            <w:r>
              <w:rPr>
                <w:sz w:val="16"/>
              </w:rPr>
              <w:t>87 %</w:t>
            </w:r>
          </w:p>
        </w:tc>
        <w:tc>
          <w:tcPr>
            <w:tcW w:type="dxa" w:w="1154"/>
          </w:tcPr>
          <w:p>
            <w:pPr>
              <w:spacing w:after="0" w:line="252" w:lineRule="auto"/>
            </w:pPr>
            <w:r>
              <w:rPr>
                <w:sz w:val="16"/>
              </w:rPr>
              <w:t>204 (26 %)</w:t>
            </w:r>
          </w:p>
        </w:tc>
        <w:tc>
          <w:tcPr>
            <w:tcW w:type="dxa" w:w="1154"/>
          </w:tcPr>
          <w:p>
            <w:pPr>
              <w:spacing w:after="0" w:line="252" w:lineRule="auto"/>
            </w:pPr>
            <w:r>
              <w:rPr>
                <w:sz w:val="16"/>
              </w:rPr>
              <w:t>238</w:t>
            </w:r>
          </w:p>
        </w:tc>
        <w:tc>
          <w:tcPr>
            <w:tcW w:type="dxa" w:w="1964"/>
          </w:tcPr>
          <w:p>
            <w:pPr>
              <w:spacing w:after="0" w:line="252" w:lineRule="auto"/>
            </w:pPr>
            <w:r>
              <w:rPr>
                <w:sz w:val="16"/>
              </w:rPr>
              <w:t>18 % / 3 %</w:t>
            </w:r>
          </w:p>
        </w:tc>
        <w:tc>
          <w:tcPr>
            <w:tcW w:type="dxa" w:w="1387"/>
          </w:tcPr>
          <w:p>
            <w:pPr>
              <w:spacing w:after="0" w:line="252" w:lineRule="auto"/>
            </w:pPr>
            <w:r>
              <w:rPr>
                <w:b/>
                <w:sz w:val="16"/>
              </w:rPr>
              <w:t>55</w:t>
            </w:r>
          </w:p>
        </w:tc>
        <w:tc>
          <w:tcPr>
            <w:tcW w:type="dxa" w:w="1377"/>
          </w:tcPr>
          <w:p>
            <w:pPr>
              <w:spacing w:after="0" w:line="252" w:lineRule="auto"/>
            </w:pPr>
            <w:r>
              <w:rPr>
                <w:sz w:val="16"/>
              </w:rPr>
              <w:t>47 of 105</w:t>
            </w:r>
          </w:p>
        </w:tc>
        <w:tc>
          <w:tcPr>
            <w:tcW w:type="dxa" w:w="1154"/>
          </w:tcPr>
          <w:p>
            <w:pPr>
              <w:spacing w:after="0" w:line="252" w:lineRule="auto"/>
            </w:pPr>
            <w:r>
              <w:rPr>
                <w:sz w:val="16"/>
              </w:rPr>
              <w:t>10</w:t>
            </w:r>
          </w:p>
        </w:tc>
        <w:tc>
          <w:tcPr>
            <w:tcW w:type="dxa" w:w="1154"/>
          </w:tcPr>
          <w:p>
            <w:pPr>
              <w:spacing w:after="0" w:line="252" w:lineRule="auto"/>
            </w:pPr>
            <w:r>
              <w:rPr>
                <w:b/>
                <w:sz w:val="16"/>
              </w:rPr>
              <w:t>0</w:t>
            </w:r>
          </w:p>
        </w:tc>
        <w:tc>
          <w:tcPr>
            <w:tcW w:type="dxa" w:w="1229"/>
          </w:tcPr>
          <w:p>
            <w:pPr>
              <w:spacing w:after="0" w:line="252" w:lineRule="auto"/>
            </w:pPr>
            <w:r>
              <w:rPr>
                <w:sz w:val="16"/>
              </w:rPr>
              <w:t>none</w:t>
            </w:r>
          </w:p>
        </w:tc>
      </w:tr>
      <w:tr>
        <w:trPr>
          <w:cantSplit/>
        </w:trPr>
        <w:tc>
          <w:tcPr>
            <w:tcW w:type="dxa" w:w="1957"/>
            <w:shd w:val="clear" w:color="auto" w:fill="F9FAFB"/>
          </w:tcPr>
          <w:p>
            <w:pPr>
              <w:spacing w:after="0" w:line="252" w:lineRule="auto"/>
            </w:pPr>
            <w:r>
              <w:rPr>
                <w:sz w:val="16"/>
              </w:rPr>
              <w:t>Exclusions review</w:t>
            </w:r>
          </w:p>
        </w:tc>
        <w:tc>
          <w:tcPr>
            <w:tcW w:type="dxa" w:w="1154"/>
            <w:shd w:val="clear" w:color="auto" w:fill="F9FAFB"/>
          </w:tcPr>
          <w:p>
            <w:pPr>
              <w:spacing w:after="0" w:line="252" w:lineRule="auto"/>
            </w:pPr>
            <w:r>
              <w:rPr>
                <w:sz w:val="16"/>
              </w:rPr>
              <w:t>619</w:t>
            </w:r>
          </w:p>
        </w:tc>
        <w:tc>
          <w:tcPr>
            <w:tcW w:type="dxa" w:w="1339"/>
            <w:shd w:val="clear" w:color="auto" w:fill="F9FAFB"/>
          </w:tcPr>
          <w:p>
            <w:pPr>
              <w:spacing w:after="0" w:line="252" w:lineRule="auto"/>
            </w:pPr>
            <w:r>
              <w:rPr>
                <w:sz w:val="16"/>
              </w:rPr>
              <w:t>83 %</w:t>
            </w:r>
          </w:p>
        </w:tc>
        <w:tc>
          <w:tcPr>
            <w:tcW w:type="dxa" w:w="1154"/>
            <w:shd w:val="clear" w:color="auto" w:fill="F9FAFB"/>
          </w:tcPr>
          <w:p>
            <w:pPr>
              <w:spacing w:after="0" w:line="252" w:lineRule="auto"/>
            </w:pPr>
            <w:r>
              <w:rPr>
                <w:sz w:val="16"/>
              </w:rPr>
              <w:t>228 (37 %)</w:t>
            </w:r>
          </w:p>
        </w:tc>
        <w:tc>
          <w:tcPr>
            <w:tcW w:type="dxa" w:w="1154"/>
            <w:shd w:val="clear" w:color="auto" w:fill="F9FAFB"/>
          </w:tcPr>
          <w:p>
            <w:pPr>
              <w:spacing w:after="0" w:line="252" w:lineRule="auto"/>
            </w:pPr>
            <w:r>
              <w:rPr>
                <w:sz w:val="16"/>
              </w:rPr>
              <w:t>209</w:t>
            </w:r>
          </w:p>
        </w:tc>
        <w:tc>
          <w:tcPr>
            <w:tcW w:type="dxa" w:w="1964"/>
            <w:shd w:val="clear" w:color="auto" w:fill="F9FAFB"/>
          </w:tcPr>
          <w:p>
            <w:pPr>
              <w:spacing w:after="0" w:line="252" w:lineRule="auto"/>
            </w:pPr>
            <w:r>
              <w:rPr>
                <w:sz w:val="16"/>
              </w:rPr>
              <w:t>3 % / 11 %</w:t>
            </w:r>
          </w:p>
        </w:tc>
        <w:tc>
          <w:tcPr>
            <w:tcW w:type="dxa" w:w="1387"/>
            <w:shd w:val="clear" w:color="auto" w:fill="F9FAFB"/>
          </w:tcPr>
          <w:p>
            <w:pPr>
              <w:spacing w:after="0" w:line="252" w:lineRule="auto"/>
            </w:pPr>
            <w:r>
              <w:rPr>
                <w:b/>
                <w:sz w:val="16"/>
              </w:rPr>
              <w:t>39</w:t>
            </w:r>
          </w:p>
        </w:tc>
        <w:tc>
          <w:tcPr>
            <w:tcW w:type="dxa" w:w="1377"/>
            <w:shd w:val="clear" w:color="auto" w:fill="F9FAFB"/>
          </w:tcPr>
          <w:p>
            <w:pPr>
              <w:spacing w:after="0" w:line="252" w:lineRule="auto"/>
            </w:pPr>
            <w:r>
              <w:rPr>
                <w:sz w:val="16"/>
              </w:rPr>
              <w:t>162 of 187</w:t>
            </w:r>
          </w:p>
        </w:tc>
        <w:tc>
          <w:tcPr>
            <w:tcW w:type="dxa" w:w="1154"/>
            <w:shd w:val="clear" w:color="auto" w:fill="F9FAFB"/>
          </w:tcPr>
          <w:p>
            <w:pPr>
              <w:spacing w:after="0" w:line="252" w:lineRule="auto"/>
            </w:pPr>
            <w:r>
              <w:rPr>
                <w:b/>
                <w:sz w:val="16"/>
              </w:rPr>
              <w:t>73</w:t>
            </w:r>
          </w:p>
        </w:tc>
        <w:tc>
          <w:tcPr>
            <w:tcW w:type="dxa" w:w="1154"/>
            <w:shd w:val="clear" w:color="auto" w:fill="F9FAFB"/>
          </w:tcPr>
          <w:p>
            <w:pPr>
              <w:spacing w:after="0" w:line="252" w:lineRule="auto"/>
            </w:pPr>
            <w:r>
              <w:rPr>
                <w:sz w:val="16"/>
              </w:rPr>
              <w:t>0</w:t>
            </w:r>
          </w:p>
        </w:tc>
        <w:tc>
          <w:tcPr>
            <w:tcW w:type="dxa" w:w="1229"/>
            <w:shd w:val="clear" w:color="auto" w:fill="F9FAFB"/>
          </w:tcPr>
          <w:p>
            <w:pPr>
              <w:spacing w:after="0" w:line="252" w:lineRule="auto"/>
            </w:pPr>
            <w:r>
              <w:rPr>
                <w:sz w:val="16"/>
              </w:rPr>
              <w:t>H3</w:t>
            </w:r>
          </w:p>
        </w:tc>
      </w:tr>
      <w:tr>
        <w:trPr>
          <w:cantSplit/>
        </w:trPr>
        <w:tc>
          <w:tcPr>
            <w:tcW w:type="dxa" w:w="1957"/>
          </w:tcPr>
          <w:p>
            <w:pPr>
              <w:spacing w:after="0" w:line="252" w:lineRule="auto"/>
            </w:pPr>
            <w:r>
              <w:rPr>
                <w:sz w:val="16"/>
              </w:rPr>
              <w:t>Collection worklist</w:t>
            </w:r>
          </w:p>
        </w:tc>
        <w:tc>
          <w:tcPr>
            <w:tcW w:type="dxa" w:w="1154"/>
          </w:tcPr>
          <w:p>
            <w:pPr>
              <w:spacing w:after="0" w:line="252" w:lineRule="auto"/>
            </w:pPr>
            <w:r>
              <w:rPr>
                <w:sz w:val="16"/>
              </w:rPr>
              <w:t>882</w:t>
            </w:r>
          </w:p>
        </w:tc>
        <w:tc>
          <w:tcPr>
            <w:tcW w:type="dxa" w:w="1339"/>
          </w:tcPr>
          <w:p>
            <w:pPr>
              <w:spacing w:after="0" w:line="252" w:lineRule="auto"/>
            </w:pPr>
            <w:r>
              <w:rPr>
                <w:sz w:val="16"/>
              </w:rPr>
              <w:t>84 %</w:t>
            </w:r>
          </w:p>
        </w:tc>
        <w:tc>
          <w:tcPr>
            <w:tcW w:type="dxa" w:w="1154"/>
          </w:tcPr>
          <w:p>
            <w:pPr>
              <w:spacing w:after="0" w:line="252" w:lineRule="auto"/>
            </w:pPr>
            <w:r>
              <w:rPr>
                <w:sz w:val="16"/>
              </w:rPr>
              <w:t>129</w:t>
            </w:r>
          </w:p>
        </w:tc>
        <w:tc>
          <w:tcPr>
            <w:tcW w:type="dxa" w:w="1154"/>
          </w:tcPr>
          <w:p>
            <w:pPr>
              <w:spacing w:after="0" w:line="252" w:lineRule="auto"/>
            </w:pPr>
            <w:r>
              <w:rPr>
                <w:sz w:val="16"/>
              </w:rPr>
              <w:t>143</w:t>
            </w:r>
          </w:p>
        </w:tc>
        <w:tc>
          <w:tcPr>
            <w:tcW w:type="dxa" w:w="1964"/>
          </w:tcPr>
          <w:p>
            <w:pPr>
              <w:spacing w:after="0" w:line="252" w:lineRule="auto"/>
            </w:pPr>
            <w:r>
              <w:rPr>
                <w:sz w:val="16"/>
              </w:rPr>
              <w:t>0 % / 8 %</w:t>
            </w:r>
          </w:p>
        </w:tc>
        <w:tc>
          <w:tcPr>
            <w:tcW w:type="dxa" w:w="1387"/>
          </w:tcPr>
          <w:p>
            <w:pPr>
              <w:spacing w:after="0" w:line="252" w:lineRule="auto"/>
            </w:pPr>
            <w:r>
              <w:rPr>
                <w:b/>
                <w:sz w:val="16"/>
              </w:rPr>
              <w:t>83</w:t>
            </w:r>
          </w:p>
        </w:tc>
        <w:tc>
          <w:tcPr>
            <w:tcW w:type="dxa" w:w="1377"/>
          </w:tcPr>
          <w:p>
            <w:pPr>
              <w:spacing w:after="0" w:line="252" w:lineRule="auto"/>
            </w:pPr>
            <w:r>
              <w:rPr>
                <w:sz w:val="16"/>
              </w:rPr>
              <w:t>134 of 142</w:t>
            </w:r>
          </w:p>
        </w:tc>
        <w:tc>
          <w:tcPr>
            <w:tcW w:type="dxa" w:w="1154"/>
          </w:tcPr>
          <w:p>
            <w:pPr>
              <w:spacing w:after="0" w:line="252" w:lineRule="auto"/>
            </w:pPr>
            <w:r>
              <w:rPr>
                <w:b/>
                <w:sz w:val="16"/>
              </w:rPr>
              <w:t>102</w:t>
            </w:r>
          </w:p>
        </w:tc>
        <w:tc>
          <w:tcPr>
            <w:tcW w:type="dxa" w:w="1154"/>
          </w:tcPr>
          <w:p>
            <w:pPr>
              <w:spacing w:after="0" w:line="252" w:lineRule="auto"/>
            </w:pPr>
            <w:r>
              <w:rPr>
                <w:sz w:val="16"/>
              </w:rPr>
              <w:t>0</w:t>
            </w:r>
          </w:p>
        </w:tc>
        <w:tc>
          <w:tcPr>
            <w:tcW w:type="dxa" w:w="1229"/>
          </w:tcPr>
          <w:p>
            <w:pPr>
              <w:spacing w:after="0" w:line="252" w:lineRule="auto"/>
            </w:pPr>
            <w:r>
              <w:rPr>
                <w:sz w:val="16"/>
              </w:rPr>
              <w:t>none</w:t>
            </w:r>
          </w:p>
        </w:tc>
      </w:tr>
      <w:tr>
        <w:trPr>
          <w:cantSplit/>
        </w:trPr>
        <w:tc>
          <w:tcPr>
            <w:tcW w:type="dxa" w:w="1957"/>
            <w:shd w:val="clear" w:color="auto" w:fill="F9FAFB"/>
          </w:tcPr>
          <w:p>
            <w:pPr>
              <w:spacing w:after="0" w:line="252" w:lineRule="auto"/>
            </w:pPr>
            <w:r>
              <w:rPr>
                <w:sz w:val="16"/>
              </w:rPr>
              <w:t>Contracts</w:t>
            </w:r>
          </w:p>
        </w:tc>
        <w:tc>
          <w:tcPr>
            <w:tcW w:type="dxa" w:w="1154"/>
            <w:shd w:val="clear" w:color="auto" w:fill="F9FAFB"/>
          </w:tcPr>
          <w:p>
            <w:pPr>
              <w:spacing w:after="0" w:line="252" w:lineRule="auto"/>
            </w:pPr>
            <w:r>
              <w:rPr>
                <w:sz w:val="16"/>
              </w:rPr>
              <w:t>113</w:t>
            </w:r>
          </w:p>
        </w:tc>
        <w:tc>
          <w:tcPr>
            <w:tcW w:type="dxa" w:w="1339"/>
            <w:shd w:val="clear" w:color="auto" w:fill="F9FAFB"/>
          </w:tcPr>
          <w:p>
            <w:pPr>
              <w:spacing w:after="0" w:line="252" w:lineRule="auto"/>
            </w:pPr>
            <w:r>
              <w:rPr>
                <w:sz w:val="16"/>
              </w:rPr>
              <w:t>85 %</w:t>
            </w:r>
          </w:p>
        </w:tc>
        <w:tc>
          <w:tcPr>
            <w:tcW w:type="dxa" w:w="1154"/>
            <w:shd w:val="clear" w:color="auto" w:fill="F9FAFB"/>
          </w:tcPr>
          <w:p>
            <w:pPr>
              <w:spacing w:after="0" w:line="252" w:lineRule="auto"/>
            </w:pPr>
            <w:r>
              <w:rPr>
                <w:sz w:val="16"/>
              </w:rPr>
              <w:t>17</w:t>
            </w:r>
          </w:p>
        </w:tc>
        <w:tc>
          <w:tcPr>
            <w:tcW w:type="dxa" w:w="1154"/>
            <w:shd w:val="clear" w:color="auto" w:fill="F9FAFB"/>
          </w:tcPr>
          <w:p>
            <w:pPr>
              <w:spacing w:after="0" w:line="252" w:lineRule="auto"/>
            </w:pPr>
            <w:r>
              <w:rPr>
                <w:sz w:val="16"/>
              </w:rPr>
              <w:t>31</w:t>
            </w:r>
          </w:p>
        </w:tc>
        <w:tc>
          <w:tcPr>
            <w:tcW w:type="dxa" w:w="1964"/>
            <w:shd w:val="clear" w:color="auto" w:fill="F9FAFB"/>
          </w:tcPr>
          <w:p>
            <w:pPr>
              <w:spacing w:after="0" w:line="252" w:lineRule="auto"/>
            </w:pPr>
            <w:r>
              <w:rPr>
                <w:sz w:val="16"/>
              </w:rPr>
              <w:t>7 % / 7 %</w:t>
            </w:r>
          </w:p>
        </w:tc>
        <w:tc>
          <w:tcPr>
            <w:tcW w:type="dxa" w:w="1387"/>
            <w:shd w:val="clear" w:color="auto" w:fill="F9FAFB"/>
          </w:tcPr>
          <w:p>
            <w:pPr>
              <w:spacing w:after="0" w:line="252" w:lineRule="auto"/>
            </w:pPr>
            <w:r>
              <w:rPr>
                <w:sz w:val="16"/>
              </w:rPr>
              <w:t>3</w:t>
            </w:r>
          </w:p>
        </w:tc>
        <w:tc>
          <w:tcPr>
            <w:tcW w:type="dxa" w:w="1377"/>
            <w:shd w:val="clear" w:color="auto" w:fill="F9FAFB"/>
          </w:tcPr>
          <w:p>
            <w:pPr>
              <w:spacing w:after="0" w:line="252" w:lineRule="auto"/>
            </w:pPr>
            <w:r>
              <w:rPr>
                <w:sz w:val="16"/>
              </w:rPr>
              <w:t>23 of 27</w:t>
            </w:r>
          </w:p>
        </w:tc>
        <w:tc>
          <w:tcPr>
            <w:tcW w:type="dxa" w:w="1154"/>
            <w:shd w:val="clear" w:color="auto" w:fill="F9FAFB"/>
          </w:tcPr>
          <w:p>
            <w:pPr>
              <w:spacing w:after="0" w:line="252" w:lineRule="auto"/>
            </w:pPr>
            <w:r>
              <w:rPr>
                <w:sz w:val="16"/>
              </w:rPr>
              <w:t>7</w:t>
            </w:r>
          </w:p>
        </w:tc>
        <w:tc>
          <w:tcPr>
            <w:tcW w:type="dxa" w:w="1154"/>
            <w:shd w:val="clear" w:color="auto" w:fill="F9FAFB"/>
          </w:tcPr>
          <w:p>
            <w:pPr>
              <w:spacing w:after="0" w:line="252" w:lineRule="auto"/>
            </w:pPr>
            <w:r>
              <w:rPr>
                <w:sz w:val="16"/>
              </w:rPr>
              <w:t>0</w:t>
            </w:r>
          </w:p>
        </w:tc>
        <w:tc>
          <w:tcPr>
            <w:tcW w:type="dxa" w:w="1229"/>
            <w:shd w:val="clear" w:color="auto" w:fill="F9FAFB"/>
          </w:tcPr>
          <w:p>
            <w:pPr>
              <w:spacing w:after="0" w:line="252" w:lineRule="auto"/>
            </w:pPr>
            <w:r>
              <w:rPr>
                <w:sz w:val="16"/>
              </w:rPr>
              <w:t>none</w:t>
            </w:r>
          </w:p>
        </w:tc>
      </w:tr>
      <w:tr>
        <w:trPr>
          <w:cantSplit/>
        </w:trPr>
        <w:tc>
          <w:tcPr>
            <w:tcW w:type="dxa" w:w="1957"/>
          </w:tcPr>
          <w:p>
            <w:pPr>
              <w:spacing w:after="0" w:line="252" w:lineRule="auto"/>
            </w:pPr>
            <w:r>
              <w:rPr>
                <w:sz w:val="16"/>
              </w:rPr>
              <w:t>Risk and data quality</w:t>
            </w:r>
          </w:p>
        </w:tc>
        <w:tc>
          <w:tcPr>
            <w:tcW w:type="dxa" w:w="1154"/>
          </w:tcPr>
          <w:p>
            <w:pPr>
              <w:spacing w:after="0" w:line="252" w:lineRule="auto"/>
            </w:pPr>
            <w:r>
              <w:rPr>
                <w:sz w:val="16"/>
              </w:rPr>
              <w:t>411</w:t>
            </w:r>
          </w:p>
        </w:tc>
        <w:tc>
          <w:tcPr>
            <w:tcW w:type="dxa" w:w="1339"/>
          </w:tcPr>
          <w:p>
            <w:pPr>
              <w:spacing w:after="0" w:line="252" w:lineRule="auto"/>
            </w:pPr>
            <w:r>
              <w:rPr>
                <w:sz w:val="16"/>
              </w:rPr>
              <w:t>67 %</w:t>
            </w:r>
          </w:p>
        </w:tc>
        <w:tc>
          <w:tcPr>
            <w:tcW w:type="dxa" w:w="1154"/>
          </w:tcPr>
          <w:p>
            <w:pPr>
              <w:spacing w:after="0" w:line="252" w:lineRule="auto"/>
            </w:pPr>
            <w:r>
              <w:rPr>
                <w:sz w:val="16"/>
              </w:rPr>
              <w:t>124</w:t>
            </w:r>
          </w:p>
        </w:tc>
        <w:tc>
          <w:tcPr>
            <w:tcW w:type="dxa" w:w="1154"/>
          </w:tcPr>
          <w:p>
            <w:pPr>
              <w:spacing w:after="0" w:line="252" w:lineRule="auto"/>
            </w:pPr>
            <w:r>
              <w:rPr>
                <w:sz w:val="16"/>
              </w:rPr>
              <w:t>129</w:t>
            </w:r>
          </w:p>
        </w:tc>
        <w:tc>
          <w:tcPr>
            <w:tcW w:type="dxa" w:w="1964"/>
          </w:tcPr>
          <w:p>
            <w:pPr>
              <w:spacing w:after="0" w:line="252" w:lineRule="auto"/>
            </w:pPr>
            <w:r>
              <w:rPr>
                <w:sz w:val="16"/>
              </w:rPr>
              <w:t>1 % / 3 %</w:t>
            </w:r>
          </w:p>
        </w:tc>
        <w:tc>
          <w:tcPr>
            <w:tcW w:type="dxa" w:w="1387"/>
          </w:tcPr>
          <w:p>
            <w:pPr>
              <w:spacing w:after="0" w:line="252" w:lineRule="auto"/>
            </w:pPr>
            <w:r>
              <w:rPr>
                <w:b/>
                <w:sz w:val="16"/>
              </w:rPr>
              <w:t>50</w:t>
            </w:r>
          </w:p>
        </w:tc>
        <w:tc>
          <w:tcPr>
            <w:tcW w:type="dxa" w:w="1377"/>
          </w:tcPr>
          <w:p>
            <w:pPr>
              <w:spacing w:after="0" w:line="252" w:lineRule="auto"/>
            </w:pPr>
            <w:r>
              <w:rPr>
                <w:sz w:val="16"/>
              </w:rPr>
              <w:t>122 of 130</w:t>
            </w:r>
          </w:p>
        </w:tc>
        <w:tc>
          <w:tcPr>
            <w:tcW w:type="dxa" w:w="1154"/>
          </w:tcPr>
          <w:p>
            <w:pPr>
              <w:spacing w:after="0" w:line="252" w:lineRule="auto"/>
            </w:pPr>
            <w:r>
              <w:rPr>
                <w:sz w:val="16"/>
              </w:rPr>
              <w:t>47</w:t>
            </w:r>
          </w:p>
        </w:tc>
        <w:tc>
          <w:tcPr>
            <w:tcW w:type="dxa" w:w="1154"/>
          </w:tcPr>
          <w:p>
            <w:pPr>
              <w:spacing w:after="0" w:line="252" w:lineRule="auto"/>
            </w:pPr>
            <w:r>
              <w:rPr>
                <w:sz w:val="16"/>
              </w:rPr>
              <w:t>0</w:t>
            </w:r>
          </w:p>
        </w:tc>
        <w:tc>
          <w:tcPr>
            <w:tcW w:type="dxa" w:w="1229"/>
          </w:tcPr>
          <w:p>
            <w:pPr>
              <w:spacing w:after="0" w:line="252" w:lineRule="auto"/>
            </w:pPr>
            <w:r>
              <w:rPr>
                <w:sz w:val="16"/>
              </w:rPr>
              <w:t>none</w:t>
            </w:r>
          </w:p>
        </w:tc>
      </w:tr>
      <w:tr>
        <w:trPr>
          <w:cantSplit/>
        </w:trPr>
        <w:tc>
          <w:tcPr>
            <w:tcW w:type="dxa" w:w="1957"/>
            <w:shd w:val="clear" w:color="auto" w:fill="F9FAFB"/>
          </w:tcPr>
          <w:p>
            <w:pPr>
              <w:spacing w:after="0" w:line="252" w:lineRule="auto"/>
            </w:pPr>
            <w:r>
              <w:rPr>
                <w:sz w:val="16"/>
              </w:rPr>
              <w:t>Data sources</w:t>
            </w:r>
          </w:p>
        </w:tc>
        <w:tc>
          <w:tcPr>
            <w:tcW w:type="dxa" w:w="1154"/>
            <w:shd w:val="clear" w:color="auto" w:fill="F9FAFB"/>
          </w:tcPr>
          <w:p>
            <w:pPr>
              <w:spacing w:after="0" w:line="252" w:lineRule="auto"/>
            </w:pPr>
            <w:r>
              <w:rPr>
                <w:sz w:val="16"/>
              </w:rPr>
              <w:t>556</w:t>
            </w:r>
          </w:p>
        </w:tc>
        <w:tc>
          <w:tcPr>
            <w:tcW w:type="dxa" w:w="1339"/>
            <w:shd w:val="clear" w:color="auto" w:fill="F9FAFB"/>
          </w:tcPr>
          <w:p>
            <w:pPr>
              <w:spacing w:after="0" w:line="252" w:lineRule="auto"/>
            </w:pPr>
            <w:r>
              <w:rPr>
                <w:sz w:val="16"/>
              </w:rPr>
              <w:t>94 %</w:t>
            </w:r>
          </w:p>
        </w:tc>
        <w:tc>
          <w:tcPr>
            <w:tcW w:type="dxa" w:w="1154"/>
            <w:shd w:val="clear" w:color="auto" w:fill="F9FAFB"/>
          </w:tcPr>
          <w:p>
            <w:pPr>
              <w:spacing w:after="0" w:line="252" w:lineRule="auto"/>
            </w:pPr>
            <w:r>
              <w:rPr>
                <w:sz w:val="16"/>
              </w:rPr>
              <w:t>230 (41 %)</w:t>
            </w:r>
          </w:p>
        </w:tc>
        <w:tc>
          <w:tcPr>
            <w:tcW w:type="dxa" w:w="1154"/>
            <w:shd w:val="clear" w:color="auto" w:fill="F9FAFB"/>
          </w:tcPr>
          <w:p>
            <w:pPr>
              <w:spacing w:after="0" w:line="252" w:lineRule="auto"/>
            </w:pPr>
            <w:r>
              <w:rPr>
                <w:sz w:val="16"/>
              </w:rPr>
              <w:t>96</w:t>
            </w:r>
          </w:p>
        </w:tc>
        <w:tc>
          <w:tcPr>
            <w:tcW w:type="dxa" w:w="1964"/>
            <w:shd w:val="clear" w:color="auto" w:fill="F9FAFB"/>
          </w:tcPr>
          <w:p>
            <w:pPr>
              <w:spacing w:after="0" w:line="252" w:lineRule="auto"/>
            </w:pPr>
            <w:r>
              <w:rPr>
                <w:sz w:val="16"/>
              </w:rPr>
              <w:t>5 % / 2 %</w:t>
            </w:r>
          </w:p>
        </w:tc>
        <w:tc>
          <w:tcPr>
            <w:tcW w:type="dxa" w:w="1387"/>
            <w:shd w:val="clear" w:color="auto" w:fill="F9FAFB"/>
          </w:tcPr>
          <w:p>
            <w:pPr>
              <w:spacing w:after="0" w:line="252" w:lineRule="auto"/>
            </w:pPr>
            <w:r>
              <w:rPr>
                <w:b/>
                <w:sz w:val="16"/>
              </w:rPr>
              <w:t>30</w:t>
            </w:r>
          </w:p>
        </w:tc>
        <w:tc>
          <w:tcPr>
            <w:tcW w:type="dxa" w:w="1377"/>
            <w:shd w:val="clear" w:color="auto" w:fill="F9FAFB"/>
          </w:tcPr>
          <w:p>
            <w:pPr>
              <w:spacing w:after="0" w:line="252" w:lineRule="auto"/>
            </w:pPr>
            <w:r>
              <w:rPr>
                <w:sz w:val="16"/>
              </w:rPr>
              <w:t>34 of 39</w:t>
            </w:r>
          </w:p>
        </w:tc>
        <w:tc>
          <w:tcPr>
            <w:tcW w:type="dxa" w:w="1154"/>
            <w:shd w:val="clear" w:color="auto" w:fill="F9FAFB"/>
          </w:tcPr>
          <w:p>
            <w:pPr>
              <w:spacing w:after="0" w:line="252" w:lineRule="auto"/>
            </w:pPr>
            <w:r>
              <w:rPr>
                <w:sz w:val="16"/>
              </w:rPr>
              <w:t>13</w:t>
            </w:r>
          </w:p>
        </w:tc>
        <w:tc>
          <w:tcPr>
            <w:tcW w:type="dxa" w:w="1154"/>
            <w:shd w:val="clear" w:color="auto" w:fill="F9FAFB"/>
          </w:tcPr>
          <w:p>
            <w:pPr>
              <w:spacing w:after="0" w:line="252" w:lineRule="auto"/>
            </w:pPr>
            <w:r>
              <w:rPr>
                <w:sz w:val="16"/>
              </w:rPr>
              <w:t>0</w:t>
            </w:r>
          </w:p>
        </w:tc>
        <w:tc>
          <w:tcPr>
            <w:tcW w:type="dxa" w:w="1229"/>
            <w:shd w:val="clear" w:color="auto" w:fill="F9FAFB"/>
          </w:tcPr>
          <w:p>
            <w:pPr>
              <w:spacing w:after="0" w:line="252" w:lineRule="auto"/>
            </w:pPr>
            <w:r>
              <w:rPr>
                <w:sz w:val="16"/>
              </w:rPr>
              <w:t>H3 H4</w:t>
            </w:r>
          </w:p>
        </w:tc>
      </w:tr>
      <w:tr>
        <w:trPr>
          <w:cantSplit/>
        </w:trPr>
        <w:tc>
          <w:tcPr>
            <w:tcW w:type="dxa" w:w="1957"/>
          </w:tcPr>
          <w:p>
            <w:pPr>
              <w:spacing w:after="0" w:line="252" w:lineRule="auto"/>
            </w:pPr>
            <w:r>
              <w:rPr>
                <w:sz w:val="16"/>
              </w:rPr>
              <w:t>Metric dictionary</w:t>
            </w:r>
          </w:p>
        </w:tc>
        <w:tc>
          <w:tcPr>
            <w:tcW w:type="dxa" w:w="1154"/>
          </w:tcPr>
          <w:p>
            <w:pPr>
              <w:spacing w:after="0" w:line="252" w:lineRule="auto"/>
            </w:pPr>
            <w:r>
              <w:rPr>
                <w:sz w:val="16"/>
              </w:rPr>
              <w:t>376</w:t>
            </w:r>
          </w:p>
        </w:tc>
        <w:tc>
          <w:tcPr>
            <w:tcW w:type="dxa" w:w="1339"/>
          </w:tcPr>
          <w:p>
            <w:pPr>
              <w:spacing w:after="0" w:line="252" w:lineRule="auto"/>
            </w:pPr>
            <w:r>
              <w:rPr>
                <w:sz w:val="16"/>
              </w:rPr>
              <w:t>90 %</w:t>
            </w:r>
          </w:p>
        </w:tc>
        <w:tc>
          <w:tcPr>
            <w:tcW w:type="dxa" w:w="1154"/>
          </w:tcPr>
          <w:p>
            <w:pPr>
              <w:spacing w:after="0" w:line="252" w:lineRule="auto"/>
            </w:pPr>
            <w:r>
              <w:rPr>
                <w:sz w:val="16"/>
              </w:rPr>
              <w:t>30</w:t>
            </w:r>
          </w:p>
        </w:tc>
        <w:tc>
          <w:tcPr>
            <w:tcW w:type="dxa" w:w="1154"/>
          </w:tcPr>
          <w:p>
            <w:pPr>
              <w:spacing w:after="0" w:line="252" w:lineRule="auto"/>
            </w:pPr>
            <w:r>
              <w:rPr>
                <w:sz w:val="16"/>
              </w:rPr>
              <w:t>69</w:t>
            </w:r>
          </w:p>
        </w:tc>
        <w:tc>
          <w:tcPr>
            <w:tcW w:type="dxa" w:w="1964"/>
          </w:tcPr>
          <w:p>
            <w:pPr>
              <w:spacing w:after="0" w:line="252" w:lineRule="auto"/>
            </w:pPr>
            <w:r>
              <w:rPr>
                <w:sz w:val="16"/>
              </w:rPr>
              <w:t>0 % / 5 %</w:t>
            </w:r>
          </w:p>
        </w:tc>
        <w:tc>
          <w:tcPr>
            <w:tcW w:type="dxa" w:w="1387"/>
          </w:tcPr>
          <w:p>
            <w:pPr>
              <w:spacing w:after="0" w:line="252" w:lineRule="auto"/>
            </w:pPr>
            <w:r>
              <w:rPr>
                <w:sz w:val="16"/>
              </w:rPr>
              <w:t>3</w:t>
            </w:r>
          </w:p>
        </w:tc>
        <w:tc>
          <w:tcPr>
            <w:tcW w:type="dxa" w:w="1377"/>
          </w:tcPr>
          <w:p>
            <w:pPr>
              <w:spacing w:after="0" w:line="252" w:lineRule="auto"/>
            </w:pPr>
            <w:r>
              <w:rPr>
                <w:sz w:val="16"/>
              </w:rPr>
              <w:t>22 of 30</w:t>
            </w:r>
          </w:p>
        </w:tc>
        <w:tc>
          <w:tcPr>
            <w:tcW w:type="dxa" w:w="1154"/>
          </w:tcPr>
          <w:p>
            <w:pPr>
              <w:spacing w:after="0" w:line="252" w:lineRule="auto"/>
            </w:pPr>
            <w:r>
              <w:rPr>
                <w:sz w:val="16"/>
              </w:rPr>
              <w:t>1</w:t>
            </w:r>
          </w:p>
        </w:tc>
        <w:tc>
          <w:tcPr>
            <w:tcW w:type="dxa" w:w="1154"/>
          </w:tcPr>
          <w:p>
            <w:pPr>
              <w:spacing w:after="0" w:line="252" w:lineRule="auto"/>
            </w:pPr>
            <w:r>
              <w:rPr>
                <w:sz w:val="16"/>
              </w:rPr>
              <w:t>0</w:t>
            </w:r>
          </w:p>
        </w:tc>
        <w:tc>
          <w:tcPr>
            <w:tcW w:type="dxa" w:w="1229"/>
          </w:tcPr>
          <w:p>
            <w:pPr>
              <w:spacing w:after="0" w:line="252" w:lineRule="auto"/>
            </w:pPr>
            <w:r>
              <w:rPr>
                <w:sz w:val="16"/>
              </w:rPr>
              <w:t>H3 ×15</w:t>
            </w:r>
          </w:p>
        </w:tc>
      </w:tr>
      <w:tr>
        <w:trPr>
          <w:cantSplit/>
        </w:trPr>
        <w:tc>
          <w:tcPr>
            <w:tcW w:type="dxa" w:w="1957"/>
            <w:shd w:val="clear" w:color="auto" w:fill="F9FAFB"/>
          </w:tcPr>
          <w:p>
            <w:pPr>
              <w:spacing w:after="0" w:line="252" w:lineRule="auto"/>
            </w:pPr>
            <w:r>
              <w:rPr>
                <w:sz w:val="16"/>
              </w:rPr>
              <w:t>Sanad orders</w:t>
            </w:r>
          </w:p>
        </w:tc>
        <w:tc>
          <w:tcPr>
            <w:tcW w:type="dxa" w:w="1154"/>
            <w:shd w:val="clear" w:color="auto" w:fill="F9FAFB"/>
          </w:tcPr>
          <w:p>
            <w:pPr>
              <w:spacing w:after="0" w:line="252" w:lineRule="auto"/>
            </w:pPr>
            <w:r>
              <w:rPr>
                <w:sz w:val="16"/>
              </w:rPr>
              <w:t>159</w:t>
            </w:r>
          </w:p>
        </w:tc>
        <w:tc>
          <w:tcPr>
            <w:tcW w:type="dxa" w:w="1339"/>
            <w:shd w:val="clear" w:color="auto" w:fill="F9FAFB"/>
          </w:tcPr>
          <w:p>
            <w:pPr>
              <w:spacing w:after="0" w:line="252" w:lineRule="auto"/>
            </w:pPr>
            <w:r>
              <w:rPr>
                <w:sz w:val="16"/>
              </w:rPr>
              <w:t>80 %</w:t>
            </w:r>
          </w:p>
        </w:tc>
        <w:tc>
          <w:tcPr>
            <w:tcW w:type="dxa" w:w="1154"/>
            <w:shd w:val="clear" w:color="auto" w:fill="F9FAFB"/>
          </w:tcPr>
          <w:p>
            <w:pPr>
              <w:spacing w:after="0" w:line="252" w:lineRule="auto"/>
            </w:pPr>
            <w:r>
              <w:rPr>
                <w:sz w:val="16"/>
              </w:rPr>
              <w:t>26</w:t>
            </w:r>
          </w:p>
        </w:tc>
        <w:tc>
          <w:tcPr>
            <w:tcW w:type="dxa" w:w="1154"/>
            <w:shd w:val="clear" w:color="auto" w:fill="F9FAFB"/>
          </w:tcPr>
          <w:p>
            <w:pPr>
              <w:spacing w:after="0" w:line="252" w:lineRule="auto"/>
            </w:pPr>
            <w:r>
              <w:rPr>
                <w:sz w:val="16"/>
              </w:rPr>
              <w:t>35</w:t>
            </w:r>
          </w:p>
        </w:tc>
        <w:tc>
          <w:tcPr>
            <w:tcW w:type="dxa" w:w="1964"/>
            <w:shd w:val="clear" w:color="auto" w:fill="F9FAFB"/>
          </w:tcPr>
          <w:p>
            <w:pPr>
              <w:spacing w:after="0" w:line="252" w:lineRule="auto"/>
            </w:pPr>
            <w:r>
              <w:rPr>
                <w:sz w:val="16"/>
              </w:rPr>
              <w:t>1 % / 32 %</w:t>
            </w:r>
          </w:p>
        </w:tc>
        <w:tc>
          <w:tcPr>
            <w:tcW w:type="dxa" w:w="1387"/>
            <w:shd w:val="clear" w:color="auto" w:fill="F9FAFB"/>
          </w:tcPr>
          <w:p>
            <w:pPr>
              <w:spacing w:after="0" w:line="252" w:lineRule="auto"/>
            </w:pPr>
            <w:r>
              <w:rPr>
                <w:b/>
                <w:sz w:val="16"/>
              </w:rPr>
              <w:t>17</w:t>
            </w:r>
          </w:p>
        </w:tc>
        <w:tc>
          <w:tcPr>
            <w:tcW w:type="dxa" w:w="1377"/>
            <w:shd w:val="clear" w:color="auto" w:fill="F9FAFB"/>
          </w:tcPr>
          <w:p>
            <w:pPr>
              <w:spacing w:after="0" w:line="252" w:lineRule="auto"/>
            </w:pPr>
            <w:r>
              <w:rPr>
                <w:sz w:val="16"/>
              </w:rPr>
              <w:t>31 of 33</w:t>
            </w:r>
          </w:p>
        </w:tc>
        <w:tc>
          <w:tcPr>
            <w:tcW w:type="dxa" w:w="1154"/>
            <w:shd w:val="clear" w:color="auto" w:fill="F9FAFB"/>
          </w:tcPr>
          <w:p>
            <w:pPr>
              <w:spacing w:after="0" w:line="252" w:lineRule="auto"/>
            </w:pPr>
            <w:r>
              <w:rPr>
                <w:sz w:val="16"/>
              </w:rPr>
              <w:t>0</w:t>
            </w:r>
          </w:p>
        </w:tc>
        <w:tc>
          <w:tcPr>
            <w:tcW w:type="dxa" w:w="1154"/>
            <w:shd w:val="clear" w:color="auto" w:fill="F9FAFB"/>
          </w:tcPr>
          <w:p>
            <w:pPr>
              <w:spacing w:after="0" w:line="252" w:lineRule="auto"/>
            </w:pPr>
            <w:r>
              <w:rPr>
                <w:sz w:val="16"/>
              </w:rPr>
              <w:t>0</w:t>
            </w:r>
          </w:p>
        </w:tc>
        <w:tc>
          <w:tcPr>
            <w:tcW w:type="dxa" w:w="1229"/>
            <w:shd w:val="clear" w:color="auto" w:fill="F9FAFB"/>
          </w:tcPr>
          <w:p>
            <w:pPr>
              <w:spacing w:after="0" w:line="252" w:lineRule="auto"/>
            </w:pPr>
            <w:r>
              <w:rPr>
                <w:sz w:val="16"/>
              </w:rPr>
              <w:t>none</w:t>
            </w:r>
          </w:p>
        </w:tc>
      </w:tr>
      <w:tr>
        <w:trPr>
          <w:cantSplit/>
        </w:trPr>
        <w:tc>
          <w:tcPr>
            <w:tcW w:type="dxa" w:w="1957"/>
          </w:tcPr>
          <w:p>
            <w:pPr>
              <w:spacing w:after="0" w:line="252" w:lineRule="auto"/>
            </w:pPr>
            <w:r>
              <w:rPr>
                <w:sz w:val="16"/>
              </w:rPr>
              <w:t>Investment invoices</w:t>
            </w:r>
          </w:p>
        </w:tc>
        <w:tc>
          <w:tcPr>
            <w:tcW w:type="dxa" w:w="1154"/>
          </w:tcPr>
          <w:p>
            <w:pPr>
              <w:spacing w:after="0" w:line="252" w:lineRule="auto"/>
            </w:pPr>
            <w:r>
              <w:rPr>
                <w:sz w:val="16"/>
              </w:rPr>
              <w:t>64</w:t>
            </w:r>
          </w:p>
        </w:tc>
        <w:tc>
          <w:tcPr>
            <w:tcW w:type="dxa" w:w="1339"/>
          </w:tcPr>
          <w:p>
            <w:pPr>
              <w:spacing w:after="0" w:line="252" w:lineRule="auto"/>
            </w:pPr>
            <w:r>
              <w:rPr>
                <w:sz w:val="16"/>
              </w:rPr>
              <w:t>41 %</w:t>
            </w:r>
          </w:p>
        </w:tc>
        <w:tc>
          <w:tcPr>
            <w:tcW w:type="dxa" w:w="1154"/>
          </w:tcPr>
          <w:p>
            <w:pPr>
              <w:spacing w:after="0" w:line="252" w:lineRule="auto"/>
            </w:pPr>
            <w:r>
              <w:rPr>
                <w:sz w:val="16"/>
              </w:rPr>
              <w:t>11</w:t>
            </w:r>
          </w:p>
        </w:tc>
        <w:tc>
          <w:tcPr>
            <w:tcW w:type="dxa" w:w="1154"/>
          </w:tcPr>
          <w:p>
            <w:pPr>
              <w:spacing w:after="0" w:line="252" w:lineRule="auto"/>
            </w:pPr>
            <w:r>
              <w:rPr>
                <w:sz w:val="16"/>
              </w:rPr>
              <w:t>38</w:t>
            </w:r>
          </w:p>
        </w:tc>
        <w:tc>
          <w:tcPr>
            <w:tcW w:type="dxa" w:w="1964"/>
          </w:tcPr>
          <w:p>
            <w:pPr>
              <w:spacing w:after="0" w:line="252" w:lineRule="auto"/>
            </w:pPr>
            <w:r>
              <w:rPr>
                <w:sz w:val="16"/>
              </w:rPr>
              <w:t>2 % / 43 %</w:t>
            </w:r>
          </w:p>
        </w:tc>
        <w:tc>
          <w:tcPr>
            <w:tcW w:type="dxa" w:w="1387"/>
          </w:tcPr>
          <w:p>
            <w:pPr>
              <w:spacing w:after="0" w:line="252" w:lineRule="auto"/>
            </w:pPr>
            <w:r>
              <w:rPr>
                <w:sz w:val="16"/>
              </w:rPr>
              <w:t>10</w:t>
            </w:r>
          </w:p>
        </w:tc>
        <w:tc>
          <w:tcPr>
            <w:tcW w:type="dxa" w:w="1377"/>
          </w:tcPr>
          <w:p>
            <w:pPr>
              <w:spacing w:after="0" w:line="252" w:lineRule="auto"/>
            </w:pPr>
            <w:r>
              <w:rPr>
                <w:sz w:val="16"/>
              </w:rPr>
              <w:t>25 of 27</w:t>
            </w:r>
          </w:p>
        </w:tc>
        <w:tc>
          <w:tcPr>
            <w:tcW w:type="dxa" w:w="1154"/>
          </w:tcPr>
          <w:p>
            <w:pPr>
              <w:spacing w:after="0" w:line="252" w:lineRule="auto"/>
            </w:pPr>
            <w:r>
              <w:rPr>
                <w:sz w:val="16"/>
              </w:rPr>
              <w:t>0</w:t>
            </w:r>
          </w:p>
        </w:tc>
        <w:tc>
          <w:tcPr>
            <w:tcW w:type="dxa" w:w="1154"/>
          </w:tcPr>
          <w:p>
            <w:pPr>
              <w:spacing w:after="0" w:line="252" w:lineRule="auto"/>
            </w:pPr>
            <w:r>
              <w:rPr>
                <w:sz w:val="16"/>
              </w:rPr>
              <w:t>0</w:t>
            </w:r>
          </w:p>
        </w:tc>
        <w:tc>
          <w:tcPr>
            <w:tcW w:type="dxa" w:w="1229"/>
          </w:tcPr>
          <w:p>
            <w:pPr>
              <w:spacing w:after="0" w:line="252" w:lineRule="auto"/>
            </w:pPr>
            <w:r>
              <w:rPr>
                <w:sz w:val="16"/>
              </w:rPr>
              <w:t>none</w:t>
            </w:r>
          </w:p>
        </w:tc>
      </w:tr>
    </w:tbl>
    <w:p>
      <w:pPr>
        <w:spacing w:after="40"/>
      </w:pPr>
    </w:p>
    <w:p>
      <w:r>
        <w:rPr>
          <w:i/>
        </w:rPr>
        <w:t>Method:</w:t>
      </w:r>
      <w:r>
        <w:t xml:space="preserve"> computed styles of every visible text node/interactive element in </w:t>
      </w:r>
      <w:r>
        <w:rPr>
          <w:rFonts w:ascii="Consolas" w:hAnsi="Consolas" w:cs="Consolas"/>
          <w:color w:val="B42318"/>
          <w:sz w:val="19"/>
        </w:rPr>
        <w:t>&lt;main&gt;</w:t>
      </w:r>
      <w:r>
        <w:t>; "off-scale" = font size not in the DGA scale {10, 12, 14, 16, 18, 20, 24…}; contrast = WCAG ratio of the rendered text colour over the composited background (large-text threshold applied); the "IB" logo tile (a gradient the script cannot sample) is a known false positive on every page and is excluded from the counts above where it was the only failure. Counts are indicative, not a conformance test.</w:t>
      </w:r>
    </w:p>
    <w:p>
      <w:pPr>
        <w:pStyle w:val="Heading3"/>
      </w:pPr>
      <w:r>
        <w:t>18.3 What is consistent and what is not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3172"/>
        <w:gridCol w:w="1277"/>
        <w:gridCol w:w="10574"/>
      </w:tblGrid>
      <w:tr>
        <w:trPr>
          <w:tblHeader w:val="true"/>
          <w:cantSplit/>
        </w:trPr>
        <w:tc>
          <w:tcPr>
            <w:tcW w:type="dxa" w:w="3172"/>
            <w:shd w:val="clear" w:color="auto" w:fill="1B8354"/>
          </w:tcPr>
          <w:p>
            <w:pPr>
              <w:spacing w:after="0" w:line="252" w:lineRule="auto"/>
            </w:pPr>
            <w:r>
              <w:rPr>
                <w:b/>
                <w:color w:val="FFFFFF"/>
                <w:sz w:val="17"/>
              </w:rPr>
              <w:t>Dimension</w:t>
            </w:r>
          </w:p>
        </w:tc>
        <w:tc>
          <w:tcPr>
            <w:tcW w:type="dxa" w:w="1277"/>
            <w:shd w:val="clear" w:color="auto" w:fill="1B8354"/>
          </w:tcPr>
          <w:p>
            <w:pPr>
              <w:spacing w:after="0" w:line="252" w:lineRule="auto"/>
            </w:pPr>
            <w:r>
              <w:rPr>
                <w:b/>
                <w:color w:val="FFFFFF"/>
                <w:sz w:val="17"/>
              </w:rPr>
              <w:t>Consistent?</w:t>
            </w:r>
          </w:p>
        </w:tc>
        <w:tc>
          <w:tcPr>
            <w:tcW w:type="dxa" w:w="10574"/>
            <w:shd w:val="clear" w:color="auto" w:fill="1B8354"/>
          </w:tcPr>
          <w:p>
            <w:pPr>
              <w:spacing w:after="0" w:line="252" w:lineRule="auto"/>
            </w:pPr>
            <w:r>
              <w:rPr>
                <w:b/>
                <w:color w:val="FFFFFF"/>
                <w:sz w:val="17"/>
              </w:rPr>
              <w:t>Notes</w:t>
            </w:r>
          </w:p>
        </w:tc>
      </w:tr>
      <w:tr>
        <w:trPr>
          <w:cantSplit/>
        </w:trPr>
        <w:tc>
          <w:tcPr>
            <w:tcW w:type="dxa" w:w="3172"/>
          </w:tcPr>
          <w:p>
            <w:pPr>
              <w:spacing w:after="0" w:line="252" w:lineRule="auto"/>
            </w:pPr>
            <w:r>
              <w:rPr>
                <w:sz w:val="17"/>
              </w:rPr>
              <w:t>Brand colour</w:t>
            </w:r>
          </w:p>
        </w:tc>
        <w:tc>
          <w:tcPr>
            <w:tcW w:type="dxa" w:w="1277"/>
          </w:tcPr>
          <w:p>
            <w:pPr>
              <w:spacing w:after="0" w:line="252" w:lineRule="auto"/>
            </w:pPr>
            <w:r>
              <w:rPr>
                <w:sz w:val="17"/>
              </w:rPr>
              <w:t>✔</w:t>
            </w:r>
          </w:p>
        </w:tc>
        <w:tc>
          <w:tcPr>
            <w:tcW w:type="dxa" w:w="10574"/>
          </w:tcPr>
          <w:p>
            <w:pPr>
              <w:spacing w:after="0" w:line="252" w:lineRule="auto"/>
            </w:pPr>
            <w:r>
              <w:rPr>
                <w:rFonts w:ascii="Consolas" w:hAnsi="Consolas" w:cs="Consolas"/>
                <w:color w:val="B42318"/>
                <w:sz w:val="16"/>
              </w:rPr>
              <w:t>#1B8354</w:t>
            </w:r>
            <w:r>
              <w:rPr>
                <w:sz w:val="17"/>
              </w:rPr>
              <w:t xml:space="preserve"> = SA 600 everywhere</w:t>
            </w:r>
          </w:p>
        </w:tc>
      </w:tr>
      <w:tr>
        <w:trPr>
          <w:cantSplit/>
        </w:trPr>
        <w:tc>
          <w:tcPr>
            <w:tcW w:type="dxa" w:w="3172"/>
            <w:shd w:val="clear" w:color="auto" w:fill="F9FAFB"/>
          </w:tcPr>
          <w:p>
            <w:pPr>
              <w:spacing w:after="0" w:line="252" w:lineRule="auto"/>
            </w:pPr>
            <w:r>
              <w:rPr>
                <w:sz w:val="17"/>
              </w:rPr>
              <w:t>Other palette colours</w:t>
            </w:r>
          </w:p>
        </w:tc>
        <w:tc>
          <w:tcPr>
            <w:tcW w:type="dxa" w:w="1277"/>
            <w:shd w:val="clear" w:color="auto" w:fill="F9FAFB"/>
          </w:tcPr>
          <w:p>
            <w:pPr>
              <w:spacing w:after="0" w:line="252" w:lineRule="auto"/>
            </w:pPr>
            <w:r>
              <w:rPr>
                <w:sz w:val="17"/>
              </w:rPr>
              <w:t>✖</w:t>
            </w:r>
          </w:p>
        </w:tc>
        <w:tc>
          <w:tcPr>
            <w:tcW w:type="dxa" w:w="10574"/>
            <w:shd w:val="clear" w:color="auto" w:fill="F9FAFB"/>
          </w:tcPr>
          <w:p>
            <w:pPr>
              <w:spacing w:after="0" w:line="252" w:lineRule="auto"/>
            </w:pPr>
            <w:r>
              <w:rPr>
                <w:sz w:val="17"/>
              </w:rPr>
              <w:t>12 distinct text colours and 14 distinct background colours on the Dashboard alone; status/semantic hues are the prototype's, not DGA's</w:t>
            </w:r>
          </w:p>
        </w:tc>
      </w:tr>
      <w:tr>
        <w:trPr>
          <w:cantSplit/>
        </w:trPr>
        <w:tc>
          <w:tcPr>
            <w:tcW w:type="dxa" w:w="3172"/>
          </w:tcPr>
          <w:p>
            <w:pPr>
              <w:spacing w:after="0" w:line="252" w:lineRule="auto"/>
            </w:pPr>
            <w:r>
              <w:rPr>
                <w:sz w:val="17"/>
              </w:rPr>
              <w:t>Font family</w:t>
            </w:r>
          </w:p>
        </w:tc>
        <w:tc>
          <w:tcPr>
            <w:tcW w:type="dxa" w:w="1277"/>
          </w:tcPr>
          <w:p>
            <w:pPr>
              <w:spacing w:after="0" w:line="252" w:lineRule="auto"/>
            </w:pPr>
            <w:r>
              <w:rPr>
                <w:sz w:val="17"/>
              </w:rPr>
              <w:t>◐</w:t>
            </w:r>
          </w:p>
        </w:tc>
        <w:tc>
          <w:tcPr>
            <w:tcW w:type="dxa" w:w="10574"/>
          </w:tcPr>
          <w:p>
            <w:pPr>
              <w:spacing w:after="0" w:line="252" w:lineRule="auto"/>
            </w:pPr>
            <w:r>
              <w:rPr>
                <w:sz w:val="17"/>
              </w:rPr>
              <w:t xml:space="preserve">one family, but Latin text uses the Arabic face; Plex </w:t>
            </w:r>
            <w:r>
              <w:rPr>
                <w:b/>
                <w:sz w:val="17"/>
              </w:rPr>
              <w:t>Mono</w:t>
            </w:r>
            <w:r>
              <w:rPr>
                <w:sz w:val="17"/>
              </w:rPr>
              <w:t xml:space="preserve"> for numbers (111 text nodes on the Dashboard, 407 on Collection)</w:t>
            </w:r>
          </w:p>
        </w:tc>
      </w:tr>
      <w:tr>
        <w:trPr>
          <w:cantSplit/>
        </w:trPr>
        <w:tc>
          <w:tcPr>
            <w:tcW w:type="dxa" w:w="3172"/>
            <w:shd w:val="clear" w:color="auto" w:fill="F9FAFB"/>
          </w:tcPr>
          <w:p>
            <w:pPr>
              <w:spacing w:after="0" w:line="252" w:lineRule="auto"/>
            </w:pPr>
            <w:r>
              <w:rPr>
                <w:sz w:val="17"/>
              </w:rPr>
              <w:t>Type scale</w:t>
            </w:r>
          </w:p>
        </w:tc>
        <w:tc>
          <w:tcPr>
            <w:tcW w:type="dxa" w:w="1277"/>
            <w:shd w:val="clear" w:color="auto" w:fill="F9FAFB"/>
          </w:tcPr>
          <w:p>
            <w:pPr>
              <w:spacing w:after="0" w:line="252" w:lineRule="auto"/>
            </w:pPr>
            <w:r>
              <w:rPr>
                <w:sz w:val="17"/>
              </w:rPr>
              <w:t>✖</w:t>
            </w:r>
          </w:p>
        </w:tc>
        <w:tc>
          <w:tcPr>
            <w:tcW w:type="dxa" w:w="10574"/>
            <w:shd w:val="clear" w:color="auto" w:fill="F9FAFB"/>
          </w:tcPr>
          <w:p>
            <w:pPr>
              <w:spacing w:after="0" w:line="252" w:lineRule="auto"/>
            </w:pPr>
            <w:r>
              <w:rPr>
                <w:sz w:val="17"/>
              </w:rPr>
              <w:t>10–16 distinct sizes per page, 10.4/10.5/11/11.5/12.5/13/13.5/15/22 px outside the scale</w:t>
            </w:r>
          </w:p>
        </w:tc>
      </w:tr>
      <w:tr>
        <w:trPr>
          <w:cantSplit/>
        </w:trPr>
        <w:tc>
          <w:tcPr>
            <w:tcW w:type="dxa" w:w="3172"/>
          </w:tcPr>
          <w:p>
            <w:pPr>
              <w:spacing w:after="0" w:line="252" w:lineRule="auto"/>
            </w:pPr>
            <w:r>
              <w:rPr>
                <w:sz w:val="17"/>
              </w:rPr>
              <w:t>Spacing</w:t>
            </w:r>
          </w:p>
        </w:tc>
        <w:tc>
          <w:tcPr>
            <w:tcW w:type="dxa" w:w="1277"/>
          </w:tcPr>
          <w:p>
            <w:pPr>
              <w:spacing w:after="0" w:line="252" w:lineRule="auto"/>
            </w:pPr>
            <w:r>
              <w:rPr>
                <w:sz w:val="17"/>
              </w:rPr>
              <w:t>✖</w:t>
            </w:r>
          </w:p>
        </w:tc>
        <w:tc>
          <w:tcPr>
            <w:tcW w:type="dxa" w:w="10574"/>
          </w:tcPr>
          <w:p>
            <w:pPr>
              <w:spacing w:after="0" w:line="252" w:lineRule="auto"/>
            </w:pPr>
            <w:r>
              <w:rPr>
                <w:sz w:val="17"/>
              </w:rPr>
              <w:t>only 41–51 % of padding/margin/gap values are multiples of 4; 21 distinct values on the Dashboard</w:t>
            </w:r>
          </w:p>
        </w:tc>
      </w:tr>
      <w:tr>
        <w:trPr>
          <w:cantSplit/>
        </w:trPr>
        <w:tc>
          <w:tcPr>
            <w:tcW w:type="dxa" w:w="3172"/>
            <w:shd w:val="clear" w:color="auto" w:fill="F9FAFB"/>
          </w:tcPr>
          <w:p>
            <w:pPr>
              <w:spacing w:after="0" w:line="252" w:lineRule="auto"/>
            </w:pPr>
            <w:r>
              <w:rPr>
                <w:sz w:val="17"/>
              </w:rPr>
              <w:t>Radius</w:t>
            </w:r>
          </w:p>
        </w:tc>
        <w:tc>
          <w:tcPr>
            <w:tcW w:type="dxa" w:w="1277"/>
            <w:shd w:val="clear" w:color="auto" w:fill="F9FAFB"/>
          </w:tcPr>
          <w:p>
            <w:pPr>
              <w:spacing w:after="0" w:line="252" w:lineRule="auto"/>
            </w:pPr>
            <w:r>
              <w:rPr>
                <w:sz w:val="17"/>
              </w:rPr>
              <w:t>◐</w:t>
            </w:r>
          </w:p>
        </w:tc>
        <w:tc>
          <w:tcPr>
            <w:tcW w:type="dxa" w:w="10574"/>
            <w:shd w:val="clear" w:color="auto" w:fill="F9FAFB"/>
          </w:tcPr>
          <w:p>
            <w:pPr>
              <w:spacing w:after="0" w:line="252" w:lineRule="auto"/>
            </w:pPr>
            <w:r>
              <w:rPr>
                <w:sz w:val="17"/>
              </w:rPr>
              <w:t>8 values (4, 9, 10, 12, 14, 50 %, 99, 999 px)</w:t>
            </w:r>
          </w:p>
        </w:tc>
      </w:tr>
      <w:tr>
        <w:trPr>
          <w:cantSplit/>
        </w:trPr>
        <w:tc>
          <w:tcPr>
            <w:tcW w:type="dxa" w:w="3172"/>
          </w:tcPr>
          <w:p>
            <w:pPr>
              <w:spacing w:after="0" w:line="252" w:lineRule="auto"/>
            </w:pPr>
            <w:r>
              <w:rPr>
                <w:sz w:val="17"/>
              </w:rPr>
              <w:t>Icons</w:t>
            </w:r>
          </w:p>
        </w:tc>
        <w:tc>
          <w:tcPr>
            <w:tcW w:type="dxa" w:w="1277"/>
          </w:tcPr>
          <w:p>
            <w:pPr>
              <w:spacing w:after="0" w:line="252" w:lineRule="auto"/>
            </w:pPr>
            <w:r>
              <w:rPr>
                <w:sz w:val="17"/>
              </w:rPr>
              <w:t>✖</w:t>
            </w:r>
          </w:p>
        </w:tc>
        <w:tc>
          <w:tcPr>
            <w:tcW w:type="dxa" w:w="10574"/>
          </w:tcPr>
          <w:p>
            <w:pPr>
              <w:spacing w:after="0" w:line="252" w:lineRule="auto"/>
            </w:pPr>
            <w:r>
              <w:rPr>
                <w:sz w:val="17"/>
              </w:rPr>
              <w:t>custom inline SVG + 79 source lines using text glyphs/emoji</w:t>
            </w:r>
          </w:p>
        </w:tc>
      </w:tr>
      <w:tr>
        <w:trPr>
          <w:cantSplit/>
        </w:trPr>
        <w:tc>
          <w:tcPr>
            <w:tcW w:type="dxa" w:w="3172"/>
            <w:shd w:val="clear" w:color="auto" w:fill="F9FAFB"/>
          </w:tcPr>
          <w:p>
            <w:pPr>
              <w:spacing w:after="0" w:line="252" w:lineRule="auto"/>
            </w:pPr>
            <w:r>
              <w:rPr>
                <w:sz w:val="17"/>
              </w:rPr>
              <w:t>Page header pattern</w:t>
            </w:r>
          </w:p>
        </w:tc>
        <w:tc>
          <w:tcPr>
            <w:tcW w:type="dxa" w:w="1277"/>
            <w:shd w:val="clear" w:color="auto" w:fill="F9FAFB"/>
          </w:tcPr>
          <w:p>
            <w:pPr>
              <w:spacing w:after="0" w:line="252" w:lineRule="auto"/>
            </w:pPr>
            <w:r>
              <w:rPr>
                <w:sz w:val="17"/>
              </w:rPr>
              <w:t>✖</w:t>
            </w:r>
          </w:p>
        </w:tc>
        <w:tc>
          <w:tcPr>
            <w:tcW w:type="dxa" w:w="10574"/>
            <w:shd w:val="clear" w:color="auto" w:fill="F9FAFB"/>
          </w:tcPr>
          <w:p>
            <w:pPr>
              <w:spacing w:after="0" w:line="252" w:lineRule="auto"/>
            </w:pPr>
            <w:r>
              <w:rPr>
                <w:sz w:val="17"/>
              </w:rPr>
              <w:t xml:space="preserve">new pages: </w:t>
            </w:r>
            <w:r>
              <w:rPr>
                <w:rFonts w:ascii="Consolas" w:hAnsi="Consolas" w:cs="Consolas"/>
                <w:color w:val="B42318"/>
                <w:sz w:val="16"/>
              </w:rPr>
              <w:t>h1</w:t>
            </w:r>
            <w:r>
              <w:rPr>
                <w:sz w:val="17"/>
              </w:rPr>
              <w:t xml:space="preserve"> title + subtitle + tabs; operational pages: </w:t>
            </w:r>
            <w:r>
              <w:rPr>
                <w:rFonts w:ascii="Consolas" w:hAnsi="Consolas" w:cs="Consolas"/>
                <w:color w:val="B42318"/>
                <w:sz w:val="16"/>
              </w:rPr>
              <w:t>div.page-title</w:t>
            </w:r>
            <w:r>
              <w:rPr>
                <w:sz w:val="17"/>
              </w:rPr>
              <w:t xml:space="preserve">, no </w:t>
            </w:r>
            <w:r>
              <w:rPr>
                <w:rFonts w:ascii="Consolas" w:hAnsi="Consolas" w:cs="Consolas"/>
                <w:color w:val="B42318"/>
                <w:sz w:val="16"/>
              </w:rPr>
              <w:t>h1</w:t>
            </w:r>
            <w:r>
              <w:rPr>
                <w:sz w:val="17"/>
              </w:rPr>
              <w:t>, different filter bar</w:t>
            </w:r>
          </w:p>
        </w:tc>
      </w:tr>
      <w:tr>
        <w:trPr>
          <w:cantSplit/>
        </w:trPr>
        <w:tc>
          <w:tcPr>
            <w:tcW w:type="dxa" w:w="3172"/>
          </w:tcPr>
          <w:p>
            <w:pPr>
              <w:spacing w:after="0" w:line="252" w:lineRule="auto"/>
            </w:pPr>
            <w:r>
              <w:rPr>
                <w:sz w:val="17"/>
              </w:rPr>
              <w:t>Filter UI</w:t>
            </w:r>
          </w:p>
        </w:tc>
        <w:tc>
          <w:tcPr>
            <w:tcW w:type="dxa" w:w="1277"/>
          </w:tcPr>
          <w:p>
            <w:pPr>
              <w:spacing w:after="0" w:line="252" w:lineRule="auto"/>
            </w:pPr>
            <w:r>
              <w:rPr>
                <w:sz w:val="17"/>
              </w:rPr>
              <w:t>✖</w:t>
            </w:r>
          </w:p>
        </w:tc>
        <w:tc>
          <w:tcPr>
            <w:tcW w:type="dxa" w:w="10574"/>
          </w:tcPr>
          <w:p>
            <w:pPr>
              <w:spacing w:after="0" w:line="252" w:lineRule="auto"/>
            </w:pPr>
            <w:r>
              <w:rPr>
                <w:sz w:val="17"/>
              </w:rPr>
              <w:t>three implementations (D-09, F-21)</w:t>
            </w:r>
          </w:p>
        </w:tc>
      </w:tr>
      <w:tr>
        <w:trPr>
          <w:cantSplit/>
        </w:trPr>
        <w:tc>
          <w:tcPr>
            <w:tcW w:type="dxa" w:w="3172"/>
            <w:shd w:val="clear" w:color="auto" w:fill="F9FAFB"/>
          </w:tcPr>
          <w:p>
            <w:pPr>
              <w:spacing w:after="0" w:line="252" w:lineRule="auto"/>
            </w:pPr>
            <w:r>
              <w:rPr>
                <w:sz w:val="17"/>
              </w:rPr>
              <w:t>Number/date/currency format</w:t>
            </w:r>
          </w:p>
        </w:tc>
        <w:tc>
          <w:tcPr>
            <w:tcW w:type="dxa" w:w="1277"/>
            <w:shd w:val="clear" w:color="auto" w:fill="F9FAFB"/>
          </w:tcPr>
          <w:p>
            <w:pPr>
              <w:spacing w:after="0" w:line="252" w:lineRule="auto"/>
            </w:pPr>
            <w:r>
              <w:rPr>
                <w:sz w:val="17"/>
              </w:rPr>
              <w:t>✖</w:t>
            </w:r>
          </w:p>
        </w:tc>
        <w:tc>
          <w:tcPr>
            <w:tcW w:type="dxa" w:w="10574"/>
            <w:shd w:val="clear" w:color="auto" w:fill="F9FAFB"/>
          </w:tcPr>
          <w:p>
            <w:pPr>
              <w:spacing w:after="0" w:line="252" w:lineRule="auto"/>
            </w:pPr>
            <w:r>
              <w:rPr>
                <w:sz w:val="17"/>
              </w:rPr>
              <w:t>«SAR» and ISO dates (C-08, D-10)</w:t>
            </w:r>
          </w:p>
        </w:tc>
      </w:tr>
      <w:tr>
        <w:trPr>
          <w:cantSplit/>
        </w:trPr>
        <w:tc>
          <w:tcPr>
            <w:tcW w:type="dxa" w:w="3172"/>
          </w:tcPr>
          <w:p>
            <w:pPr>
              <w:spacing w:after="0" w:line="252" w:lineRule="auto"/>
            </w:pPr>
            <w:r>
              <w:rPr>
                <w:sz w:val="17"/>
              </w:rPr>
              <w:t>Language</w:t>
            </w:r>
          </w:p>
        </w:tc>
        <w:tc>
          <w:tcPr>
            <w:tcW w:type="dxa" w:w="1277"/>
          </w:tcPr>
          <w:p>
            <w:pPr>
              <w:spacing w:after="0" w:line="252" w:lineRule="auto"/>
            </w:pPr>
            <w:r>
              <w:rPr>
                <w:sz w:val="17"/>
              </w:rPr>
              <w:t>✖</w:t>
            </w:r>
          </w:p>
        </w:tc>
        <w:tc>
          <w:tcPr>
            <w:tcW w:type="dxa" w:w="10574"/>
          </w:tcPr>
          <w:p>
            <w:pPr>
              <w:spacing w:after="0" w:line="252" w:lineRule="auto"/>
            </w:pPr>
            <w:r>
              <w:rPr>
                <w:sz w:val="17"/>
              </w:rPr>
              <w:t>English Amanah names in Arabic tables, English proposals (F-09), zh fallback</w:t>
            </w:r>
          </w:p>
        </w:tc>
      </w:tr>
    </w:tbl>
    <w:p>
      <w:pPr>
        <w:spacing w:after="40"/>
      </w:pPr>
    </w:p>
    <w:p>
      <w:pPr>
        <w:pStyle w:val="Heading2"/>
      </w:pPr>
      <w:r>
        <w:t>19. Reference-to-platform gap table</w:t>
      </w:r>
    </w:p>
    <w:p>
      <w:r>
        <w:t xml:space="preserve">Severity: </w:t>
      </w:r>
      <w:r>
        <w:rPr>
          <w:b/>
        </w:rPr>
        <w:t>P0</w:t>
      </w:r>
      <w:r>
        <w:t xml:space="preserve"> unusable or misleading for some users · </w:t>
      </w:r>
      <w:r>
        <w:rPr>
          <w:b/>
        </w:rPr>
        <w:t>P1</w:t>
      </w:r>
      <w:r>
        <w:t xml:space="preserve"> breaks an explicit requirement of the fixed foundation or AA accessibility · </w:t>
      </w:r>
      <w:r>
        <w:rPr>
          <w:b/>
        </w:rPr>
        <w:t>P2</w:t>
      </w:r>
      <w:r>
        <w:t xml:space="preserve"> consistency · </w:t>
      </w:r>
      <w:r>
        <w:rPr>
          <w:b/>
        </w:rPr>
        <w:t>P3</w:t>
      </w:r>
      <w:r>
        <w:t xml:space="preserve"> polish. "Source" = where the requirement comes from.</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159"/>
        <w:gridCol w:w="3328"/>
        <w:gridCol w:w="3328"/>
        <w:gridCol w:w="2723"/>
        <w:gridCol w:w="1159"/>
        <w:gridCol w:w="3328"/>
      </w:tblGrid>
      <w:tr>
        <w:trPr>
          <w:tblHeader w:val="true"/>
          <w:cantSplit/>
        </w:trPr>
        <w:tc>
          <w:tcPr>
            <w:tcW w:type="dxa" w:w="1159"/>
            <w:shd w:val="clear" w:color="auto" w:fill="1B8354"/>
          </w:tcPr>
          <w:p>
            <w:pPr>
              <w:spacing w:after="0" w:line="252" w:lineRule="auto"/>
            </w:pPr>
            <w:r>
              <w:rPr>
                <w:b/>
                <w:color w:val="FFFFFF"/>
                <w:sz w:val="16"/>
              </w:rPr>
              <w:t>ID</w:t>
            </w:r>
          </w:p>
        </w:tc>
        <w:tc>
          <w:tcPr>
            <w:tcW w:type="dxa" w:w="3328"/>
            <w:shd w:val="clear" w:color="auto" w:fill="1B8354"/>
          </w:tcPr>
          <w:p>
            <w:pPr>
              <w:spacing w:after="0" w:line="252" w:lineRule="auto"/>
            </w:pPr>
            <w:r>
              <w:rPr>
                <w:b/>
                <w:color w:val="FFFFFF"/>
                <w:sz w:val="16"/>
              </w:rPr>
              <w:t>Requirement (source)</w:t>
            </w:r>
          </w:p>
        </w:tc>
        <w:tc>
          <w:tcPr>
            <w:tcW w:type="dxa" w:w="3328"/>
            <w:shd w:val="clear" w:color="auto" w:fill="1B8354"/>
          </w:tcPr>
          <w:p>
            <w:pPr>
              <w:spacing w:after="0" w:line="252" w:lineRule="auto"/>
            </w:pPr>
            <w:r>
              <w:rPr>
                <w:b/>
                <w:color w:val="FFFFFF"/>
                <w:sz w:val="16"/>
              </w:rPr>
              <w:t>Platform evidence</w:t>
            </w:r>
          </w:p>
        </w:tc>
        <w:tc>
          <w:tcPr>
            <w:tcW w:type="dxa" w:w="2723"/>
            <w:shd w:val="clear" w:color="auto" w:fill="1B8354"/>
          </w:tcPr>
          <w:p>
            <w:pPr>
              <w:spacing w:after="0" w:line="252" w:lineRule="auto"/>
            </w:pPr>
            <w:r>
              <w:rPr>
                <w:b/>
                <w:color w:val="FFFFFF"/>
                <w:sz w:val="16"/>
              </w:rPr>
              <w:t>Affected pages / components</w:t>
            </w:r>
          </w:p>
        </w:tc>
        <w:tc>
          <w:tcPr>
            <w:tcW w:type="dxa" w:w="1159"/>
            <w:shd w:val="clear" w:color="auto" w:fill="1B8354"/>
          </w:tcPr>
          <w:p>
            <w:pPr>
              <w:spacing w:after="0" w:line="252" w:lineRule="auto"/>
            </w:pPr>
            <w:r>
              <w:rPr>
                <w:b/>
                <w:color w:val="FFFFFF"/>
                <w:sz w:val="16"/>
              </w:rPr>
              <w:t>Sev.</w:t>
            </w:r>
          </w:p>
        </w:tc>
        <w:tc>
          <w:tcPr>
            <w:tcW w:type="dxa" w:w="3328"/>
            <w:shd w:val="clear" w:color="auto" w:fill="1B8354"/>
          </w:tcPr>
          <w:p>
            <w:pPr>
              <w:spacing w:after="0" w:line="252" w:lineRule="auto"/>
            </w:pPr>
            <w:r>
              <w:rPr>
                <w:b/>
                <w:color w:val="FFFFFF"/>
                <w:sz w:val="16"/>
              </w:rPr>
              <w:t>Recommended correction</w:t>
            </w:r>
          </w:p>
        </w:tc>
      </w:tr>
      <w:tr>
        <w:trPr>
          <w:cantSplit/>
        </w:trPr>
        <w:tc>
          <w:tcPr>
            <w:tcW w:type="dxa" w:w="1159"/>
          </w:tcPr>
          <w:p>
            <w:pPr>
              <w:spacing w:after="0" w:line="252" w:lineRule="auto"/>
            </w:pPr>
            <w:r>
              <w:rPr>
                <w:b/>
                <w:sz w:val="16"/>
              </w:rPr>
              <w:t>G-01</w:t>
            </w:r>
          </w:p>
        </w:tc>
        <w:tc>
          <w:tcPr>
            <w:tcW w:type="dxa" w:w="3328"/>
          </w:tcPr>
          <w:p>
            <w:pPr>
              <w:spacing w:after="0" w:line="252" w:lineRule="auto"/>
            </w:pPr>
            <w:r>
              <w:rPr>
                <w:b/>
                <w:sz w:val="16"/>
              </w:rPr>
              <w:t>Logo / identity.</w:t>
            </w:r>
            <w:r>
              <w:rPr>
                <w:sz w:val="16"/>
              </w:rPr>
              <w:t xml:space="preserve"> The reference shows the NHC Innovation mark and says nothing else; </w:t>
            </w:r>
            <w:r>
              <w:rPr>
                <w:b/>
                <w:sz w:val="16"/>
              </w:rPr>
              <w:t>no MOMAH logo rules exist in the material</w:t>
            </w:r>
            <w:r>
              <w:rPr>
                <w:sz w:val="16"/>
              </w:rPr>
              <w:t xml:space="preserve"> ([Deck] p.1–14; §17.4-1)</w:t>
            </w:r>
          </w:p>
        </w:tc>
        <w:tc>
          <w:tcPr>
            <w:tcW w:type="dxa" w:w="3328"/>
          </w:tcPr>
          <w:p>
            <w:pPr>
              <w:spacing w:after="0" w:line="252" w:lineRule="auto"/>
            </w:pPr>
            <w:r>
              <w:rPr>
                <w:sz w:val="16"/>
              </w:rPr>
              <w:t>The header uses a square «IB» tile with a green→blue gradient (</w:t>
            </w:r>
            <w:r>
              <w:rPr>
                <w:rFonts w:ascii="Consolas" w:hAnsi="Consolas" w:cs="Consolas"/>
                <w:color w:val="B42318"/>
                <w:sz w:val="15"/>
              </w:rPr>
              <w:t>.side-brand__logo</w:t>
            </w:r>
            <w:r>
              <w:rPr>
                <w:sz w:val="16"/>
              </w:rPr>
              <w:t xml:space="preserve">) and the text </w:t>
            </w:r>
            <w:r>
              <w:rPr>
                <w:sz w:val="16"/>
                <w:rtl/>
                <w:rFonts w:cs="Arial"/>
                <w:szCs w:val="16"/>
              </w:rPr>
              <w:t>‫«منصة الفواتير الذكية · INTELLIBILL · AI SUITE»‬</w:t>
            </w:r>
            <w:r>
              <w:rPr>
                <w:sz w:val="16"/>
              </w:rPr>
              <w:t>; no MOMAH, NHC or DGA mark anywhere; favicon is a teal→violet gradient «IB» in a font (</w:t>
            </w:r>
            <w:r>
              <w:rPr>
                <w:rFonts w:ascii="Consolas" w:hAnsi="Consolas" w:cs="Consolas"/>
                <w:color w:val="B42318"/>
                <w:sz w:val="15"/>
              </w:rPr>
              <w:t>Basis Grotesque Arabic Pro</w:t>
            </w:r>
            <w:r>
              <w:rPr>
                <w:sz w:val="16"/>
              </w:rPr>
              <w:t>) the product does not load (</w:t>
            </w:r>
            <w:r>
              <w:rPr>
                <w:rFonts w:ascii="Consolas" w:hAnsi="Consolas" w:cs="Consolas"/>
                <w:color w:val="B42318"/>
                <w:sz w:val="15"/>
              </w:rPr>
              <w:t>public/favicon.svg</w:t>
            </w:r>
            <w:r>
              <w:rPr>
                <w:sz w:val="16"/>
              </w:rPr>
              <w:t xml:space="preserve">); the login page says «INTELLIBILL» and </w:t>
            </w:r>
            <w:r>
              <w:rPr>
                <w:sz w:val="16"/>
                <w:rtl/>
                <w:rFonts w:cs="Arial"/>
                <w:szCs w:val="16"/>
              </w:rPr>
              <w:t>‫«بنية HiAgent»‬</w:t>
            </w:r>
            <w:r>
              <w:rPr>
                <w:sz w:val="16"/>
              </w:rPr>
              <w:t>. Verified (UI/code)</w:t>
            </w:r>
          </w:p>
        </w:tc>
        <w:tc>
          <w:tcPr>
            <w:tcW w:type="dxa" w:w="2723"/>
          </w:tcPr>
          <w:p>
            <w:pPr>
              <w:spacing w:after="0" w:line="252" w:lineRule="auto"/>
            </w:pPr>
            <w:r>
              <w:rPr>
                <w:rFonts w:ascii="Consolas" w:hAnsi="Consolas" w:cs="Consolas"/>
                <w:color w:val="B42318"/>
                <w:sz w:val="15"/>
              </w:rPr>
              <w:t>Layout</w:t>
            </w:r>
            <w:r>
              <w:rPr>
                <w:sz w:val="16"/>
              </w:rPr>
              <w:t xml:space="preserve">, </w:t>
            </w:r>
            <w:r>
              <w:rPr>
                <w:rFonts w:ascii="Consolas" w:hAnsi="Consolas" w:cs="Consolas"/>
                <w:color w:val="B42318"/>
                <w:sz w:val="15"/>
              </w:rPr>
              <w:t>Login</w:t>
            </w:r>
            <w:r>
              <w:rPr>
                <w:sz w:val="16"/>
              </w:rPr>
              <w:t>, favicon, tab title (</w:t>
            </w:r>
            <w:r>
              <w:rPr>
                <w:rFonts w:ascii="Consolas" w:hAnsi="Consolas" w:cs="Consolas"/>
                <w:color w:val="B42318"/>
                <w:sz w:val="15"/>
              </w:rPr>
              <w:t>index.html:6</w:t>
            </w:r>
            <w:r>
              <w:rPr>
                <w:sz w:val="16"/>
              </w:rPr>
              <w:t>), all exports</w:t>
            </w:r>
          </w:p>
        </w:tc>
        <w:tc>
          <w:tcPr>
            <w:tcW w:type="dxa" w:w="1159"/>
          </w:tcPr>
          <w:p>
            <w:pPr>
              <w:spacing w:after="0" w:line="252" w:lineRule="auto"/>
            </w:pPr>
            <w:r>
              <w:rPr>
                <w:b/>
                <w:sz w:val="16"/>
              </w:rPr>
              <w:t>P1</w:t>
            </w:r>
          </w:p>
        </w:tc>
        <w:tc>
          <w:tcPr>
            <w:tcW w:type="dxa" w:w="3328"/>
          </w:tcPr>
          <w:p>
            <w:pPr>
              <w:spacing w:after="0" w:line="252" w:lineRule="auto"/>
            </w:pPr>
            <w:r>
              <w:rPr>
                <w:sz w:val="16"/>
              </w:rPr>
              <w:t>Obtain the official MOMAH/NHC logo files and rules (</w:t>
            </w:r>
            <w:r>
              <w:rPr>
                <w:b/>
                <w:sz w:val="16"/>
              </w:rPr>
              <w:t>missing asset</w:t>
            </w:r>
            <w:r>
              <w:rPr>
                <w:sz w:val="16"/>
              </w:rPr>
              <w:t xml:space="preserve"> — Q19); until then show a neutral text title in the product name approved by the team. Remove "HiAgent"/"INTELLIBILL" strings unless they are the approved product name.</w:t>
            </w:r>
          </w:p>
        </w:tc>
      </w:tr>
      <w:tr>
        <w:trPr>
          <w:cantSplit/>
        </w:trPr>
        <w:tc>
          <w:tcPr>
            <w:tcW w:type="dxa" w:w="1159"/>
            <w:shd w:val="clear" w:color="auto" w:fill="F9FAFB"/>
          </w:tcPr>
          <w:p>
            <w:pPr>
              <w:spacing w:after="0" w:line="252" w:lineRule="auto"/>
            </w:pPr>
            <w:r>
              <w:rPr>
                <w:b/>
                <w:sz w:val="16"/>
              </w:rPr>
              <w:t>G-02</w:t>
            </w:r>
          </w:p>
        </w:tc>
        <w:tc>
          <w:tcPr>
            <w:tcW w:type="dxa" w:w="3328"/>
            <w:shd w:val="clear" w:color="auto" w:fill="F9FAFB"/>
          </w:tcPr>
          <w:p>
            <w:pPr>
              <w:spacing w:after="0" w:line="252" w:lineRule="auto"/>
            </w:pPr>
            <w:r>
              <w:rPr>
                <w:b/>
                <w:sz w:val="16"/>
              </w:rPr>
              <w:t>Typography</w:t>
            </w:r>
            <w:r>
              <w:rPr>
                <w:sz w:val="16"/>
              </w:rPr>
              <w:t xml:space="preserve"> — IBM Plex Sans (English) + IBM Plex Sans Arabic (Arabic), 4 weights, DGA scale ([Deck] p.8, [DGA])</w:t>
            </w:r>
          </w:p>
        </w:tc>
        <w:tc>
          <w:tcPr>
            <w:tcW w:type="dxa" w:w="3328"/>
            <w:shd w:val="clear" w:color="auto" w:fill="F9FAFB"/>
          </w:tcPr>
          <w:p>
            <w:pPr>
              <w:spacing w:after="0" w:line="252" w:lineRule="auto"/>
            </w:pPr>
            <w:r>
              <w:rPr>
                <w:sz w:val="16"/>
              </w:rPr>
              <w:t xml:space="preserve">Only </w:t>
            </w:r>
            <w:r>
              <w:rPr>
                <w:b/>
                <w:sz w:val="16"/>
              </w:rPr>
              <w:t>IBM Plex Sans Arabic</w:t>
            </w:r>
            <w:r>
              <w:rPr>
                <w:sz w:val="16"/>
              </w:rPr>
              <w:t xml:space="preserve"> is loaded for all text (Latin included) and </w:t>
            </w:r>
            <w:r>
              <w:rPr>
                <w:b/>
                <w:sz w:val="16"/>
              </w:rPr>
              <w:t>IBM Plex Mono</w:t>
            </w:r>
            <w:r>
              <w:rPr>
                <w:sz w:val="16"/>
              </w:rPr>
              <w:t xml:space="preserve"> for figures; </w:t>
            </w:r>
            <w:r>
              <w:rPr>
                <w:rFonts w:ascii="Consolas" w:hAnsi="Consolas" w:cs="Consolas"/>
                <w:color w:val="B42318"/>
                <w:sz w:val="15"/>
              </w:rPr>
              <w:t>IBM Plex Sans</w:t>
            </w:r>
            <w:r>
              <w:rPr>
                <w:sz w:val="16"/>
              </w:rPr>
              <w:t xml:space="preserve"> is never requested (</w:t>
            </w:r>
            <w:r>
              <w:rPr>
                <w:rFonts w:ascii="Consolas" w:hAnsi="Consolas" w:cs="Consolas"/>
                <w:color w:val="B42318"/>
                <w:sz w:val="15"/>
              </w:rPr>
              <w:t>index.html:10</w:t>
            </w:r>
            <w:r>
              <w:rPr>
                <w:sz w:val="16"/>
              </w:rPr>
              <w:t xml:space="preserve">, </w:t>
            </w:r>
            <w:r>
              <w:rPr>
                <w:rFonts w:ascii="Consolas" w:hAnsi="Consolas" w:cs="Consolas"/>
                <w:color w:val="B42318"/>
                <w:sz w:val="15"/>
              </w:rPr>
              <w:t>variables.css</w:t>
            </w:r>
            <w:r>
              <w:rPr>
                <w:sz w:val="16"/>
              </w:rPr>
              <w:t xml:space="preserve"> </w:t>
            </w:r>
            <w:r>
              <w:rPr>
                <w:rFonts w:ascii="Consolas" w:hAnsi="Consolas" w:cs="Consolas"/>
                <w:color w:val="B42318"/>
                <w:sz w:val="15"/>
              </w:rPr>
              <w:t>--font</w:t>
            </w:r>
            <w:r>
              <w:rPr>
                <w:sz w:val="16"/>
              </w:rPr>
              <w:t xml:space="preserve">, </w:t>
            </w:r>
            <w:r>
              <w:rPr>
                <w:rFonts w:ascii="Consolas" w:hAnsi="Consolas" w:cs="Consolas"/>
                <w:color w:val="B42318"/>
                <w:sz w:val="15"/>
              </w:rPr>
              <w:t>--num</w:t>
            </w:r>
            <w:r>
              <w:rPr>
                <w:sz w:val="16"/>
              </w:rPr>
              <w:t>). Weights 800/850/900 (and 650/750) are used 70–238 times per page while only 400–700 are loaded (</w:t>
            </w:r>
            <w:r>
              <w:rPr>
                <w:rFonts w:ascii="Consolas" w:hAnsi="Consolas" w:cs="Consolas"/>
                <w:color w:val="B42318"/>
                <w:sz w:val="15"/>
              </w:rPr>
              <w:t>font-weight: 800</w:t>
            </w:r>
            <w:r>
              <w:rPr>
                <w:sz w:val="16"/>
              </w:rPr>
              <w:t xml:space="preserve"> ×54, </w:t>
            </w:r>
            <w:r>
              <w:rPr>
                <w:rFonts w:ascii="Consolas" w:hAnsi="Consolas" w:cs="Consolas"/>
                <w:color w:val="B42318"/>
                <w:sz w:val="15"/>
              </w:rPr>
              <w:t>900</w:t>
            </w:r>
            <w:r>
              <w:rPr>
                <w:sz w:val="16"/>
              </w:rPr>
              <w:t xml:space="preserve"> ×50 in the stylesheets). Verified</w:t>
            </w:r>
          </w:p>
        </w:tc>
        <w:tc>
          <w:tcPr>
            <w:tcW w:type="dxa" w:w="2723"/>
            <w:shd w:val="clear" w:color="auto" w:fill="F9FAFB"/>
          </w:tcPr>
          <w:p>
            <w:pPr>
              <w:spacing w:after="0" w:line="252" w:lineRule="auto"/>
            </w:pPr>
            <w:r>
              <w:rPr>
                <w:sz w:val="16"/>
              </w:rPr>
              <w:t xml:space="preserve">every page; </w:t>
            </w:r>
            <w:r>
              <w:rPr>
                <w:rFonts w:ascii="Consolas" w:hAnsi="Consolas" w:cs="Consolas"/>
                <w:color w:val="B42318"/>
                <w:sz w:val="15"/>
              </w:rPr>
              <w:t>rv-tile__value</w:t>
            </w:r>
            <w:r>
              <w:rPr>
                <w:sz w:val="16"/>
              </w:rPr>
              <w:t>, tables, tags</w:t>
            </w:r>
          </w:p>
        </w:tc>
        <w:tc>
          <w:tcPr>
            <w:tcW w:type="dxa" w:w="1159"/>
            <w:shd w:val="clear" w:color="auto" w:fill="F9FAFB"/>
          </w:tcPr>
          <w:p>
            <w:pPr>
              <w:spacing w:after="0" w:line="252" w:lineRule="auto"/>
            </w:pPr>
            <w:r>
              <w:rPr>
                <w:b/>
                <w:sz w:val="16"/>
              </w:rPr>
              <w:t>P1</w:t>
            </w:r>
          </w:p>
        </w:tc>
        <w:tc>
          <w:tcPr>
            <w:tcW w:type="dxa" w:w="3328"/>
            <w:shd w:val="clear" w:color="auto" w:fill="F9FAFB"/>
          </w:tcPr>
          <w:p>
            <w:pPr>
              <w:spacing w:after="0" w:line="252" w:lineRule="auto"/>
            </w:pPr>
            <w:r>
              <w:rPr>
                <w:sz w:val="16"/>
              </w:rPr>
              <w:t xml:space="preserve">Load IBM Plex Sans for Latin text and Plex Sans Arabic for Arabic via </w:t>
            </w:r>
            <w:r>
              <w:rPr>
                <w:rFonts w:ascii="Consolas" w:hAnsi="Consolas" w:cs="Consolas"/>
                <w:color w:val="B42318"/>
                <w:sz w:val="15"/>
              </w:rPr>
              <w:t>unicode-range</w:t>
            </w:r>
            <w:r>
              <w:rPr>
                <w:sz w:val="16"/>
              </w:rPr>
              <w:t xml:space="preserve">; drop Plex Mono (use </w:t>
            </w:r>
            <w:r>
              <w:rPr>
                <w:rFonts w:ascii="Consolas" w:hAnsi="Consolas" w:cs="Consolas"/>
                <w:color w:val="B42318"/>
                <w:sz w:val="15"/>
              </w:rPr>
              <w:t>font-variant-numeric: tabular-nums</w:t>
            </w:r>
            <w:r>
              <w:rPr>
                <w:sz w:val="16"/>
              </w:rPr>
              <w:t>); allow only Regular/Medium/Semibold/Bold. Confirm whether Plex Sans Arabic's Latin glyphs are acceptable (Q22). Self-host the fonts instead of the Google CDN (government deployment, offline/privacy, CSP) — Rec.</w:t>
            </w:r>
          </w:p>
        </w:tc>
      </w:tr>
      <w:tr>
        <w:trPr>
          <w:cantSplit/>
        </w:trPr>
        <w:tc>
          <w:tcPr>
            <w:tcW w:type="dxa" w:w="1159"/>
          </w:tcPr>
          <w:p>
            <w:pPr>
              <w:spacing w:after="0" w:line="252" w:lineRule="auto"/>
            </w:pPr>
            <w:r>
              <w:rPr>
                <w:b/>
                <w:sz w:val="16"/>
              </w:rPr>
              <w:t>G-03</w:t>
            </w:r>
          </w:p>
        </w:tc>
        <w:tc>
          <w:tcPr>
            <w:tcW w:type="dxa" w:w="3328"/>
          </w:tcPr>
          <w:p>
            <w:pPr>
              <w:spacing w:after="0" w:line="252" w:lineRule="auto"/>
            </w:pPr>
            <w:r>
              <w:rPr>
                <w:b/>
                <w:sz w:val="16"/>
              </w:rPr>
              <w:t>Type scale</w:t>
            </w:r>
            <w:r>
              <w:rPr>
                <w:sz w:val="16"/>
              </w:rPr>
              <w:t xml:space="preserve"> — predefined styles Display/Text with fixed sizes and ≥ 1.5 line-height for body text ([Deck] p.8, [DGA] typography, layout)</w:t>
            </w:r>
          </w:p>
        </w:tc>
        <w:tc>
          <w:tcPr>
            <w:tcW w:type="dxa" w:w="3328"/>
          </w:tcPr>
          <w:p>
            <w:pPr>
              <w:spacing w:after="0" w:line="252" w:lineRule="auto"/>
            </w:pPr>
            <w:r>
              <w:rPr>
                <w:sz w:val="16"/>
              </w:rPr>
              <w:t>41–94 % of text nodes are at sizes outside the scale (10.4, 10.5, 11, 11.5, 12.5, 13, 13.5, 15, 22 px); 10–16 distinct sizes per page; 18–41 % of text is below 12 px on dense pages (Invoices 26 %, Exclusions 37 %, Data sources 41 %). Verified</w:t>
            </w:r>
          </w:p>
        </w:tc>
        <w:tc>
          <w:tcPr>
            <w:tcW w:type="dxa" w:w="2723"/>
          </w:tcPr>
          <w:p>
            <w:pPr>
              <w:spacing w:after="0" w:line="252" w:lineRule="auto"/>
            </w:pPr>
            <w:r>
              <w:rPr>
                <w:sz w:val="16"/>
              </w:rPr>
              <w:t>all; worst: Data sources, Invoices, Exclusions</w:t>
            </w:r>
          </w:p>
        </w:tc>
        <w:tc>
          <w:tcPr>
            <w:tcW w:type="dxa" w:w="1159"/>
          </w:tcPr>
          <w:p>
            <w:pPr>
              <w:spacing w:after="0" w:line="252" w:lineRule="auto"/>
            </w:pPr>
            <w:r>
              <w:rPr>
                <w:b/>
                <w:sz w:val="16"/>
              </w:rPr>
              <w:t>P1</w:t>
            </w:r>
          </w:p>
        </w:tc>
        <w:tc>
          <w:tcPr>
            <w:tcW w:type="dxa" w:w="3328"/>
          </w:tcPr>
          <w:p>
            <w:pPr>
              <w:spacing w:after="0" w:line="252" w:lineRule="auto"/>
            </w:pPr>
            <w:r>
              <w:rPr>
                <w:sz w:val="16"/>
              </w:rPr>
              <w:t>Define the text styles as tokens (§20.2) and replace ad-hoc sizes; minimum 12 px for content, 10 px only for non-essential captions.</w:t>
            </w:r>
          </w:p>
        </w:tc>
      </w:tr>
      <w:tr>
        <w:trPr>
          <w:cantSplit/>
        </w:trPr>
        <w:tc>
          <w:tcPr>
            <w:tcW w:type="dxa" w:w="1159"/>
            <w:shd w:val="clear" w:color="auto" w:fill="F9FAFB"/>
          </w:tcPr>
          <w:p>
            <w:pPr>
              <w:spacing w:after="0" w:line="252" w:lineRule="auto"/>
            </w:pPr>
            <w:r>
              <w:rPr>
                <w:b/>
                <w:sz w:val="16"/>
              </w:rPr>
              <w:t>G-04</w:t>
            </w:r>
          </w:p>
        </w:tc>
        <w:tc>
          <w:tcPr>
            <w:tcW w:type="dxa" w:w="3328"/>
            <w:shd w:val="clear" w:color="auto" w:fill="F9FAFB"/>
          </w:tcPr>
          <w:p>
            <w:pPr>
              <w:spacing w:after="0" w:line="252" w:lineRule="auto"/>
            </w:pPr>
            <w:r>
              <w:rPr>
                <w:b/>
                <w:sz w:val="16"/>
              </w:rPr>
              <w:t>Colour system</w:t>
            </w:r>
            <w:r>
              <w:rPr>
                <w:sz w:val="16"/>
              </w:rPr>
              <w:t xml:space="preserve"> — DGA palettes are the fixed foundation; extra accents allowed for AI products ([Deck] pp.6–7, [DGA])</w:t>
            </w:r>
          </w:p>
        </w:tc>
        <w:tc>
          <w:tcPr>
            <w:tcW w:type="dxa" w:w="3328"/>
            <w:shd w:val="clear" w:color="auto" w:fill="F9FAFB"/>
          </w:tcPr>
          <w:p>
            <w:pPr>
              <w:spacing w:after="0" w:line="252" w:lineRule="auto"/>
            </w:pPr>
            <w:r>
              <w:rPr>
                <w:rFonts w:ascii="Consolas" w:hAnsi="Consolas" w:cs="Consolas"/>
                <w:color w:val="B42318"/>
                <w:sz w:val="15"/>
              </w:rPr>
              <w:t>variables.css</w:t>
            </w:r>
            <w:r>
              <w:rPr>
                <w:sz w:val="16"/>
              </w:rPr>
              <w:t xml:space="preserve"> defines 17+ colour tokens not taken from DGA: </w:t>
            </w:r>
            <w:r>
              <w:rPr>
                <w:rFonts w:ascii="Consolas" w:hAnsi="Consolas" w:cs="Consolas"/>
                <w:color w:val="B42318"/>
                <w:sz w:val="15"/>
              </w:rPr>
              <w:t>--secondary #0A6FA6</w:t>
            </w:r>
            <w:r>
              <w:rPr>
                <w:sz w:val="16"/>
              </w:rPr>
              <w:t xml:space="preserve">, </w:t>
            </w:r>
            <w:r>
              <w:rPr>
                <w:rFonts w:ascii="Consolas" w:hAnsi="Consolas" w:cs="Consolas"/>
                <w:color w:val="B42318"/>
                <w:sz w:val="15"/>
              </w:rPr>
              <w:t>--success #3E8540</w:t>
            </w:r>
            <w:r>
              <w:rPr>
                <w:sz w:val="16"/>
              </w:rPr>
              <w:t xml:space="preserve">, </w:t>
            </w:r>
            <w:r>
              <w:rPr>
                <w:rFonts w:ascii="Consolas" w:hAnsi="Consolas" w:cs="Consolas"/>
                <w:color w:val="B42318"/>
                <w:sz w:val="15"/>
              </w:rPr>
              <w:t>--danger #C4514C</w:t>
            </w:r>
            <w:r>
              <w:rPr>
                <w:sz w:val="16"/>
              </w:rPr>
              <w:t xml:space="preserve">, </w:t>
            </w:r>
            <w:r>
              <w:rPr>
                <w:rFonts w:ascii="Consolas" w:hAnsi="Consolas" w:cs="Consolas"/>
                <w:color w:val="B42318"/>
                <w:sz w:val="15"/>
              </w:rPr>
              <w:t>--warning #8c5f00</w:t>
            </w:r>
            <w:r>
              <w:rPr>
                <w:sz w:val="16"/>
              </w:rPr>
              <w:t xml:space="preserve">, </w:t>
            </w:r>
            <w:r>
              <w:rPr>
                <w:rFonts w:ascii="Consolas" w:hAnsi="Consolas" w:cs="Consolas"/>
                <w:color w:val="B42318"/>
                <w:sz w:val="15"/>
              </w:rPr>
              <w:t>--accent #0d9668</w:t>
            </w:r>
            <w:r>
              <w:rPr>
                <w:sz w:val="16"/>
              </w:rPr>
              <w:t xml:space="preserve">, </w:t>
            </w:r>
            <w:r>
              <w:rPr>
                <w:rFonts w:ascii="Consolas" w:hAnsi="Consolas" w:cs="Consolas"/>
                <w:color w:val="B42318"/>
                <w:sz w:val="15"/>
              </w:rPr>
              <w:t>--orange #9A5C00</w:t>
            </w:r>
            <w:r>
              <w:rPr>
                <w:sz w:val="16"/>
              </w:rPr>
              <w:t xml:space="preserve">, </w:t>
            </w:r>
            <w:r>
              <w:rPr>
                <w:rFonts w:ascii="Consolas" w:hAnsi="Consolas" w:cs="Consolas"/>
                <w:color w:val="B42318"/>
                <w:sz w:val="15"/>
              </w:rPr>
              <w:t>--purple #6B57A6</w:t>
            </w:r>
            <w:r>
              <w:rPr>
                <w:sz w:val="16"/>
              </w:rPr>
              <w:t xml:space="preserve">, </w:t>
            </w:r>
            <w:r>
              <w:rPr>
                <w:rFonts w:ascii="Consolas" w:hAnsi="Consolas" w:cs="Consolas"/>
                <w:color w:val="B42318"/>
                <w:sz w:val="15"/>
              </w:rPr>
              <w:t>--low #8a978f</w:t>
            </w:r>
            <w:r>
              <w:rPr>
                <w:sz w:val="16"/>
              </w:rPr>
              <w:t>, text/surface greens (</w:t>
            </w:r>
            <w:r>
              <w:rPr>
                <w:rFonts w:ascii="Consolas" w:hAnsi="Consolas" w:cs="Consolas"/>
                <w:color w:val="B42318"/>
                <w:sz w:val="15"/>
              </w:rPr>
              <w:t>#062a1e</w:t>
            </w:r>
            <w:r>
              <w:rPr>
                <w:sz w:val="16"/>
              </w:rPr>
              <w:t xml:space="preserve">, </w:t>
            </w:r>
            <w:r>
              <w:rPr>
                <w:rFonts w:ascii="Consolas" w:hAnsi="Consolas" w:cs="Consolas"/>
                <w:color w:val="B42318"/>
                <w:sz w:val="15"/>
              </w:rPr>
              <w:t>#0f2a20</w:t>
            </w:r>
            <w:r>
              <w:rPr>
                <w:sz w:val="16"/>
              </w:rPr>
              <w:t xml:space="preserve">, </w:t>
            </w:r>
            <w:r>
              <w:rPr>
                <w:rFonts w:ascii="Consolas" w:hAnsi="Consolas" w:cs="Consolas"/>
                <w:color w:val="B42318"/>
                <w:sz w:val="15"/>
              </w:rPr>
              <w:t>#436254</w:t>
            </w:r>
            <w:r>
              <w:rPr>
                <w:sz w:val="16"/>
              </w:rPr>
              <w:t xml:space="preserve">, </w:t>
            </w:r>
            <w:r>
              <w:rPr>
                <w:rFonts w:ascii="Consolas" w:hAnsi="Consolas" w:cs="Consolas"/>
                <w:color w:val="B42318"/>
                <w:sz w:val="15"/>
              </w:rPr>
              <w:t>#eef3f0</w:t>
            </w:r>
            <w:r>
              <w:rPr>
                <w:sz w:val="16"/>
              </w:rPr>
              <w:t xml:space="preserve">). Only </w:t>
            </w:r>
            <w:r>
              <w:rPr>
                <w:rFonts w:ascii="Consolas" w:hAnsi="Consolas" w:cs="Consolas"/>
                <w:color w:val="B42318"/>
                <w:sz w:val="15"/>
              </w:rPr>
              <w:t>--primary</w:t>
            </w:r>
            <w:r>
              <w:rPr>
                <w:sz w:val="16"/>
              </w:rPr>
              <w:t xml:space="preserve"> (SA 600) and, nearly, </w:t>
            </w:r>
            <w:r>
              <w:rPr>
                <w:rFonts w:ascii="Consolas" w:hAnsi="Consolas" w:cs="Consolas"/>
                <w:color w:val="B42318"/>
                <w:sz w:val="15"/>
              </w:rPr>
              <w:t>--primary-2</w:t>
            </w:r>
            <w:r>
              <w:rPr>
                <w:sz w:val="16"/>
              </w:rPr>
              <w:t xml:space="preserve"> (SA 700) match. Exact DGA hex appears on 0–18 % of text nodes and 1–43 % of backgrounds. The header comment says the palette was "extracted from financial-imagination.vercel.app". Verified</w:t>
            </w:r>
          </w:p>
        </w:tc>
        <w:tc>
          <w:tcPr>
            <w:tcW w:type="dxa" w:w="2723"/>
            <w:shd w:val="clear" w:color="auto" w:fill="F9FAFB"/>
          </w:tcPr>
          <w:p>
            <w:pPr>
              <w:spacing w:after="0" w:line="252" w:lineRule="auto"/>
            </w:pPr>
            <w:r>
              <w:rPr>
                <w:sz w:val="16"/>
              </w:rPr>
              <w:t>global tokens; every component</w:t>
            </w:r>
          </w:p>
        </w:tc>
        <w:tc>
          <w:tcPr>
            <w:tcW w:type="dxa" w:w="1159"/>
            <w:shd w:val="clear" w:color="auto" w:fill="F9FAFB"/>
          </w:tcPr>
          <w:p>
            <w:pPr>
              <w:spacing w:after="0" w:line="252" w:lineRule="auto"/>
            </w:pPr>
            <w:r>
              <w:rPr>
                <w:b/>
                <w:sz w:val="16"/>
              </w:rPr>
              <w:t>P1</w:t>
            </w:r>
          </w:p>
        </w:tc>
        <w:tc>
          <w:tcPr>
            <w:tcW w:type="dxa" w:w="3328"/>
            <w:shd w:val="clear" w:color="auto" w:fill="F9FAFB"/>
          </w:tcPr>
          <w:p>
            <w:pPr>
              <w:spacing w:after="0" w:line="252" w:lineRule="auto"/>
            </w:pPr>
            <w:r>
              <w:rPr>
                <w:sz w:val="16"/>
              </w:rPr>
              <w:t xml:space="preserve">Re-base the tokens on DGA (§20.1). The extra purple/orange/blue may remain </w:t>
            </w:r>
            <w:r>
              <w:rPr>
                <w:b/>
                <w:sz w:val="16"/>
              </w:rPr>
              <w:t>only</w:t>
            </w:r>
            <w:r>
              <w:rPr>
                <w:sz w:val="16"/>
              </w:rPr>
              <w:t xml:space="preserve"> as documented AI/categorical accents (allowed by [Deck] p.7).</w:t>
            </w:r>
          </w:p>
        </w:tc>
      </w:tr>
      <w:tr>
        <w:trPr>
          <w:cantSplit/>
        </w:trPr>
        <w:tc>
          <w:tcPr>
            <w:tcW w:type="dxa" w:w="1159"/>
          </w:tcPr>
          <w:p>
            <w:pPr>
              <w:spacing w:after="0" w:line="252" w:lineRule="auto"/>
            </w:pPr>
            <w:r>
              <w:rPr>
                <w:b/>
                <w:sz w:val="16"/>
              </w:rPr>
              <w:t>G-05</w:t>
            </w:r>
          </w:p>
        </w:tc>
        <w:tc>
          <w:tcPr>
            <w:tcW w:type="dxa" w:w="3328"/>
          </w:tcPr>
          <w:p>
            <w:pPr>
              <w:spacing w:after="0" w:line="252" w:lineRule="auto"/>
            </w:pPr>
            <w:r>
              <w:rPr>
                <w:b/>
                <w:sz w:val="16"/>
              </w:rPr>
              <w:t>Semantic colours</w:t>
            </w:r>
            <w:r>
              <w:rPr>
                <w:sz w:val="16"/>
              </w:rPr>
              <w:t xml:space="preserve"> — red = danger, yellow = caution, green = positive, blue = info; consistent pairing with indicators ([DGA] colour)</w:t>
            </w:r>
          </w:p>
        </w:tc>
        <w:tc>
          <w:tcPr>
            <w:tcW w:type="dxa" w:w="3328"/>
          </w:tcPr>
          <w:p>
            <w:pPr>
              <w:spacing w:after="0" w:line="252" w:lineRule="auto"/>
            </w:pPr>
            <w:r>
              <w:rPr>
                <w:sz w:val="16"/>
              </w:rPr>
              <w:t>Success green, brand green and "collected" green are near-identical hues; blue (</w:t>
            </w:r>
            <w:r>
              <w:rPr>
                <w:rFonts w:ascii="Consolas" w:hAnsi="Consolas" w:cs="Consolas"/>
                <w:color w:val="B42318"/>
                <w:sz w:val="15"/>
              </w:rPr>
              <w:t>#0A6FA6</w:t>
            </w:r>
            <w:r>
              <w:rPr>
                <w:sz w:val="16"/>
              </w:rPr>
              <w:t xml:space="preserve">) is used for </w:t>
            </w:r>
            <w:r>
              <w:rPr>
                <w:i/>
                <w:sz w:val="16"/>
              </w:rPr>
              <w:t>net billed</w:t>
            </w:r>
            <w:r>
              <w:rPr>
                <w:sz w:val="16"/>
              </w:rPr>
              <w:t xml:space="preserve"> (not information); red/green sit side by side in the relations and status bars with colour as the only cue; the 10-segment status bar uses 7 off-palette hues (</w:t>
            </w:r>
            <w:r>
              <w:rPr>
                <w:rFonts w:ascii="Consolas" w:hAnsi="Consolas" w:cs="Consolas"/>
                <w:color w:val="B42318"/>
                <w:sz w:val="15"/>
              </w:rPr>
              <w:t>#c9a227</w:t>
            </w:r>
            <w:r>
              <w:rPr>
                <w:sz w:val="16"/>
              </w:rPr>
              <w:t xml:space="preserve">, </w:t>
            </w:r>
            <w:r>
              <w:rPr>
                <w:rFonts w:ascii="Consolas" w:hAnsi="Consolas" w:cs="Consolas"/>
                <w:color w:val="B42318"/>
                <w:sz w:val="15"/>
              </w:rPr>
              <w:t>#8a978f</w:t>
            </w:r>
            <w:r>
              <w:rPr>
                <w:sz w:val="16"/>
              </w:rPr>
              <w:t xml:space="preserve">, </w:t>
            </w:r>
            <w:r>
              <w:rPr>
                <w:rFonts w:ascii="Consolas" w:hAnsi="Consolas" w:cs="Consolas"/>
                <w:color w:val="B42318"/>
                <w:sz w:val="15"/>
              </w:rPr>
              <w:t>#6f7d76</w:t>
            </w:r>
            <w:r>
              <w:rPr>
                <w:sz w:val="16"/>
              </w:rPr>
              <w:t xml:space="preserve">, </w:t>
            </w:r>
            <w:r>
              <w:rPr>
                <w:rFonts w:ascii="Consolas" w:hAnsi="Consolas" w:cs="Consolas"/>
                <w:color w:val="B42318"/>
                <w:sz w:val="15"/>
              </w:rPr>
              <w:t>#6B57A6</w:t>
            </w:r>
            <w:r>
              <w:rPr>
                <w:sz w:val="16"/>
              </w:rPr>
              <w:t xml:space="preserve">, </w:t>
            </w:r>
            <w:r>
              <w:rPr>
                <w:rFonts w:ascii="Consolas" w:hAnsi="Consolas" w:cs="Consolas"/>
                <w:color w:val="B42318"/>
                <w:sz w:val="15"/>
              </w:rPr>
              <w:t>#9A5C00</w:t>
            </w:r>
            <w:r>
              <w:rPr>
                <w:sz w:val="16"/>
              </w:rPr>
              <w:t xml:space="preserve">, </w:t>
            </w:r>
            <w:r>
              <w:rPr>
                <w:rFonts w:ascii="Consolas" w:hAnsi="Consolas" w:cs="Consolas"/>
                <w:color w:val="B42318"/>
                <w:sz w:val="15"/>
              </w:rPr>
              <w:t>#b07a9a</w:t>
            </w:r>
            <w:r>
              <w:rPr>
                <w:sz w:val="16"/>
              </w:rPr>
              <w:t xml:space="preserve">, </w:t>
            </w:r>
            <w:r>
              <w:rPr>
                <w:rFonts w:ascii="Consolas" w:hAnsi="Consolas" w:cs="Consolas"/>
                <w:color w:val="B42318"/>
                <w:sz w:val="15"/>
              </w:rPr>
              <w:t>#4f8d94</w:t>
            </w:r>
            <w:r>
              <w:rPr>
                <w:sz w:val="16"/>
              </w:rPr>
              <w:t xml:space="preserve">); </w:t>
            </w:r>
            <w:r>
              <w:rPr>
                <w:rFonts w:ascii="Consolas" w:hAnsi="Consolas" w:cs="Consolas"/>
                <w:color w:val="B42318"/>
                <w:sz w:val="15"/>
              </w:rPr>
              <w:t>#c9a227</w:t>
            </w:r>
            <w:r>
              <w:rPr>
                <w:sz w:val="16"/>
              </w:rPr>
              <w:t xml:space="preserve"> on white = </w:t>
            </w:r>
            <w:r>
              <w:rPr>
                <w:b/>
                <w:sz w:val="16"/>
              </w:rPr>
              <w:t>2.42:1</w:t>
            </w:r>
          </w:p>
        </w:tc>
        <w:tc>
          <w:tcPr>
            <w:tcW w:type="dxa" w:w="2723"/>
          </w:tcPr>
          <w:p>
            <w:pPr>
              <w:spacing w:after="0" w:line="252" w:lineRule="auto"/>
            </w:pPr>
            <w:r>
              <w:rPr>
                <w:sz w:val="16"/>
              </w:rPr>
              <w:t>Dashboard (relations, payment status), reports charts</w:t>
            </w:r>
          </w:p>
        </w:tc>
        <w:tc>
          <w:tcPr>
            <w:tcW w:type="dxa" w:w="1159"/>
          </w:tcPr>
          <w:p>
            <w:pPr>
              <w:spacing w:after="0" w:line="252" w:lineRule="auto"/>
            </w:pPr>
            <w:r>
              <w:rPr>
                <w:b/>
                <w:sz w:val="16"/>
              </w:rPr>
              <w:t>P2</w:t>
            </w:r>
          </w:p>
        </w:tc>
        <w:tc>
          <w:tcPr>
            <w:tcW w:type="dxa" w:w="3328"/>
          </w:tcPr>
          <w:p>
            <w:pPr>
              <w:spacing w:after="0" w:line="252" w:lineRule="auto"/>
            </w:pPr>
            <w:r>
              <w:rPr>
                <w:sz w:val="16"/>
              </w:rPr>
              <w:t>Reserve semantic hues for status; give measures neutral/brand shades; add labels/patterns; follow the chart caps (G-13).</w:t>
            </w:r>
          </w:p>
        </w:tc>
      </w:tr>
      <w:tr>
        <w:trPr>
          <w:cantSplit/>
        </w:trPr>
        <w:tc>
          <w:tcPr>
            <w:tcW w:type="dxa" w:w="1159"/>
            <w:shd w:val="clear" w:color="auto" w:fill="F9FAFB"/>
          </w:tcPr>
          <w:p>
            <w:pPr>
              <w:spacing w:after="0" w:line="252" w:lineRule="auto"/>
            </w:pPr>
            <w:r>
              <w:rPr>
                <w:b/>
                <w:sz w:val="16"/>
              </w:rPr>
              <w:t>G-06</w:t>
            </w:r>
          </w:p>
        </w:tc>
        <w:tc>
          <w:tcPr>
            <w:tcW w:type="dxa" w:w="3328"/>
            <w:shd w:val="clear" w:color="auto" w:fill="F9FAFB"/>
          </w:tcPr>
          <w:p>
            <w:pPr>
              <w:spacing w:after="0" w:line="252" w:lineRule="auto"/>
            </w:pPr>
            <w:r>
              <w:rPr>
                <w:b/>
                <w:sz w:val="16"/>
              </w:rPr>
              <w:t>Contrast</w:t>
            </w:r>
            <w:r>
              <w:rPr>
                <w:sz w:val="16"/>
              </w:rPr>
              <w:t xml:space="preserve"> — WCAG 2.1 AA, 4.5:1 text, 3:1 large; white text on ≥ 500 backgrounds ([DGA] typography/colour)</w:t>
            </w:r>
          </w:p>
        </w:tc>
        <w:tc>
          <w:tcPr>
            <w:tcW w:type="dxa" w:w="3328"/>
            <w:shd w:val="clear" w:color="auto" w:fill="F9FAFB"/>
          </w:tcPr>
          <w:p>
            <w:pPr>
              <w:spacing w:after="0" w:line="252" w:lineRule="auto"/>
            </w:pPr>
            <w:r>
              <w:rPr>
                <w:b/>
                <w:sz w:val="16"/>
              </w:rPr>
              <w:t xml:space="preserve">Sanad orders: the </w:t>
            </w:r>
            <w:r>
              <w:rPr>
                <w:b/>
                <w:sz w:val="16"/>
                <w:rtl/>
                <w:rFonts w:cs="Arial"/>
                <w:szCs w:val="16"/>
                <w:bCs/>
              </w:rPr>
              <w:t>‫«فتح»‬</w:t>
            </w:r>
            <w:r>
              <w:rPr>
                <w:b/>
                <w:sz w:val="16"/>
              </w:rPr>
              <w:t xml:space="preserve"> buttons are blue text on the green primary background = 1.15:1</w:t>
            </w:r>
            <w:r>
              <w:rPr>
                <w:sz w:val="16"/>
              </w:rPr>
              <w:t xml:space="preserve"> (label effectively invisible; </w:t>
            </w:r>
            <w:r>
              <w:rPr>
                <w:rFonts w:ascii="Consolas" w:hAnsi="Consolas" w:cs="Consolas"/>
                <w:color w:val="B42318"/>
                <w:sz w:val="15"/>
              </w:rPr>
              <w:t>.btn-primary</w:t>
            </w:r>
            <w:r>
              <w:rPr>
                <w:sz w:val="16"/>
              </w:rPr>
              <w:t xml:space="preserve"> colour overridden by a link colour; Verified UI + DOM). Danger red </w:t>
            </w:r>
            <w:r>
              <w:rPr>
                <w:rFonts w:ascii="Consolas" w:hAnsi="Consolas" w:cs="Consolas"/>
                <w:color w:val="B42318"/>
                <w:sz w:val="15"/>
              </w:rPr>
              <w:t>#C4514C</w:t>
            </w:r>
            <w:r>
              <w:rPr>
                <w:sz w:val="16"/>
              </w:rPr>
              <w:t xml:space="preserve"> on tinted rows/pills = 4.04–4.09:1 at 10.5–11 px; green on tint 4.05:1; warning on grey 4.38:1; </w:t>
            </w:r>
            <w:r>
              <w:rPr>
                <w:rFonts w:ascii="Consolas" w:hAnsi="Consolas" w:cs="Consolas"/>
                <w:color w:val="B42318"/>
                <w:sz w:val="15"/>
              </w:rPr>
              <w:t>--primary</w:t>
            </w:r>
            <w:r>
              <w:rPr>
                <w:sz w:val="16"/>
              </w:rPr>
              <w:t xml:space="preserve"> on the page background 4.23:1; </w:t>
            </w:r>
            <w:r>
              <w:rPr>
                <w:rFonts w:ascii="Consolas" w:hAnsi="Consolas" w:cs="Consolas"/>
                <w:color w:val="B42318"/>
                <w:sz w:val="15"/>
              </w:rPr>
              <w:t>--low</w:t>
            </w:r>
            <w:r>
              <w:rPr>
                <w:sz w:val="16"/>
              </w:rPr>
              <w:t xml:space="preserve"> text 3.04:1. Failures per page: Collection 83, Invoices 55, Risk 50, Exclusions 39, Data sources 30. Note: DGA's own "white on 500+" rule gives only 3.91:1 on Success 600 — pairings must be measured (§20.1)</w:t>
            </w:r>
          </w:p>
        </w:tc>
        <w:tc>
          <w:tcPr>
            <w:tcW w:type="dxa" w:w="2723"/>
            <w:shd w:val="clear" w:color="auto" w:fill="F9FAFB"/>
          </w:tcPr>
          <w:p>
            <w:pPr>
              <w:spacing w:after="0" w:line="252" w:lineRule="auto"/>
            </w:pPr>
            <w:r>
              <w:rPr>
                <w:sz w:val="16"/>
              </w:rPr>
              <w:t>Sanad orders, Collection, Invoices, Risk, Exclusions, Data sources, status tags</w:t>
            </w:r>
          </w:p>
        </w:tc>
        <w:tc>
          <w:tcPr>
            <w:tcW w:type="dxa" w:w="1159"/>
            <w:shd w:val="clear" w:color="auto" w:fill="F9FAFB"/>
          </w:tcPr>
          <w:p>
            <w:pPr>
              <w:spacing w:after="0" w:line="252" w:lineRule="auto"/>
            </w:pPr>
            <w:r>
              <w:rPr>
                <w:b/>
                <w:sz w:val="16"/>
              </w:rPr>
              <w:t>P0</w:t>
            </w:r>
            <w:r>
              <w:rPr>
                <w:sz w:val="16"/>
              </w:rPr>
              <w:t xml:space="preserve"> (Sanad) / </w:t>
            </w:r>
            <w:r>
              <w:rPr>
                <w:b/>
                <w:sz w:val="16"/>
              </w:rPr>
              <w:t>P1</w:t>
            </w:r>
          </w:p>
        </w:tc>
        <w:tc>
          <w:tcPr>
            <w:tcW w:type="dxa" w:w="3328"/>
            <w:shd w:val="clear" w:color="auto" w:fill="F9FAFB"/>
          </w:tcPr>
          <w:p>
            <w:pPr>
              <w:spacing w:after="0" w:line="252" w:lineRule="auto"/>
            </w:pPr>
            <w:r>
              <w:rPr>
                <w:sz w:val="16"/>
              </w:rPr>
              <w:t>Fix the link-in-button colour rule; replace the danger/success text tokens with DGA Error 700 / Success 700 / SA 700 for small text; enforce an automated contrast check.</w:t>
            </w:r>
          </w:p>
        </w:tc>
      </w:tr>
      <w:tr>
        <w:trPr>
          <w:cantSplit/>
        </w:trPr>
        <w:tc>
          <w:tcPr>
            <w:tcW w:type="dxa" w:w="1159"/>
          </w:tcPr>
          <w:p>
            <w:pPr>
              <w:spacing w:after="0" w:line="252" w:lineRule="auto"/>
            </w:pPr>
            <w:r>
              <w:rPr>
                <w:b/>
                <w:sz w:val="16"/>
              </w:rPr>
              <w:t>G-07</w:t>
            </w:r>
          </w:p>
        </w:tc>
        <w:tc>
          <w:tcPr>
            <w:tcW w:type="dxa" w:w="3328"/>
          </w:tcPr>
          <w:p>
            <w:pPr>
              <w:spacing w:after="0" w:line="252" w:lineRule="auto"/>
            </w:pPr>
            <w:r>
              <w:rPr>
                <w:b/>
                <w:sz w:val="16"/>
              </w:rPr>
              <w:t>Focus visibility and keyboard</w:t>
            </w:r>
            <w:r>
              <w:rPr>
                <w:sz w:val="16"/>
              </w:rPr>
              <w:t xml:space="preserve"> — visible focus state on every interactive element; logical order; accessibility tools first in tab order ([DGA] nav header states, a11y article, chatbot template)</w:t>
            </w:r>
          </w:p>
        </w:tc>
        <w:tc>
          <w:tcPr>
            <w:tcW w:type="dxa" w:w="3328"/>
          </w:tcPr>
          <w:p>
            <w:pPr>
              <w:spacing w:after="0" w:line="252" w:lineRule="auto"/>
            </w:pPr>
            <w:r>
              <w:rPr>
                <w:sz w:val="16"/>
              </w:rPr>
              <w:t xml:space="preserve">Buttons/inputs get a 3 px ring at </w:t>
            </w:r>
            <w:r>
              <w:rPr>
                <w:b/>
                <w:sz w:val="16"/>
              </w:rPr>
              <w:t>18 % opacity</w:t>
            </w:r>
            <w:r>
              <w:rPr>
                <w:sz w:val="16"/>
              </w:rPr>
              <w:t xml:space="preserve"> (</w:t>
            </w:r>
            <w:r>
              <w:rPr>
                <w:rFonts w:ascii="Consolas" w:hAnsi="Consolas" w:cs="Consolas"/>
                <w:color w:val="B42318"/>
                <w:sz w:val="15"/>
              </w:rPr>
              <w:t>rgba(27,131,84,.18)</w:t>
            </w:r>
            <w:r>
              <w:rPr>
                <w:sz w:val="16"/>
              </w:rPr>
              <w:t>, ≈ 1.3:1 against white) plus a 1 px border change (</w:t>
            </w:r>
            <w:r>
              <w:rPr>
                <w:rFonts w:ascii="Consolas" w:hAnsi="Consolas" w:cs="Consolas"/>
                <w:color w:val="B42318"/>
                <w:sz w:val="15"/>
              </w:rPr>
              <w:t>global.css:461</w:t>
            </w:r>
            <w:r>
              <w:rPr>
                <w:sz w:val="16"/>
              </w:rPr>
              <w:t xml:space="preserve">, </w:t>
            </w:r>
            <w:r>
              <w:rPr>
                <w:rFonts w:ascii="Consolas" w:hAnsi="Consolas" w:cs="Consolas"/>
                <w:color w:val="B42318"/>
                <w:sz w:val="15"/>
              </w:rPr>
              <w:t>540</w:t>
            </w:r>
            <w:r>
              <w:rPr>
                <w:sz w:val="16"/>
              </w:rPr>
              <w:t xml:space="preserve">); many component rules set </w:t>
            </w:r>
            <w:r>
              <w:rPr>
                <w:rFonts w:ascii="Consolas" w:hAnsi="Consolas" w:cs="Consolas"/>
                <w:color w:val="B42318"/>
                <w:sz w:val="15"/>
              </w:rPr>
              <w:t>outline: none</w:t>
            </w:r>
            <w:r>
              <w:rPr>
                <w:sz w:val="16"/>
              </w:rPr>
              <w:t xml:space="preserve"> with only a faint background change (</w:t>
            </w:r>
            <w:r>
              <w:rPr>
                <w:rFonts w:ascii="Consolas" w:hAnsi="Consolas" w:cs="Consolas"/>
                <w:color w:val="B42318"/>
                <w:sz w:val="15"/>
              </w:rPr>
              <w:t>.tab</w:t>
            </w:r>
            <w:r>
              <w:rPr>
                <w:sz w:val="16"/>
              </w:rPr>
              <w:t xml:space="preserve">/nav links have no </w:t>
            </w:r>
            <w:r>
              <w:rPr>
                <w:rFonts w:ascii="Consolas" w:hAnsi="Consolas" w:cs="Consolas"/>
                <w:color w:val="B42318"/>
                <w:sz w:val="15"/>
              </w:rPr>
              <w:t>:focus-visible</w:t>
            </w:r>
            <w:r>
              <w:rPr>
                <w:sz w:val="16"/>
              </w:rPr>
              <w:t xml:space="preserve"> rule; </w:t>
            </w:r>
            <w:r>
              <w:rPr>
                <w:rFonts w:ascii="Consolas" w:hAnsi="Consolas" w:cs="Consolas"/>
                <w:color w:val="B42318"/>
                <w:sz w:val="15"/>
              </w:rPr>
              <w:t>.sr-tab</w:t>
            </w:r>
            <w:r>
              <w:rPr>
                <w:sz w:val="16"/>
              </w:rPr>
              <w:t xml:space="preserve">, </w:t>
            </w:r>
            <w:r>
              <w:rPr>
                <w:rFonts w:ascii="Consolas" w:hAnsi="Consolas" w:cs="Consolas"/>
                <w:color w:val="B42318"/>
                <w:sz w:val="15"/>
              </w:rPr>
              <w:t>.st-nav a</w:t>
            </w:r>
            <w:r>
              <w:rPr>
                <w:sz w:val="16"/>
              </w:rPr>
              <w:t xml:space="preserve">, </w:t>
            </w:r>
            <w:r>
              <w:rPr>
                <w:rFonts w:ascii="Consolas" w:hAnsi="Consolas" w:cs="Consolas"/>
                <w:color w:val="B42318"/>
                <w:sz w:val="15"/>
              </w:rPr>
              <w:t>.sr-suggest__btn</w:t>
            </w:r>
            <w:r>
              <w:rPr>
                <w:sz w:val="16"/>
              </w:rPr>
              <w:t xml:space="preserve"> use </w:t>
            </w:r>
            <w:r>
              <w:rPr>
                <w:rFonts w:ascii="Consolas" w:hAnsi="Consolas" w:cs="Consolas"/>
                <w:color w:val="B42318"/>
                <w:sz w:val="15"/>
              </w:rPr>
              <w:t>outline: none</w:t>
            </w:r>
            <w:r>
              <w:rPr>
                <w:sz w:val="16"/>
              </w:rPr>
              <w:t>); no skip link; tab sequence starts with the header controls (language, org, bell) before the page content. Verified (UI keyboard Tab + code)</w:t>
            </w:r>
          </w:p>
        </w:tc>
        <w:tc>
          <w:tcPr>
            <w:tcW w:type="dxa" w:w="2723"/>
          </w:tcPr>
          <w:p>
            <w:pPr>
              <w:spacing w:after="0" w:line="252" w:lineRule="auto"/>
            </w:pPr>
            <w:r>
              <w:rPr>
                <w:sz w:val="16"/>
              </w:rPr>
              <w:t>all interactive elements</w:t>
            </w:r>
          </w:p>
        </w:tc>
        <w:tc>
          <w:tcPr>
            <w:tcW w:type="dxa" w:w="1159"/>
          </w:tcPr>
          <w:p>
            <w:pPr>
              <w:spacing w:after="0" w:line="252" w:lineRule="auto"/>
            </w:pPr>
            <w:r>
              <w:rPr>
                <w:b/>
                <w:sz w:val="16"/>
              </w:rPr>
              <w:t>P1</w:t>
            </w:r>
          </w:p>
        </w:tc>
        <w:tc>
          <w:tcPr>
            <w:tcW w:type="dxa" w:w="3328"/>
          </w:tcPr>
          <w:p>
            <w:pPr>
              <w:spacing w:after="0" w:line="252" w:lineRule="auto"/>
            </w:pPr>
            <w:r>
              <w:rPr>
                <w:sz w:val="16"/>
              </w:rPr>
              <w:t>One 2 px solid focus ring in SA 700 with 2 px offset for all controls; add a skip-to-content link; test the full tab order.</w:t>
            </w:r>
          </w:p>
        </w:tc>
      </w:tr>
      <w:tr>
        <w:trPr>
          <w:cantSplit/>
        </w:trPr>
        <w:tc>
          <w:tcPr>
            <w:tcW w:type="dxa" w:w="1159"/>
            <w:shd w:val="clear" w:color="auto" w:fill="F9FAFB"/>
          </w:tcPr>
          <w:p>
            <w:pPr>
              <w:spacing w:after="0" w:line="252" w:lineRule="auto"/>
            </w:pPr>
            <w:r>
              <w:rPr>
                <w:b/>
                <w:sz w:val="16"/>
              </w:rPr>
              <w:t>G-08</w:t>
            </w:r>
          </w:p>
        </w:tc>
        <w:tc>
          <w:tcPr>
            <w:tcW w:type="dxa" w:w="3328"/>
            <w:shd w:val="clear" w:color="auto" w:fill="F9FAFB"/>
          </w:tcPr>
          <w:p>
            <w:pPr>
              <w:spacing w:after="0" w:line="252" w:lineRule="auto"/>
            </w:pPr>
            <w:r>
              <w:rPr>
                <w:b/>
                <w:sz w:val="16"/>
              </w:rPr>
              <w:t>Target size</w:t>
            </w:r>
            <w:r>
              <w:rPr>
                <w:sz w:val="16"/>
              </w:rPr>
              <w:t xml:space="preserve"> — min 44×44 px recommended; 24×24 is the WCAG 2.2 AA floor ([DGA] layout; WCAG 2.2)</w:t>
            </w:r>
          </w:p>
        </w:tc>
        <w:tc>
          <w:tcPr>
            <w:tcW w:type="dxa" w:w="3328"/>
            <w:shd w:val="clear" w:color="auto" w:fill="F9FAFB"/>
          </w:tcPr>
          <w:p>
            <w:pPr>
              <w:spacing w:after="0" w:line="252" w:lineRule="auto"/>
            </w:pPr>
            <w:r>
              <w:rPr>
                <w:sz w:val="16"/>
              </w:rPr>
              <w:t xml:space="preserve">69 of 82 interactive elements on the Dashboard and </w:t>
            </w:r>
            <w:r>
              <w:rPr>
                <w:b/>
                <w:sz w:val="16"/>
              </w:rPr>
              <w:t>70–95 % on operational pages</w:t>
            </w:r>
            <w:r>
              <w:rPr>
                <w:sz w:val="16"/>
              </w:rPr>
              <w:t xml:space="preserve"> are below 44 px in a dimension; </w:t>
            </w:r>
            <w:r>
              <w:rPr>
                <w:b/>
                <w:sz w:val="16"/>
              </w:rPr>
              <w:t>102 of 142 on Collection</w:t>
            </w:r>
            <w:r>
              <w:rPr>
                <w:sz w:val="16"/>
              </w:rPr>
              <w:t xml:space="preserve"> and 73 of 187 on Exclusions are below 24 px. Verified</w:t>
            </w:r>
          </w:p>
        </w:tc>
        <w:tc>
          <w:tcPr>
            <w:tcW w:type="dxa" w:w="2723"/>
            <w:shd w:val="clear" w:color="auto" w:fill="F9FAFB"/>
          </w:tcPr>
          <w:p>
            <w:pPr>
              <w:spacing w:after="0" w:line="252" w:lineRule="auto"/>
            </w:pPr>
            <w:r>
              <w:rPr>
                <w:sz w:val="16"/>
              </w:rPr>
              <w:t>tables with row buttons, pills, icon buttons, chips</w:t>
            </w:r>
          </w:p>
        </w:tc>
        <w:tc>
          <w:tcPr>
            <w:tcW w:type="dxa" w:w="1159"/>
            <w:shd w:val="clear" w:color="auto" w:fill="F9FAFB"/>
          </w:tcPr>
          <w:p>
            <w:pPr>
              <w:spacing w:after="0" w:line="252" w:lineRule="auto"/>
            </w:pPr>
            <w:r>
              <w:rPr>
                <w:b/>
                <w:sz w:val="16"/>
              </w:rPr>
              <w:t>P1</w:t>
            </w:r>
          </w:p>
        </w:tc>
        <w:tc>
          <w:tcPr>
            <w:tcW w:type="dxa" w:w="3328"/>
            <w:shd w:val="clear" w:color="auto" w:fill="F9FAFB"/>
          </w:tcPr>
          <w:p>
            <w:pPr>
              <w:spacing w:after="0" w:line="252" w:lineRule="auto"/>
            </w:pPr>
            <w:r>
              <w:rPr>
                <w:sz w:val="16"/>
              </w:rPr>
              <w:t>Raise hit areas (padding) without changing the visual size; target 44 px on touch widths.</w:t>
            </w:r>
          </w:p>
        </w:tc>
      </w:tr>
      <w:tr>
        <w:trPr>
          <w:cantSplit/>
        </w:trPr>
        <w:tc>
          <w:tcPr>
            <w:tcW w:type="dxa" w:w="1159"/>
          </w:tcPr>
          <w:p>
            <w:pPr>
              <w:spacing w:after="0" w:line="252" w:lineRule="auto"/>
            </w:pPr>
            <w:r>
              <w:rPr>
                <w:b/>
                <w:sz w:val="16"/>
              </w:rPr>
              <w:t>G-09</w:t>
            </w:r>
          </w:p>
        </w:tc>
        <w:tc>
          <w:tcPr>
            <w:tcW w:type="dxa" w:w="3328"/>
          </w:tcPr>
          <w:p>
            <w:pPr>
              <w:spacing w:after="0" w:line="252" w:lineRule="auto"/>
            </w:pPr>
            <w:r>
              <w:rPr>
                <w:b/>
                <w:sz w:val="16"/>
              </w:rPr>
              <w:t>Spacing</w:t>
            </w:r>
            <w:r>
              <w:rPr>
                <w:sz w:val="16"/>
              </w:rPr>
              <w:t xml:space="preserve"> — 4 px unit, DGA spacing tokens; container padding 16 / 32; max width 1,280 ([Deck] p.9, [DGA])</w:t>
            </w:r>
          </w:p>
        </w:tc>
        <w:tc>
          <w:tcPr>
            <w:tcW w:type="dxa" w:w="3328"/>
          </w:tcPr>
          <w:p>
            <w:pPr>
              <w:spacing w:after="0" w:line="252" w:lineRule="auto"/>
            </w:pPr>
            <w:r>
              <w:rPr>
                <w:sz w:val="16"/>
              </w:rPr>
              <w:t xml:space="preserve">Only 41–51 % of paddings/margins/gaps are multiples of 4; 21 distinct values on the Dashboard; </w:t>
            </w:r>
            <w:r>
              <w:rPr>
                <w:rFonts w:ascii="Consolas" w:hAnsi="Consolas" w:cs="Consolas"/>
                <w:color w:val="B42318"/>
                <w:sz w:val="15"/>
              </w:rPr>
              <w:t>.content</w:t>
            </w:r>
            <w:r>
              <w:rPr>
                <w:sz w:val="16"/>
              </w:rPr>
              <w:t xml:space="preserve"> padding is </w:t>
            </w:r>
            <w:r>
              <w:rPr>
                <w:b/>
                <w:sz w:val="16"/>
              </w:rPr>
              <w:t>24 px</w:t>
            </w:r>
            <w:r>
              <w:rPr>
                <w:sz w:val="16"/>
              </w:rPr>
              <w:t xml:space="preserve"> and </w:t>
            </w:r>
            <w:r>
              <w:rPr>
                <w:rFonts w:ascii="Consolas" w:hAnsi="Consolas" w:cs="Consolas"/>
                <w:color w:val="B42318"/>
                <w:sz w:val="15"/>
              </w:rPr>
              <w:t>max-width</w:t>
            </w:r>
            <w:r>
              <w:rPr>
                <w:sz w:val="16"/>
              </w:rPr>
              <w:t xml:space="preserve"> </w:t>
            </w:r>
            <w:r>
              <w:rPr>
                <w:b/>
                <w:sz w:val="16"/>
              </w:rPr>
              <w:t>1,320 px</w:t>
            </w:r>
            <w:r>
              <w:rPr>
                <w:sz w:val="16"/>
              </w:rPr>
              <w:t xml:space="preserve"> (reference 32/16 and 1,280); paragraph width unrestricted (reference 720). Verified</w:t>
            </w:r>
          </w:p>
        </w:tc>
        <w:tc>
          <w:tcPr>
            <w:tcW w:type="dxa" w:w="2723"/>
          </w:tcPr>
          <w:p>
            <w:pPr>
              <w:spacing w:after="0" w:line="252" w:lineRule="auto"/>
            </w:pPr>
            <w:r>
              <w:rPr>
                <w:sz w:val="16"/>
              </w:rPr>
              <w:t>global CSS, every card</w:t>
            </w:r>
          </w:p>
        </w:tc>
        <w:tc>
          <w:tcPr>
            <w:tcW w:type="dxa" w:w="1159"/>
          </w:tcPr>
          <w:p>
            <w:pPr>
              <w:spacing w:after="0" w:line="252" w:lineRule="auto"/>
            </w:pPr>
            <w:r>
              <w:rPr>
                <w:b/>
                <w:sz w:val="16"/>
              </w:rPr>
              <w:t>P2</w:t>
            </w:r>
          </w:p>
        </w:tc>
        <w:tc>
          <w:tcPr>
            <w:tcW w:type="dxa" w:w="3328"/>
          </w:tcPr>
          <w:p>
            <w:pPr>
              <w:spacing w:after="0" w:line="252" w:lineRule="auto"/>
            </w:pPr>
            <w:r>
              <w:rPr>
                <w:sz w:val="16"/>
              </w:rPr>
              <w:t>Replace literals with spacing tokens; set container tokens (§20.3).</w:t>
            </w:r>
          </w:p>
        </w:tc>
      </w:tr>
      <w:tr>
        <w:trPr>
          <w:cantSplit/>
        </w:trPr>
        <w:tc>
          <w:tcPr>
            <w:tcW w:type="dxa" w:w="1159"/>
            <w:shd w:val="clear" w:color="auto" w:fill="F9FAFB"/>
          </w:tcPr>
          <w:p>
            <w:pPr>
              <w:spacing w:after="0" w:line="252" w:lineRule="auto"/>
            </w:pPr>
            <w:r>
              <w:rPr>
                <w:b/>
                <w:sz w:val="16"/>
              </w:rPr>
              <w:t>G-10</w:t>
            </w:r>
          </w:p>
        </w:tc>
        <w:tc>
          <w:tcPr>
            <w:tcW w:type="dxa" w:w="3328"/>
            <w:shd w:val="clear" w:color="auto" w:fill="F9FAFB"/>
          </w:tcPr>
          <w:p>
            <w:pPr>
              <w:spacing w:after="0" w:line="252" w:lineRule="auto"/>
            </w:pPr>
            <w:r>
              <w:rPr>
                <w:b/>
                <w:sz w:val="16"/>
              </w:rPr>
              <w:t>Breakpoints and responsive frames</w:t>
            </w:r>
            <w:r>
              <w:rPr>
                <w:sz w:val="16"/>
              </w:rPr>
              <w:t xml:space="preserve"> — desktop 1,280 / tablet 768 / phone 375 ([Deck]); DGA 599 / 959 / 1,279</w:t>
            </w:r>
          </w:p>
        </w:tc>
        <w:tc>
          <w:tcPr>
            <w:tcW w:type="dxa" w:w="3328"/>
            <w:shd w:val="clear" w:color="auto" w:fill="F9FAFB"/>
          </w:tcPr>
          <w:p>
            <w:pPr>
              <w:spacing w:after="0" w:line="252" w:lineRule="auto"/>
            </w:pPr>
            <w:r>
              <w:rPr>
                <w:sz w:val="16"/>
              </w:rPr>
              <w:t>12 distinct media-query widths (520, 560, 640, 700, 760, 820, 900, 980, 1000, 1100, 1150, 1300); header + tab strip use 328 px of 844 at 390 px (39 %); the three view tabs wrap; icon-only nav below 820 px; no horizontal overflow (good). Verified</w:t>
            </w:r>
          </w:p>
        </w:tc>
        <w:tc>
          <w:tcPr>
            <w:tcW w:type="dxa" w:w="2723"/>
            <w:shd w:val="clear" w:color="auto" w:fill="F9FAFB"/>
          </w:tcPr>
          <w:p>
            <w:pPr>
              <w:spacing w:after="0" w:line="252" w:lineRule="auto"/>
            </w:pPr>
            <w:r>
              <w:rPr>
                <w:rFonts w:ascii="Consolas" w:hAnsi="Consolas" w:cs="Consolas"/>
                <w:color w:val="B42318"/>
                <w:sz w:val="15"/>
              </w:rPr>
              <w:t>Layout</w:t>
            </w:r>
            <w:r>
              <w:rPr>
                <w:sz w:val="16"/>
              </w:rPr>
              <w:t>, tab strips</w:t>
            </w:r>
          </w:p>
        </w:tc>
        <w:tc>
          <w:tcPr>
            <w:tcW w:type="dxa" w:w="1159"/>
            <w:shd w:val="clear" w:color="auto" w:fill="F9FAFB"/>
          </w:tcPr>
          <w:p>
            <w:pPr>
              <w:spacing w:after="0" w:line="252" w:lineRule="auto"/>
            </w:pPr>
            <w:r>
              <w:rPr>
                <w:b/>
                <w:sz w:val="16"/>
              </w:rPr>
              <w:t>P2</w:t>
            </w:r>
          </w:p>
        </w:tc>
        <w:tc>
          <w:tcPr>
            <w:tcW w:type="dxa" w:w="3328"/>
            <w:shd w:val="clear" w:color="auto" w:fill="F9FAFB"/>
          </w:tcPr>
          <w:p>
            <w:pPr>
              <w:spacing w:after="0" w:line="252" w:lineRule="auto"/>
            </w:pPr>
            <w:r>
              <w:rPr>
                <w:sz w:val="16"/>
              </w:rPr>
              <w:t>Adopt the three DGA tiers; collapse the header to a compact bar + drawer on tablet/phone.</w:t>
            </w:r>
          </w:p>
        </w:tc>
      </w:tr>
      <w:tr>
        <w:trPr>
          <w:cantSplit/>
        </w:trPr>
        <w:tc>
          <w:tcPr>
            <w:tcW w:type="dxa" w:w="1159"/>
          </w:tcPr>
          <w:p>
            <w:pPr>
              <w:spacing w:after="0" w:line="252" w:lineRule="auto"/>
            </w:pPr>
            <w:r>
              <w:rPr>
                <w:b/>
                <w:sz w:val="16"/>
              </w:rPr>
              <w:t>G-11</w:t>
            </w:r>
          </w:p>
        </w:tc>
        <w:tc>
          <w:tcPr>
            <w:tcW w:type="dxa" w:w="3328"/>
          </w:tcPr>
          <w:p>
            <w:pPr>
              <w:spacing w:after="0" w:line="252" w:lineRule="auto"/>
            </w:pPr>
            <w:r>
              <w:rPr>
                <w:b/>
                <w:sz w:val="16"/>
              </w:rPr>
              <w:t>Iconography</w:t>
            </w:r>
            <w:r>
              <w:rPr>
                <w:sz w:val="16"/>
              </w:rPr>
              <w:t xml:space="preserve"> — Hugeicons ([Deck]) or the DGA icon set; sizes 10–32 ([DGA])</w:t>
            </w:r>
          </w:p>
        </w:tc>
        <w:tc>
          <w:tcPr>
            <w:tcW w:type="dxa" w:w="3328"/>
          </w:tcPr>
          <w:p>
            <w:pPr>
              <w:spacing w:after="0" w:line="252" w:lineRule="auto"/>
            </w:pPr>
            <w:r>
              <w:rPr>
                <w:sz w:val="16"/>
              </w:rPr>
              <w:t xml:space="preserve">12 custom inline SVGs in </w:t>
            </w:r>
            <w:r>
              <w:rPr>
                <w:rFonts w:ascii="Consolas" w:hAnsi="Consolas" w:cs="Consolas"/>
                <w:color w:val="B42318"/>
                <w:sz w:val="15"/>
              </w:rPr>
              <w:t>Layout.jsx</w:t>
            </w:r>
            <w:r>
              <w:rPr>
                <w:sz w:val="16"/>
              </w:rPr>
              <w:t xml:space="preserve"> (one glyph reused for different meanings: the «invoices» icon for </w:t>
            </w:r>
            <w:r>
              <w:rPr>
                <w:i/>
                <w:sz w:val="16"/>
              </w:rPr>
              <w:t>contracts</w:t>
            </w:r>
            <w:r>
              <w:rPr>
                <w:sz w:val="16"/>
              </w:rPr>
              <w:t xml:space="preserve">, «dashboard» for </w:t>
            </w:r>
            <w:r>
              <w:rPr>
                <w:i/>
                <w:sz w:val="16"/>
              </w:rPr>
              <w:t>dashboard</w:t>
            </w:r>
            <w:r>
              <w:rPr>
                <w:sz w:val="16"/>
              </w:rPr>
              <w:t xml:space="preserve"> and </w:t>
            </w:r>
            <w:r>
              <w:rPr>
                <w:i/>
                <w:sz w:val="16"/>
              </w:rPr>
              <w:t>metric dictionary</w:t>
            </w:r>
            <w:r>
              <w:rPr>
                <w:sz w:val="16"/>
              </w:rPr>
              <w:t xml:space="preserve">, «what-if» for </w:t>
            </w:r>
            <w:r>
              <w:rPr>
                <w:i/>
                <w:sz w:val="16"/>
              </w:rPr>
              <w:t>exclusions</w:t>
            </w:r>
            <w:r>
              <w:rPr>
                <w:sz w:val="16"/>
              </w:rPr>
              <w:t xml:space="preserve">); 79 source lines use text glyphs or emoji as icons (↰ ➤ ▲▼ ▸▾ ✓✗ ＋ ↻ 🔑 👋 ⚠); the assistant avatar is the letter </w:t>
            </w:r>
            <w:r>
              <w:rPr>
                <w:sz w:val="16"/>
                <w:rtl/>
                <w:rFonts w:cs="Arial"/>
                <w:szCs w:val="16"/>
              </w:rPr>
              <w:t>‫«ذ»‬</w:t>
            </w:r>
            <w:r>
              <w:rPr>
                <w:sz w:val="16"/>
              </w:rPr>
              <w:t>. Verified (code)</w:t>
            </w:r>
          </w:p>
        </w:tc>
        <w:tc>
          <w:tcPr>
            <w:tcW w:type="dxa" w:w="2723"/>
          </w:tcPr>
          <w:p>
            <w:pPr>
              <w:spacing w:after="0" w:line="252" w:lineRule="auto"/>
            </w:pPr>
            <w:r>
              <w:rPr>
                <w:sz w:val="16"/>
              </w:rPr>
              <w:t>nav, buttons, deltas, login, assistant</w:t>
            </w:r>
          </w:p>
        </w:tc>
        <w:tc>
          <w:tcPr>
            <w:tcW w:type="dxa" w:w="1159"/>
          </w:tcPr>
          <w:p>
            <w:pPr>
              <w:spacing w:after="0" w:line="252" w:lineRule="auto"/>
            </w:pPr>
            <w:r>
              <w:rPr>
                <w:b/>
                <w:sz w:val="16"/>
              </w:rPr>
              <w:t>P2</w:t>
            </w:r>
          </w:p>
        </w:tc>
        <w:tc>
          <w:tcPr>
            <w:tcW w:type="dxa" w:w="3328"/>
          </w:tcPr>
          <w:p>
            <w:pPr>
              <w:spacing w:after="0" w:line="252" w:lineRule="auto"/>
            </w:pPr>
            <w:r>
              <w:rPr>
                <w:sz w:val="16"/>
              </w:rPr>
              <w:t>Choose the icon set (Q23), map every icon, remove emoji/glyph icons; give every nav item a distinct icon.</w:t>
            </w:r>
          </w:p>
        </w:tc>
      </w:tr>
      <w:tr>
        <w:trPr>
          <w:cantSplit/>
        </w:trPr>
        <w:tc>
          <w:tcPr>
            <w:tcW w:type="dxa" w:w="1159"/>
            <w:shd w:val="clear" w:color="auto" w:fill="F9FAFB"/>
          </w:tcPr>
          <w:p>
            <w:pPr>
              <w:spacing w:after="0" w:line="252" w:lineRule="auto"/>
            </w:pPr>
            <w:r>
              <w:rPr>
                <w:b/>
                <w:sz w:val="16"/>
              </w:rPr>
              <w:t>G-12</w:t>
            </w:r>
          </w:p>
        </w:tc>
        <w:tc>
          <w:tcPr>
            <w:tcW w:type="dxa" w:w="3328"/>
            <w:shd w:val="clear" w:color="auto" w:fill="F9FAFB"/>
          </w:tcPr>
          <w:p>
            <w:pPr>
              <w:spacing w:after="0" w:line="252" w:lineRule="auto"/>
            </w:pPr>
            <w:r>
              <w:rPr>
                <w:b/>
                <w:sz w:val="16"/>
              </w:rPr>
              <w:t>Date picker</w:t>
            </w:r>
            <w:r>
              <w:rPr>
                <w:sz w:val="16"/>
              </w:rPr>
              <w:t xml:space="preserve"> — DGA date picker (calendar pop-up, keyboard entry, a11y roles, announcements) ([DGA], [Deck] p.11 "Datepicker")</w:t>
            </w:r>
          </w:p>
        </w:tc>
        <w:tc>
          <w:tcPr>
            <w:tcW w:type="dxa" w:w="3328"/>
            <w:shd w:val="clear" w:color="auto" w:fill="F9FAFB"/>
          </w:tcPr>
          <w:p>
            <w:pPr>
              <w:spacing w:after="0" w:line="252" w:lineRule="auto"/>
            </w:pPr>
            <w:r>
              <w:rPr>
                <w:sz w:val="16"/>
              </w:rPr>
              <w:t xml:space="preserve">Native </w:t>
            </w:r>
            <w:r>
              <w:rPr>
                <w:rFonts w:ascii="Consolas" w:hAnsi="Consolas" w:cs="Consolas"/>
                <w:color w:val="B42318"/>
                <w:sz w:val="15"/>
              </w:rPr>
              <w:t>&lt;input type="date"&gt;</w:t>
            </w:r>
            <w:r>
              <w:rPr>
                <w:sz w:val="16"/>
              </w:rPr>
              <w:t xml:space="preserve"> pairs with no calendar context, no format hint, no validation (D-01, D-02, D-15); the Smart panel has its own variant</w:t>
            </w:r>
          </w:p>
        </w:tc>
        <w:tc>
          <w:tcPr>
            <w:tcW w:type="dxa" w:w="2723"/>
            <w:shd w:val="clear" w:color="auto" w:fill="F9FAFB"/>
          </w:tcPr>
          <w:p>
            <w:pPr>
              <w:spacing w:after="0" w:line="252" w:lineRule="auto"/>
            </w:pPr>
            <w:r>
              <w:rPr>
                <w:rFonts w:ascii="Consolas" w:hAnsi="Consolas" w:cs="Consolas"/>
                <w:color w:val="B42318"/>
                <w:sz w:val="15"/>
              </w:rPr>
              <w:t>ScopeBar</w:t>
            </w:r>
            <w:r>
              <w:rPr>
                <w:sz w:val="16"/>
              </w:rPr>
              <w:t xml:space="preserve">, Smart </w:t>
            </w:r>
            <w:r>
              <w:rPr>
                <w:rFonts w:ascii="Consolas" w:hAnsi="Consolas" w:cs="Consolas"/>
                <w:color w:val="B42318"/>
                <w:sz w:val="15"/>
              </w:rPr>
              <w:t>FilterPanel</w:t>
            </w:r>
          </w:p>
        </w:tc>
        <w:tc>
          <w:tcPr>
            <w:tcW w:type="dxa" w:w="1159"/>
            <w:shd w:val="clear" w:color="auto" w:fill="F9FAFB"/>
          </w:tcPr>
          <w:p>
            <w:pPr>
              <w:spacing w:after="0" w:line="252" w:lineRule="auto"/>
            </w:pPr>
            <w:r>
              <w:rPr>
                <w:b/>
                <w:sz w:val="16"/>
              </w:rPr>
              <w:t>P1</w:t>
            </w:r>
          </w:p>
        </w:tc>
        <w:tc>
          <w:tcPr>
            <w:tcW w:type="dxa" w:w="3328"/>
            <w:shd w:val="clear" w:color="auto" w:fill="F9FAFB"/>
          </w:tcPr>
          <w:p>
            <w:pPr>
              <w:spacing w:after="0" w:line="252" w:lineRule="auto"/>
            </w:pPr>
            <w:r>
              <w:rPr>
                <w:sz w:val="16"/>
              </w:rPr>
              <w:t>Build the shared period control of §12.2 on the DGA date picker.</w:t>
            </w:r>
          </w:p>
        </w:tc>
      </w:tr>
      <w:tr>
        <w:trPr>
          <w:cantSplit/>
        </w:trPr>
        <w:tc>
          <w:tcPr>
            <w:tcW w:type="dxa" w:w="1159"/>
          </w:tcPr>
          <w:p>
            <w:pPr>
              <w:spacing w:after="0" w:line="252" w:lineRule="auto"/>
            </w:pPr>
            <w:r>
              <w:rPr>
                <w:b/>
                <w:sz w:val="16"/>
              </w:rPr>
              <w:t>G-13</w:t>
            </w:r>
          </w:p>
        </w:tc>
        <w:tc>
          <w:tcPr>
            <w:tcW w:type="dxa" w:w="3328"/>
          </w:tcPr>
          <w:p>
            <w:pPr>
              <w:spacing w:after="0" w:line="252" w:lineRule="auto"/>
            </w:pPr>
            <w:r>
              <w:rPr>
                <w:b/>
                <w:sz w:val="16"/>
              </w:rPr>
              <w:t>Charts</w:t>
            </w:r>
            <w:r>
              <w:rPr>
                <w:sz w:val="16"/>
              </w:rPr>
              <w:t xml:space="preserve"> — pie ≤ 6 categories, line/bar ≤ 3 series, distinct colours ([DGA] charts); NN/g/Power BI guidance for bars over gauges</w:t>
            </w:r>
          </w:p>
        </w:tc>
        <w:tc>
          <w:tcPr>
            <w:tcW w:type="dxa" w:w="3328"/>
          </w:tcPr>
          <w:p>
            <w:pPr>
              <w:spacing w:after="0" w:line="252" w:lineRule="auto"/>
            </w:pPr>
            <w:r>
              <w:rPr>
                <w:sz w:val="16"/>
              </w:rPr>
              <w:t>Stacked 10-segment status bar; Amanah bar charts with 19 categories × 2 series; trend with 3 series (compliant); chart colours are hard-coded RGBA values (</w:t>
            </w:r>
            <w:r>
              <w:rPr>
                <w:rFonts w:ascii="Consolas" w:hAnsi="Consolas" w:cs="Consolas"/>
                <w:color w:val="B42318"/>
                <w:sz w:val="15"/>
              </w:rPr>
              <w:t>rgba(45,95,139,.8)</w:t>
            </w:r>
            <w:r>
              <w:rPr>
                <w:sz w:val="16"/>
              </w:rPr>
              <w:t xml:space="preserve">, </w:t>
            </w:r>
            <w:r>
              <w:rPr>
                <w:rFonts w:ascii="Consolas" w:hAnsi="Consolas" w:cs="Consolas"/>
                <w:color w:val="B42318"/>
                <w:sz w:val="15"/>
              </w:rPr>
              <w:t>rgba(255,193,7,.85)</w:t>
            </w:r>
            <w:r>
              <w:rPr>
                <w:sz w:val="16"/>
              </w:rPr>
              <w:t xml:space="preserve">, </w:t>
            </w:r>
            <w:r>
              <w:rPr>
                <w:rFonts w:ascii="Consolas" w:hAnsi="Consolas" w:cs="Consolas"/>
                <w:color w:val="B42318"/>
                <w:sz w:val="15"/>
              </w:rPr>
              <w:t>rgba(175,8,24,.7)</w:t>
            </w:r>
            <w:r>
              <w:rPr>
                <w:sz w:val="16"/>
              </w:rPr>
              <w:t>, …) rather than tokens. Verified (code)</w:t>
            </w:r>
          </w:p>
        </w:tc>
        <w:tc>
          <w:tcPr>
            <w:tcW w:type="dxa" w:w="2723"/>
          </w:tcPr>
          <w:p>
            <w:pPr>
              <w:spacing w:after="0" w:line="252" w:lineRule="auto"/>
            </w:pPr>
            <w:r>
              <w:rPr>
                <w:sz w:val="16"/>
              </w:rPr>
              <w:t>Dashboard, reports, Planning</w:t>
            </w:r>
          </w:p>
        </w:tc>
        <w:tc>
          <w:tcPr>
            <w:tcW w:type="dxa" w:w="1159"/>
          </w:tcPr>
          <w:p>
            <w:pPr>
              <w:spacing w:after="0" w:line="252" w:lineRule="auto"/>
            </w:pPr>
            <w:r>
              <w:rPr>
                <w:b/>
                <w:sz w:val="16"/>
              </w:rPr>
              <w:t>P2</w:t>
            </w:r>
          </w:p>
        </w:tc>
        <w:tc>
          <w:tcPr>
            <w:tcW w:type="dxa" w:w="3328"/>
          </w:tcPr>
          <w:p>
            <w:pPr>
              <w:spacing w:after="0" w:line="252" w:lineRule="auto"/>
            </w:pPr>
            <w:r>
              <w:rPr>
                <w:sz w:val="16"/>
              </w:rPr>
              <w:t>Cap series per [DGA]; switch long lists to ranked tables/top-N; draw colours from a token palette (§20.4).</w:t>
            </w:r>
          </w:p>
        </w:tc>
      </w:tr>
      <w:tr>
        <w:trPr>
          <w:cantSplit/>
        </w:trPr>
        <w:tc>
          <w:tcPr>
            <w:tcW w:type="dxa" w:w="1159"/>
            <w:shd w:val="clear" w:color="auto" w:fill="F9FAFB"/>
          </w:tcPr>
          <w:p>
            <w:pPr>
              <w:spacing w:after="0" w:line="252" w:lineRule="auto"/>
            </w:pPr>
            <w:r>
              <w:rPr>
                <w:b/>
                <w:sz w:val="16"/>
              </w:rPr>
              <w:t>G-14</w:t>
            </w:r>
          </w:p>
        </w:tc>
        <w:tc>
          <w:tcPr>
            <w:tcW w:type="dxa" w:w="3328"/>
            <w:shd w:val="clear" w:color="auto" w:fill="F9FAFB"/>
          </w:tcPr>
          <w:p>
            <w:pPr>
              <w:spacing w:after="0" w:line="252" w:lineRule="auto"/>
            </w:pPr>
            <w:r>
              <w:rPr>
                <w:b/>
                <w:sz w:val="16"/>
              </w:rPr>
              <w:t>Tooltips</w:t>
            </w:r>
            <w:r>
              <w:rPr>
                <w:sz w:val="16"/>
              </w:rPr>
              <w:t xml:space="preserve"> — </w:t>
            </w:r>
            <w:r>
              <w:rPr>
                <w:rFonts w:ascii="Consolas" w:hAnsi="Consolas" w:cs="Consolas"/>
                <w:color w:val="B42318"/>
                <w:sz w:val="15"/>
              </w:rPr>
              <w:t>role="tooltip"</w:t>
            </w:r>
            <w:r>
              <w:rPr>
                <w:sz w:val="16"/>
              </w:rPr>
              <w:t xml:space="preserve">, on focus and hover, </w:t>
            </w:r>
            <w:r>
              <w:rPr>
                <w:rFonts w:ascii="Consolas" w:hAnsi="Consolas" w:cs="Consolas"/>
                <w:color w:val="B42318"/>
                <w:sz w:val="15"/>
              </w:rPr>
              <w:t>aria-describedby</w:t>
            </w:r>
            <w:r>
              <w:rPr>
                <w:sz w:val="16"/>
              </w:rPr>
              <w:t>, not covering interactive content ([DGA] tooltip; NN/g, WCAG 1.4.13)</w:t>
            </w:r>
          </w:p>
        </w:tc>
        <w:tc>
          <w:tcPr>
            <w:tcW w:type="dxa" w:w="3328"/>
            <w:shd w:val="clear" w:color="auto" w:fill="F9FAFB"/>
          </w:tcPr>
          <w:p>
            <w:pPr>
              <w:spacing w:after="0" w:line="252" w:lineRule="auto"/>
            </w:pPr>
            <w:r>
              <w:rPr>
                <w:sz w:val="16"/>
              </w:rPr>
              <w:t xml:space="preserve">37 native </w:t>
            </w:r>
            <w:r>
              <w:rPr>
                <w:rFonts w:ascii="Consolas" w:hAnsi="Consolas" w:cs="Consolas"/>
                <w:color w:val="B42318"/>
                <w:sz w:val="15"/>
              </w:rPr>
              <w:t>title</w:t>
            </w:r>
            <w:r>
              <w:rPr>
                <w:sz w:val="16"/>
              </w:rPr>
              <w:t xml:space="preserve"> attributes on the Dashboard (hover-only, not styled, not keyboard-reachable) plus a «?» button opening a dialog; the dialog content carries essential basis information (C-09). Verified</w:t>
            </w:r>
          </w:p>
        </w:tc>
        <w:tc>
          <w:tcPr>
            <w:tcW w:type="dxa" w:w="2723"/>
            <w:shd w:val="clear" w:color="auto" w:fill="F9FAFB"/>
          </w:tcPr>
          <w:p>
            <w:pPr>
              <w:spacing w:after="0" w:line="252" w:lineRule="auto"/>
            </w:pPr>
            <w:r>
              <w:rPr>
                <w:sz w:val="16"/>
              </w:rPr>
              <w:t>KPI tiles, tags</w:t>
            </w:r>
          </w:p>
        </w:tc>
        <w:tc>
          <w:tcPr>
            <w:tcW w:type="dxa" w:w="1159"/>
            <w:shd w:val="clear" w:color="auto" w:fill="F9FAFB"/>
          </w:tcPr>
          <w:p>
            <w:pPr>
              <w:spacing w:after="0" w:line="252" w:lineRule="auto"/>
            </w:pPr>
            <w:r>
              <w:rPr>
                <w:b/>
                <w:sz w:val="16"/>
              </w:rPr>
              <w:t>P2</w:t>
            </w:r>
          </w:p>
        </w:tc>
        <w:tc>
          <w:tcPr>
            <w:tcW w:type="dxa" w:w="3328"/>
            <w:shd w:val="clear" w:color="auto" w:fill="F9FAFB"/>
          </w:tcPr>
          <w:p>
            <w:pPr>
              <w:spacing w:after="0" w:line="252" w:lineRule="auto"/>
            </w:pPr>
            <w:r>
              <w:rPr>
                <w:sz w:val="16"/>
              </w:rPr>
              <w:t>Use one Tooltip + one "Definition" popover component; essentials move out of tooltips (C-09).</w:t>
            </w:r>
          </w:p>
        </w:tc>
      </w:tr>
      <w:tr>
        <w:trPr>
          <w:cantSplit/>
        </w:trPr>
        <w:tc>
          <w:tcPr>
            <w:tcW w:type="dxa" w:w="1159"/>
          </w:tcPr>
          <w:p>
            <w:pPr>
              <w:spacing w:after="0" w:line="252" w:lineRule="auto"/>
            </w:pPr>
            <w:r>
              <w:rPr>
                <w:b/>
                <w:sz w:val="16"/>
              </w:rPr>
              <w:t>G-15</w:t>
            </w:r>
          </w:p>
        </w:tc>
        <w:tc>
          <w:tcPr>
            <w:tcW w:type="dxa" w:w="3328"/>
          </w:tcPr>
          <w:p>
            <w:pPr>
              <w:spacing w:after="0" w:line="252" w:lineRule="auto"/>
            </w:pPr>
            <w:r>
              <w:rPr>
                <w:b/>
                <w:sz w:val="16"/>
              </w:rPr>
              <w:t>Filters</w:t>
            </w:r>
            <w:r>
              <w:rPr>
                <w:sz w:val="16"/>
              </w:rPr>
              <w:t xml:space="preserve"> — filter button with active count; active filters as removable chips; results state ([DGA] filtration)</w:t>
            </w:r>
          </w:p>
        </w:tc>
        <w:tc>
          <w:tcPr>
            <w:tcW w:type="dxa" w:w="3328"/>
          </w:tcPr>
          <w:p>
            <w:pPr>
              <w:spacing w:after="0" w:line="252" w:lineRule="auto"/>
            </w:pPr>
            <w:r>
              <w:rPr>
                <w:sz w:val="16"/>
              </w:rPr>
              <w:t>Chips are read-only; no count, no per-chip remove, no reset (D-09); three separate filter bars (F-21)</w:t>
            </w:r>
          </w:p>
        </w:tc>
        <w:tc>
          <w:tcPr>
            <w:tcW w:type="dxa" w:w="2723"/>
          </w:tcPr>
          <w:p>
            <w:pPr>
              <w:spacing w:after="0" w:line="252" w:lineRule="auto"/>
            </w:pPr>
            <w:r>
              <w:rPr>
                <w:sz w:val="16"/>
              </w:rPr>
              <w:t>all filtered pages</w:t>
            </w:r>
          </w:p>
        </w:tc>
        <w:tc>
          <w:tcPr>
            <w:tcW w:type="dxa" w:w="1159"/>
          </w:tcPr>
          <w:p>
            <w:pPr>
              <w:spacing w:after="0" w:line="252" w:lineRule="auto"/>
            </w:pPr>
            <w:r>
              <w:rPr>
                <w:b/>
                <w:sz w:val="16"/>
              </w:rPr>
              <w:t>P1</w:t>
            </w:r>
          </w:p>
        </w:tc>
        <w:tc>
          <w:tcPr>
            <w:tcW w:type="dxa" w:w="3328"/>
          </w:tcPr>
          <w:p>
            <w:pPr>
              <w:spacing w:after="0" w:line="252" w:lineRule="auto"/>
            </w:pPr>
            <w:r>
              <w:rPr>
                <w:sz w:val="16"/>
              </w:rPr>
              <w:t>Implement the DGA filter pattern once.</w:t>
            </w:r>
          </w:p>
        </w:tc>
      </w:tr>
      <w:tr>
        <w:trPr>
          <w:cantSplit/>
        </w:trPr>
        <w:tc>
          <w:tcPr>
            <w:tcW w:type="dxa" w:w="1159"/>
            <w:shd w:val="clear" w:color="auto" w:fill="F9FAFB"/>
          </w:tcPr>
          <w:p>
            <w:pPr>
              <w:spacing w:after="0" w:line="252" w:lineRule="auto"/>
            </w:pPr>
            <w:r>
              <w:rPr>
                <w:b/>
                <w:sz w:val="16"/>
              </w:rPr>
              <w:t>G-16</w:t>
            </w:r>
          </w:p>
        </w:tc>
        <w:tc>
          <w:tcPr>
            <w:tcW w:type="dxa" w:w="3328"/>
            <w:shd w:val="clear" w:color="auto" w:fill="F9FAFB"/>
          </w:tcPr>
          <w:p>
            <w:pPr>
              <w:spacing w:after="0" w:line="252" w:lineRule="auto"/>
            </w:pPr>
            <w:r>
              <w:rPr>
                <w:b/>
                <w:sz w:val="16"/>
              </w:rPr>
              <w:t>KPI card</w:t>
            </w:r>
            <w:r>
              <w:rPr>
                <w:sz w:val="16"/>
              </w:rPr>
              <w:t xml:space="preserve"> — label with icon, value, trend vs comparison, optional mini-chart, CTA, </w:t>
            </w:r>
            <w:r>
              <w:rPr>
                <w:rFonts w:ascii="Consolas" w:hAnsi="Consolas" w:cs="Consolas"/>
                <w:color w:val="B42318"/>
                <w:sz w:val="15"/>
              </w:rPr>
              <w:t>aria-live</w:t>
            </w:r>
            <w:r>
              <w:rPr>
                <w:sz w:val="16"/>
              </w:rPr>
              <w:t xml:space="preserve"> for dynamic values ([DGA] metric)</w:t>
            </w:r>
          </w:p>
        </w:tc>
        <w:tc>
          <w:tcPr>
            <w:tcW w:type="dxa" w:w="3328"/>
            <w:shd w:val="clear" w:color="auto" w:fill="F9FAFB"/>
          </w:tcPr>
          <w:p>
            <w:pPr>
              <w:spacing w:after="0" w:line="252" w:lineRule="auto"/>
            </w:pPr>
            <w:r>
              <w:rPr>
                <w:sz w:val="16"/>
              </w:rPr>
              <w:t xml:space="preserve">Label + help button, value, delta, sub-text and (on one tile) a CTA link ✔; no mini-trend; values wrap onto two lines at 1,280 px (e.g. </w:t>
            </w:r>
            <w:r>
              <w:rPr>
                <w:sz w:val="16"/>
                <w:rtl/>
                <w:rFonts w:cs="Arial"/>
                <w:szCs w:val="16"/>
              </w:rPr>
              <w:t>‫«14.92 مليار / SAR»‬</w:t>
            </w:r>
            <w:r>
              <w:rPr>
                <w:sz w:val="16"/>
              </w:rPr>
              <w:t xml:space="preserve">); </w:t>
            </w:r>
            <w:r>
              <w:rPr>
                <w:rFonts w:ascii="Consolas" w:hAnsi="Consolas" w:cs="Consolas"/>
                <w:color w:val="B42318"/>
                <w:sz w:val="15"/>
              </w:rPr>
              <w:t>aria-live</w:t>
            </w:r>
            <w:r>
              <w:rPr>
                <w:sz w:val="16"/>
              </w:rPr>
              <w:t xml:space="preserve"> not set on values (Dashboard re-renders silently on filter change — F-12). Verified</w:t>
            </w:r>
          </w:p>
        </w:tc>
        <w:tc>
          <w:tcPr>
            <w:tcW w:type="dxa" w:w="2723"/>
            <w:shd w:val="clear" w:color="auto" w:fill="F9FAFB"/>
          </w:tcPr>
          <w:p>
            <w:pPr>
              <w:spacing w:after="0" w:line="252" w:lineRule="auto"/>
            </w:pPr>
            <w:r>
              <w:rPr>
                <w:sz w:val="16"/>
              </w:rPr>
              <w:t>Dashboard, Planning, Collection, Risk</w:t>
            </w:r>
          </w:p>
        </w:tc>
        <w:tc>
          <w:tcPr>
            <w:tcW w:type="dxa" w:w="1159"/>
            <w:shd w:val="clear" w:color="auto" w:fill="F9FAFB"/>
          </w:tcPr>
          <w:p>
            <w:pPr>
              <w:spacing w:after="0" w:line="252" w:lineRule="auto"/>
            </w:pPr>
            <w:r>
              <w:rPr>
                <w:b/>
                <w:sz w:val="16"/>
              </w:rPr>
              <w:t>P2</w:t>
            </w:r>
          </w:p>
        </w:tc>
        <w:tc>
          <w:tcPr>
            <w:tcW w:type="dxa" w:w="3328"/>
            <w:shd w:val="clear" w:color="auto" w:fill="F9FAFB"/>
          </w:tcPr>
          <w:p>
            <w:pPr>
              <w:spacing w:after="0" w:line="252" w:lineRule="auto"/>
            </w:pPr>
            <w:r>
              <w:rPr>
                <w:sz w:val="16"/>
              </w:rPr>
              <w:t>One KPI-card component (§20.5): fixed value size, no wrap, sparkline option, live region.</w:t>
            </w:r>
          </w:p>
        </w:tc>
      </w:tr>
      <w:tr>
        <w:trPr>
          <w:cantSplit/>
        </w:trPr>
        <w:tc>
          <w:tcPr>
            <w:tcW w:type="dxa" w:w="1159"/>
          </w:tcPr>
          <w:p>
            <w:pPr>
              <w:spacing w:after="0" w:line="252" w:lineRule="auto"/>
            </w:pPr>
            <w:r>
              <w:rPr>
                <w:b/>
                <w:sz w:val="16"/>
              </w:rPr>
              <w:t>G-17</w:t>
            </w:r>
          </w:p>
        </w:tc>
        <w:tc>
          <w:tcPr>
            <w:tcW w:type="dxa" w:w="3328"/>
          </w:tcPr>
          <w:p>
            <w:pPr>
              <w:spacing w:after="0" w:line="252" w:lineRule="auto"/>
            </w:pPr>
            <w:r>
              <w:rPr>
                <w:b/>
                <w:sz w:val="16"/>
              </w:rPr>
              <w:t>Headings and landmarks</w:t>
            </w:r>
            <w:r>
              <w:rPr>
                <w:sz w:val="16"/>
              </w:rPr>
              <w:t xml:space="preserve"> — logical reading order matching visual order, structure for screen readers ([DGA] a11y)</w:t>
            </w:r>
          </w:p>
        </w:tc>
        <w:tc>
          <w:tcPr>
            <w:tcW w:type="dxa" w:w="3328"/>
          </w:tcPr>
          <w:p>
            <w:pPr>
              <w:spacing w:after="0" w:line="252" w:lineRule="auto"/>
            </w:pPr>
            <w:r>
              <w:rPr>
                <w:b/>
                <w:sz w:val="16"/>
              </w:rPr>
              <w:t>9 of 13 routes have no `h1`</w:t>
            </w:r>
            <w:r>
              <w:rPr>
                <w:sz w:val="16"/>
              </w:rPr>
              <w:t xml:space="preserve">; Dashboard goes H1→H3; Metric dictionary is 15 × H3; two </w:t>
            </w:r>
            <w:r>
              <w:rPr>
                <w:rFonts w:ascii="Consolas" w:hAnsi="Consolas" w:cs="Consolas"/>
                <w:color w:val="B42318"/>
                <w:sz w:val="15"/>
              </w:rPr>
              <w:t>header</w:t>
            </w:r>
            <w:r>
              <w:rPr>
                <w:sz w:val="16"/>
              </w:rPr>
              <w:t xml:space="preserve"> landmarks, no </w:t>
            </w:r>
            <w:r>
              <w:rPr>
                <w:rFonts w:ascii="Consolas" w:hAnsi="Consolas" w:cs="Consolas"/>
                <w:color w:val="B42318"/>
                <w:sz w:val="15"/>
              </w:rPr>
              <w:t>footer</w:t>
            </w:r>
            <w:r>
              <w:rPr>
                <w:sz w:val="16"/>
              </w:rPr>
              <w:t>, no skip link; every control has an accessible name and every field a label (good: 0 unlabeled). Verified</w:t>
            </w:r>
          </w:p>
        </w:tc>
        <w:tc>
          <w:tcPr>
            <w:tcW w:type="dxa" w:w="2723"/>
          </w:tcPr>
          <w:p>
            <w:pPr>
              <w:spacing w:after="0" w:line="252" w:lineRule="auto"/>
            </w:pPr>
            <w:r>
              <w:rPr>
                <w:sz w:val="16"/>
              </w:rPr>
              <w:t>all operational pages, Dashboard</w:t>
            </w:r>
          </w:p>
        </w:tc>
        <w:tc>
          <w:tcPr>
            <w:tcW w:type="dxa" w:w="1159"/>
          </w:tcPr>
          <w:p>
            <w:pPr>
              <w:spacing w:after="0" w:line="252" w:lineRule="auto"/>
            </w:pPr>
            <w:r>
              <w:rPr>
                <w:b/>
                <w:sz w:val="16"/>
              </w:rPr>
              <w:t>P1</w:t>
            </w:r>
          </w:p>
        </w:tc>
        <w:tc>
          <w:tcPr>
            <w:tcW w:type="dxa" w:w="3328"/>
          </w:tcPr>
          <w:p>
            <w:pPr>
              <w:spacing w:after="0" w:line="252" w:lineRule="auto"/>
            </w:pPr>
            <w:r>
              <w:rPr>
                <w:sz w:val="16"/>
              </w:rPr>
              <w:t xml:space="preserve">One page-header component producing </w:t>
            </w:r>
            <w:r>
              <w:rPr>
                <w:rFonts w:ascii="Consolas" w:hAnsi="Consolas" w:cs="Consolas"/>
                <w:color w:val="B42318"/>
                <w:sz w:val="15"/>
              </w:rPr>
              <w:t>h1</w:t>
            </w:r>
            <w:r>
              <w:rPr>
                <w:sz w:val="16"/>
              </w:rPr>
              <w:t xml:space="preserve">, then </w:t>
            </w:r>
            <w:r>
              <w:rPr>
                <w:rFonts w:ascii="Consolas" w:hAnsi="Consolas" w:cs="Consolas"/>
                <w:color w:val="B42318"/>
                <w:sz w:val="15"/>
              </w:rPr>
              <w:t>h2</w:t>
            </w:r>
            <w:r>
              <w:rPr>
                <w:sz w:val="16"/>
              </w:rPr>
              <w:t xml:space="preserve"> sections; add </w:t>
            </w:r>
            <w:r>
              <w:rPr>
                <w:rFonts w:ascii="Consolas" w:hAnsi="Consolas" w:cs="Consolas"/>
                <w:color w:val="B42318"/>
                <w:sz w:val="15"/>
              </w:rPr>
              <w:t>footer</w:t>
            </w:r>
            <w:r>
              <w:rPr>
                <w:sz w:val="16"/>
              </w:rPr>
              <w:t xml:space="preserve"> (DGA UI shell lists it) and skip link.</w:t>
            </w:r>
          </w:p>
        </w:tc>
      </w:tr>
      <w:tr>
        <w:trPr>
          <w:cantSplit/>
        </w:trPr>
        <w:tc>
          <w:tcPr>
            <w:tcW w:type="dxa" w:w="1159"/>
            <w:shd w:val="clear" w:color="auto" w:fill="F9FAFB"/>
          </w:tcPr>
          <w:p>
            <w:pPr>
              <w:spacing w:after="0" w:line="252" w:lineRule="auto"/>
            </w:pPr>
            <w:r>
              <w:rPr>
                <w:b/>
                <w:sz w:val="16"/>
              </w:rPr>
              <w:t>G-18</w:t>
            </w:r>
          </w:p>
        </w:tc>
        <w:tc>
          <w:tcPr>
            <w:tcW w:type="dxa" w:w="3328"/>
            <w:shd w:val="clear" w:color="auto" w:fill="F9FAFB"/>
          </w:tcPr>
          <w:p>
            <w:pPr>
              <w:spacing w:after="0" w:line="252" w:lineRule="auto"/>
            </w:pPr>
            <w:r>
              <w:rPr>
                <w:b/>
                <w:sz w:val="16"/>
              </w:rPr>
              <w:t>UI shell</w:t>
            </w:r>
            <w:r>
              <w:rPr>
                <w:sz w:val="16"/>
              </w:rPr>
              <w:t xml:space="preserve"> — header, navigation (menu/tabs/breadcrumbs/pagination), </w:t>
            </w:r>
            <w:r>
              <w:rPr>
                <w:b/>
                <w:sz w:val="16"/>
              </w:rPr>
              <w:t>footer</w:t>
            </w:r>
            <w:r>
              <w:rPr>
                <w:sz w:val="16"/>
              </w:rPr>
              <w:t>; top-nav item states selected/hover/focus/disabled ([Deck] p.11, [DGA])</w:t>
            </w:r>
          </w:p>
        </w:tc>
        <w:tc>
          <w:tcPr>
            <w:tcW w:type="dxa" w:w="3328"/>
            <w:shd w:val="clear" w:color="auto" w:fill="F9FAFB"/>
          </w:tcPr>
          <w:p>
            <w:pPr>
              <w:spacing w:after="0" w:line="252" w:lineRule="auto"/>
            </w:pPr>
            <w:r>
              <w:rPr>
                <w:sz w:val="16"/>
              </w:rPr>
              <w:t>Single sticky header + a 9-item tab strip (two items off-screen at 1,280 px); no breadcrumb component exists anywhere in the code (0 matches), so detail pages (invoice drawer, Sanad detail, investment detail) rely on back links only (code; pages not opened in this pass); no footer; unknown URL silently becomes the dashboard (no error page — DGA has a "page not found" template); the sticky bars cover anchor targets (F-29). Verified</w:t>
            </w:r>
          </w:p>
        </w:tc>
        <w:tc>
          <w:tcPr>
            <w:tcW w:type="dxa" w:w="2723"/>
            <w:shd w:val="clear" w:color="auto" w:fill="F9FAFB"/>
          </w:tcPr>
          <w:p>
            <w:pPr>
              <w:spacing w:after="0" w:line="252" w:lineRule="auto"/>
            </w:pPr>
            <w:r>
              <w:rPr>
                <w:rFonts w:ascii="Consolas" w:hAnsi="Consolas" w:cs="Consolas"/>
                <w:color w:val="B42318"/>
                <w:sz w:val="15"/>
              </w:rPr>
              <w:t>Layout</w:t>
            </w:r>
            <w:r>
              <w:rPr>
                <w:sz w:val="16"/>
              </w:rPr>
              <w:t>, detail pages</w:t>
            </w:r>
          </w:p>
        </w:tc>
        <w:tc>
          <w:tcPr>
            <w:tcW w:type="dxa" w:w="1159"/>
            <w:shd w:val="clear" w:color="auto" w:fill="F9FAFB"/>
          </w:tcPr>
          <w:p>
            <w:pPr>
              <w:spacing w:after="0" w:line="252" w:lineRule="auto"/>
            </w:pPr>
            <w:r>
              <w:rPr>
                <w:b/>
                <w:sz w:val="16"/>
              </w:rPr>
              <w:t>P2</w:t>
            </w:r>
          </w:p>
        </w:tc>
        <w:tc>
          <w:tcPr>
            <w:tcW w:type="dxa" w:w="3328"/>
            <w:shd w:val="clear" w:color="auto" w:fill="F9FAFB"/>
          </w:tcPr>
          <w:p>
            <w:pPr>
              <w:spacing w:after="0" w:line="252" w:lineRule="auto"/>
            </w:pPr>
            <w:r>
              <w:rPr>
                <w:sz w:val="16"/>
              </w:rPr>
              <w:t>Grouped navigation (§5.1), breadcrumbs on detail pages, footer with data/version info, 404 page.</w:t>
            </w:r>
          </w:p>
        </w:tc>
      </w:tr>
      <w:tr>
        <w:trPr>
          <w:cantSplit/>
        </w:trPr>
        <w:tc>
          <w:tcPr>
            <w:tcW w:type="dxa" w:w="1159"/>
          </w:tcPr>
          <w:p>
            <w:pPr>
              <w:spacing w:after="0" w:line="252" w:lineRule="auto"/>
            </w:pPr>
            <w:r>
              <w:rPr>
                <w:b/>
                <w:sz w:val="16"/>
              </w:rPr>
              <w:t>G-19</w:t>
            </w:r>
          </w:p>
        </w:tc>
        <w:tc>
          <w:tcPr>
            <w:tcW w:type="dxa" w:w="3328"/>
          </w:tcPr>
          <w:p>
            <w:pPr>
              <w:spacing w:after="0" w:line="252" w:lineRule="auto"/>
            </w:pPr>
            <w:r>
              <w:rPr>
                <w:b/>
                <w:sz w:val="16"/>
              </w:rPr>
              <w:t>States</w:t>
            </w:r>
            <w:r>
              <w:rPr>
                <w:sz w:val="16"/>
              </w:rPr>
              <w:t xml:space="preserve"> — hover, focus, selected, disabled, loading, empty, error ([DGA] nav/button states)</w:t>
            </w:r>
          </w:p>
        </w:tc>
        <w:tc>
          <w:tcPr>
            <w:tcW w:type="dxa" w:w="3328"/>
          </w:tcPr>
          <w:p>
            <w:pPr>
              <w:spacing w:after="0" w:line="252" w:lineRule="auto"/>
            </w:pPr>
            <w:r>
              <w:rPr>
                <w:sz w:val="16"/>
              </w:rPr>
              <w:t>Hover ✔ (</w:t>
            </w:r>
            <w:r>
              <w:rPr>
                <w:rFonts w:ascii="Consolas" w:hAnsi="Consolas" w:cs="Consolas"/>
                <w:color w:val="B42318"/>
                <w:sz w:val="15"/>
              </w:rPr>
              <w:t>.btn:hover</w:t>
            </w:r>
            <w:r>
              <w:rPr>
                <w:sz w:val="16"/>
              </w:rPr>
              <w:t>), active ✔, selected tab ✔, disabled = 55 % opacity ✔ (low contrast by design), skeleton ✔ (</w:t>
            </w:r>
            <w:r>
              <w:rPr>
                <w:rFonts w:ascii="Consolas" w:hAnsi="Consolas" w:cs="Consolas"/>
                <w:color w:val="B42318"/>
                <w:sz w:val="15"/>
              </w:rPr>
              <w:t>Skeleton</w:t>
            </w:r>
            <w:r>
              <w:rPr>
                <w:sz w:val="16"/>
              </w:rPr>
              <w:t xml:space="preserve">, </w:t>
            </w:r>
            <w:r>
              <w:rPr>
                <w:rFonts w:ascii="Consolas" w:hAnsi="Consolas" w:cs="Consolas"/>
                <w:color w:val="B42318"/>
                <w:sz w:val="15"/>
              </w:rPr>
              <w:t>st-skel</w:t>
            </w:r>
            <w:r>
              <w:rPr>
                <w:sz w:val="16"/>
              </w:rPr>
              <w:t xml:space="preserve">), error banner with retry ✔ on new pages; </w:t>
            </w:r>
            <w:r>
              <w:rPr>
                <w:b/>
                <w:sz w:val="16"/>
              </w:rPr>
              <w:t>missing</w:t>
            </w:r>
            <w:r>
              <w:rPr>
                <w:sz w:val="16"/>
              </w:rPr>
              <w:t>: focus (G-07), loading indicator on Dashboard/Fixed reports (F-12), empty-state reset button and invalid-range message (D-01, C-16), a distinct "stale" state</w:t>
            </w:r>
          </w:p>
        </w:tc>
        <w:tc>
          <w:tcPr>
            <w:tcW w:type="dxa" w:w="2723"/>
          </w:tcPr>
          <w:p>
            <w:pPr>
              <w:spacing w:after="0" w:line="252" w:lineRule="auto"/>
            </w:pPr>
            <w:r>
              <w:rPr>
                <w:sz w:val="16"/>
              </w:rPr>
              <w:t>all</w:t>
            </w:r>
          </w:p>
        </w:tc>
        <w:tc>
          <w:tcPr>
            <w:tcW w:type="dxa" w:w="1159"/>
          </w:tcPr>
          <w:p>
            <w:pPr>
              <w:spacing w:after="0" w:line="252" w:lineRule="auto"/>
            </w:pPr>
            <w:r>
              <w:rPr>
                <w:b/>
                <w:sz w:val="16"/>
              </w:rPr>
              <w:t>P2</w:t>
            </w:r>
          </w:p>
        </w:tc>
        <w:tc>
          <w:tcPr>
            <w:tcW w:type="dxa" w:w="3328"/>
          </w:tcPr>
          <w:p>
            <w:pPr>
              <w:spacing w:after="0" w:line="252" w:lineRule="auto"/>
            </w:pPr>
            <w:r>
              <w:rPr>
                <w:sz w:val="16"/>
              </w:rPr>
              <w:t>Define the state matrix per component (§20.5) and test it.</w:t>
            </w:r>
          </w:p>
        </w:tc>
      </w:tr>
      <w:tr>
        <w:trPr>
          <w:cantSplit/>
        </w:trPr>
        <w:tc>
          <w:tcPr>
            <w:tcW w:type="dxa" w:w="1159"/>
            <w:shd w:val="clear" w:color="auto" w:fill="F9FAFB"/>
          </w:tcPr>
          <w:p>
            <w:pPr>
              <w:spacing w:after="0" w:line="252" w:lineRule="auto"/>
            </w:pPr>
            <w:r>
              <w:rPr>
                <w:b/>
                <w:sz w:val="16"/>
              </w:rPr>
              <w:t>G-20</w:t>
            </w:r>
          </w:p>
        </w:tc>
        <w:tc>
          <w:tcPr>
            <w:tcW w:type="dxa" w:w="3328"/>
            <w:shd w:val="clear" w:color="auto" w:fill="F9FAFB"/>
          </w:tcPr>
          <w:p>
            <w:pPr>
              <w:spacing w:after="0" w:line="252" w:lineRule="auto"/>
            </w:pPr>
            <w:r>
              <w:rPr>
                <w:b/>
                <w:sz w:val="16"/>
              </w:rPr>
              <w:t>RTL and mixed content</w:t>
            </w:r>
            <w:r>
              <w:rPr>
                <w:sz w:val="16"/>
              </w:rPr>
              <w:t xml:space="preserve"> — Arabic default; logical layout; mixed Arabic/Latin handled ([DGA], W3C)</w:t>
            </w:r>
          </w:p>
        </w:tc>
        <w:tc>
          <w:tcPr>
            <w:tcW w:type="dxa" w:w="3328"/>
            <w:shd w:val="clear" w:color="auto" w:fill="F9FAFB"/>
          </w:tcPr>
          <w:p>
            <w:pPr>
              <w:spacing w:after="0" w:line="252" w:lineRule="auto"/>
            </w:pPr>
            <w:r>
              <w:rPr>
                <w:rFonts w:ascii="Consolas" w:hAnsi="Consolas" w:cs="Consolas"/>
                <w:color w:val="B42318"/>
                <w:sz w:val="15"/>
              </w:rPr>
              <w:t>lang="ar" dir="rtl"</w:t>
            </w:r>
            <w:r>
              <w:rPr>
                <w:sz w:val="16"/>
              </w:rPr>
              <w:t xml:space="preserve"> ✔; money strings are LTR runs with a Latin «SAR» inside an Arabic page; </w:t>
            </w:r>
            <w:r>
              <w:rPr>
                <w:b/>
                <w:sz w:val="16"/>
              </w:rPr>
              <w:t>English Amanah names in Arabic tables</w:t>
            </w:r>
            <w:r>
              <w:rPr>
                <w:sz w:val="16"/>
              </w:rPr>
              <w:t xml:space="preserve"> («Jeddah Amanah», «Riyadh Amanah», «Al-Qassim Amanah», «Eastern Province Amanah», «Sanad») on </w:t>
            </w:r>
            <w:r>
              <w:rPr>
                <w:rFonts w:ascii="Consolas" w:hAnsi="Consolas" w:cs="Consolas"/>
                <w:color w:val="B42318"/>
                <w:sz w:val="15"/>
              </w:rPr>
              <w:t>/sanad-orders</w:t>
            </w:r>
            <w:r>
              <w:rPr>
                <w:sz w:val="16"/>
              </w:rPr>
              <w:t xml:space="preserve">; ISO dates; only 6 </w:t>
            </w:r>
            <w:r>
              <w:rPr>
                <w:rFonts w:ascii="Consolas" w:hAnsi="Consolas" w:cs="Consolas"/>
                <w:color w:val="B42318"/>
                <w:sz w:val="15"/>
              </w:rPr>
              <w:t>&lt;bdi&gt;</w:t>
            </w:r>
            <w:r>
              <w:rPr>
                <w:sz w:val="16"/>
              </w:rPr>
              <w:t xml:space="preserve"> uses; the floating </w:t>
            </w:r>
            <w:r>
              <w:rPr>
                <w:sz w:val="16"/>
                <w:rtl/>
                <w:rFonts w:cs="Arial"/>
                <w:szCs w:val="16"/>
              </w:rPr>
              <w:t>‫«اسأل المساعد»‬</w:t>
            </w:r>
            <w:r>
              <w:rPr>
                <w:sz w:val="16"/>
              </w:rPr>
              <w:t xml:space="preserve"> button overlaps table rows at the bottom-left (visible on </w:t>
            </w:r>
            <w:r>
              <w:rPr>
                <w:rFonts w:ascii="Consolas" w:hAnsi="Consolas" w:cs="Consolas"/>
                <w:color w:val="B42318"/>
                <w:sz w:val="15"/>
              </w:rPr>
              <w:t>/sanad-orders</w:t>
            </w:r>
            <w:r>
              <w:rPr>
                <w:sz w:val="16"/>
              </w:rPr>
              <w:t>). Verified (UI)</w:t>
            </w:r>
          </w:p>
        </w:tc>
        <w:tc>
          <w:tcPr>
            <w:tcW w:type="dxa" w:w="2723"/>
            <w:shd w:val="clear" w:color="auto" w:fill="F9FAFB"/>
          </w:tcPr>
          <w:p>
            <w:pPr>
              <w:spacing w:after="0" w:line="252" w:lineRule="auto"/>
            </w:pPr>
            <w:r>
              <w:rPr>
                <w:sz w:val="16"/>
              </w:rPr>
              <w:t>Sanad orders, tables, floating assistant</w:t>
            </w:r>
          </w:p>
        </w:tc>
        <w:tc>
          <w:tcPr>
            <w:tcW w:type="dxa" w:w="1159"/>
            <w:shd w:val="clear" w:color="auto" w:fill="F9FAFB"/>
          </w:tcPr>
          <w:p>
            <w:pPr>
              <w:spacing w:after="0" w:line="252" w:lineRule="auto"/>
            </w:pPr>
            <w:r>
              <w:rPr>
                <w:b/>
                <w:sz w:val="16"/>
              </w:rPr>
              <w:t>P2</w:t>
            </w:r>
          </w:p>
        </w:tc>
        <w:tc>
          <w:tcPr>
            <w:tcW w:type="dxa" w:w="3328"/>
            <w:shd w:val="clear" w:color="auto" w:fill="F9FAFB"/>
          </w:tcPr>
          <w:p>
            <w:pPr>
              <w:spacing w:after="0" w:line="252" w:lineRule="auto"/>
            </w:pPr>
            <w:r>
              <w:rPr>
                <w:sz w:val="16"/>
              </w:rPr>
              <w:t xml:space="preserve">Arabic names from the Amanah catalogue everywhere; </w:t>
            </w:r>
            <w:r>
              <w:rPr>
                <w:sz w:val="16"/>
                <w:rtl/>
                <w:rFonts w:cs="Arial"/>
                <w:szCs w:val="16"/>
              </w:rPr>
              <w:t>‫«ريال»‬</w:t>
            </w:r>
            <w:r>
              <w:rPr>
                <w:sz w:val="16"/>
              </w:rPr>
              <w:t xml:space="preserve">; </w:t>
            </w:r>
            <w:r>
              <w:rPr>
                <w:rFonts w:ascii="Consolas" w:hAnsi="Consolas" w:cs="Consolas"/>
                <w:color w:val="B42318"/>
                <w:sz w:val="15"/>
              </w:rPr>
              <w:t>bdi</w:t>
            </w:r>
            <w:r>
              <w:rPr>
                <w:sz w:val="16"/>
              </w:rPr>
              <w:t xml:space="preserve"> around embedded numbers/IDs; place the assistant where it never covers content (DGA chatbot template).</w:t>
            </w:r>
          </w:p>
        </w:tc>
      </w:tr>
      <w:tr>
        <w:trPr>
          <w:cantSplit/>
        </w:trPr>
        <w:tc>
          <w:tcPr>
            <w:tcW w:type="dxa" w:w="1159"/>
          </w:tcPr>
          <w:p>
            <w:pPr>
              <w:spacing w:after="0" w:line="252" w:lineRule="auto"/>
            </w:pPr>
            <w:r>
              <w:rPr>
                <w:b/>
                <w:sz w:val="16"/>
              </w:rPr>
              <w:t>G-21</w:t>
            </w:r>
          </w:p>
        </w:tc>
        <w:tc>
          <w:tcPr>
            <w:tcW w:type="dxa" w:w="3328"/>
          </w:tcPr>
          <w:p>
            <w:pPr>
              <w:spacing w:after="0" w:line="252" w:lineRule="auto"/>
            </w:pPr>
            <w:r>
              <w:rPr>
                <w:b/>
                <w:sz w:val="16"/>
              </w:rPr>
              <w:t>AI extensions</w:t>
            </w:r>
            <w:r>
              <w:rPr>
                <w:sz w:val="16"/>
              </w:rPr>
              <w:t xml:space="preserve"> — AI states (thinking/generating/refining), AI indicators ("AI-generated"), confidence/explainability cues, conversational UI; chatbot: welcome, highlighted capabilities, </w:t>
            </w:r>
            <w:r>
              <w:rPr>
                <w:b/>
                <w:sz w:val="16"/>
              </w:rPr>
              <w:t>feedback</w:t>
            </w:r>
            <w:r>
              <w:rPr>
                <w:sz w:val="16"/>
              </w:rPr>
              <w:t xml:space="preserve">, </w:t>
            </w:r>
            <w:r>
              <w:rPr>
                <w:b/>
                <w:sz w:val="16"/>
              </w:rPr>
              <w:t>human escalation</w:t>
            </w:r>
            <w:r>
              <w:rPr>
                <w:sz w:val="16"/>
              </w:rPr>
              <w:t xml:space="preserve"> ([Deck] p.6, [DGA] chatbot)</w:t>
            </w:r>
          </w:p>
        </w:tc>
        <w:tc>
          <w:tcPr>
            <w:tcW w:type="dxa" w:w="3328"/>
          </w:tcPr>
          <w:p>
            <w:pPr>
              <w:spacing w:after="0" w:line="252" w:lineRule="auto"/>
            </w:pPr>
            <w:r>
              <w:rPr>
                <w:sz w:val="16"/>
              </w:rPr>
              <w:t xml:space="preserve">✔ conversational UI, welcome + suggestions, 5-step progress, honest "rule-based, not a language model" notice, basis/caveat on each insight (explainability). ✖ no </w:t>
            </w:r>
            <w:r>
              <w:rPr>
                <w:b/>
                <w:sz w:val="16"/>
              </w:rPr>
              <w:t>AI indicator</w:t>
            </w:r>
            <w:r>
              <w:rPr>
                <w:sz w:val="16"/>
              </w:rPr>
              <w:t xml:space="preserve"> on the generated report/insights themselves, no common confidence vocabulary (labels vary: </w:t>
            </w:r>
            <w:r>
              <w:rPr>
                <w:sz w:val="16"/>
                <w:rtl/>
                <w:rFonts w:cs="Arial"/>
                <w:szCs w:val="16"/>
              </w:rPr>
              <w:t>‫«حقيقة محسوبة»‬</w:t>
            </w:r>
            <w:r>
              <w:rPr>
                <w:sz w:val="16"/>
              </w:rPr>
              <w:t xml:space="preserve">, </w:t>
            </w:r>
            <w:r>
              <w:rPr>
                <w:sz w:val="16"/>
                <w:rtl/>
                <w:rFonts w:cs="Arial"/>
                <w:szCs w:val="16"/>
              </w:rPr>
              <w:t>‫«تقدير — راجع الافتراضات»‬</w:t>
            </w:r>
            <w:r>
              <w:rPr>
                <w:sz w:val="16"/>
              </w:rPr>
              <w:t xml:space="preserve">, </w:t>
            </w:r>
            <w:r>
              <w:rPr>
                <w:sz w:val="16"/>
                <w:rtl/>
                <w:rFonts w:cs="Arial"/>
                <w:szCs w:val="16"/>
              </w:rPr>
              <w:t>‫«مقارنة فترات»‬</w:t>
            </w:r>
            <w:r>
              <w:rPr>
                <w:sz w:val="16"/>
              </w:rPr>
              <w:t xml:space="preserve">), no "refining" state, </w:t>
            </w:r>
            <w:r>
              <w:rPr>
                <w:b/>
                <w:sz w:val="16"/>
              </w:rPr>
              <w:t>no feedback control</w:t>
            </w:r>
            <w:r>
              <w:rPr>
                <w:sz w:val="16"/>
              </w:rPr>
              <w:t xml:space="preserve">, </w:t>
            </w:r>
            <w:r>
              <w:rPr>
                <w:b/>
                <w:sz w:val="16"/>
              </w:rPr>
              <w:t>no human-escalation path</w:t>
            </w:r>
            <w:r>
              <w:rPr>
                <w:sz w:val="16"/>
              </w:rPr>
              <w:t xml:space="preserve"> although the login page advertises "human-in-the-loop"; assistant avatar </w:t>
            </w:r>
            <w:r>
              <w:rPr>
                <w:sz w:val="16"/>
                <w:rtl/>
                <w:rFonts w:cs="Arial"/>
                <w:szCs w:val="16"/>
              </w:rPr>
              <w:t>‫«ذ»‬</w:t>
            </w:r>
            <w:r>
              <w:rPr>
                <w:sz w:val="16"/>
              </w:rPr>
              <w:t>. Verified</w:t>
            </w:r>
          </w:p>
        </w:tc>
        <w:tc>
          <w:tcPr>
            <w:tcW w:type="dxa" w:w="2723"/>
          </w:tcPr>
          <w:p>
            <w:pPr>
              <w:spacing w:after="0" w:line="252" w:lineRule="auto"/>
            </w:pPr>
            <w:r>
              <w:rPr>
                <w:sz w:val="16"/>
              </w:rPr>
              <w:t>Smart reports, Planning assistant, login</w:t>
            </w:r>
          </w:p>
        </w:tc>
        <w:tc>
          <w:tcPr>
            <w:tcW w:type="dxa" w:w="1159"/>
          </w:tcPr>
          <w:p>
            <w:pPr>
              <w:spacing w:after="0" w:line="252" w:lineRule="auto"/>
            </w:pPr>
            <w:r>
              <w:rPr>
                <w:b/>
                <w:sz w:val="16"/>
              </w:rPr>
              <w:t>P2</w:t>
            </w:r>
          </w:p>
        </w:tc>
        <w:tc>
          <w:tcPr>
            <w:tcW w:type="dxa" w:w="3328"/>
          </w:tcPr>
          <w:p>
            <w:pPr>
              <w:spacing w:after="0" w:line="252" w:lineRule="auto"/>
            </w:pPr>
            <w:r>
              <w:rPr>
                <w:sz w:val="16"/>
              </w:rPr>
              <w:t>Add an "AI-assisted / rule-based" chip to every generated block, one three-level confidence label, helpful/not-helpful control, an "ask a person / report an issue" route.</w:t>
            </w:r>
          </w:p>
        </w:tc>
      </w:tr>
      <w:tr>
        <w:trPr>
          <w:cantSplit/>
        </w:trPr>
        <w:tc>
          <w:tcPr>
            <w:tcW w:type="dxa" w:w="1159"/>
            <w:shd w:val="clear" w:color="auto" w:fill="F9FAFB"/>
          </w:tcPr>
          <w:p>
            <w:pPr>
              <w:spacing w:after="0" w:line="252" w:lineRule="auto"/>
            </w:pPr>
            <w:r>
              <w:rPr>
                <w:b/>
                <w:sz w:val="16"/>
              </w:rPr>
              <w:t>G-22</w:t>
            </w:r>
          </w:p>
        </w:tc>
        <w:tc>
          <w:tcPr>
            <w:tcW w:type="dxa" w:w="3328"/>
            <w:shd w:val="clear" w:color="auto" w:fill="F9FAFB"/>
          </w:tcPr>
          <w:p>
            <w:pPr>
              <w:spacing w:after="0" w:line="252" w:lineRule="auto"/>
            </w:pPr>
            <w:r>
              <w:rPr>
                <w:b/>
                <w:sz w:val="16"/>
              </w:rPr>
              <w:t>Tone</w:t>
            </w:r>
            <w:r>
              <w:rPr>
                <w:sz w:val="16"/>
              </w:rPr>
              <w:t xml:space="preserve"> — plain, clear, never overwhelming ([Deck] p.13); consistent voice</w:t>
            </w:r>
          </w:p>
        </w:tc>
        <w:tc>
          <w:tcPr>
            <w:tcW w:type="dxa" w:w="3328"/>
            <w:shd w:val="clear" w:color="auto" w:fill="F9FAFB"/>
          </w:tcPr>
          <w:p>
            <w:pPr>
              <w:spacing w:after="0" w:line="252" w:lineRule="auto"/>
            </w:pPr>
            <w:r>
              <w:rPr>
                <w:sz w:val="16"/>
              </w:rPr>
              <w:t xml:space="preserve">C-01…C-10: jargon, codes, repeated disclaimers, rhetorical headers. </w:t>
            </w:r>
            <w:r>
              <w:rPr>
                <w:b/>
                <w:sz w:val="16"/>
              </w:rPr>
              <w:t>Login copy</w:t>
            </w:r>
            <w:r>
              <w:rPr>
                <w:sz w:val="16"/>
              </w:rPr>
              <w:t xml:space="preserve"> describes a different product: </w:t>
            </w:r>
            <w:r>
              <w:rPr>
                <w:sz w:val="16"/>
                <w:rtl/>
                <w:rFonts w:cs="Arial"/>
                <w:szCs w:val="16"/>
              </w:rPr>
              <w:t>‫«منصة أتمتة الوكلاء … بنية HiAgent متعددة الوكلاء · الإشراف البشري (HITL)»‬</w:t>
            </w:r>
            <w:r>
              <w:rPr>
                <w:sz w:val="16"/>
              </w:rPr>
              <w:t xml:space="preserve">, English pills (Orchestrator, Ingestion, </w:t>
            </w:r>
            <w:r>
              <w:rPr>
                <w:b/>
                <w:sz w:val="16"/>
              </w:rPr>
              <w:t>OCR Extraction</w:t>
            </w:r>
            <w:r>
              <w:rPr>
                <w:sz w:val="16"/>
              </w:rPr>
              <w:t xml:space="preserve">, Normalization, Duplicates …), counters </w:t>
            </w:r>
            <w:r>
              <w:rPr>
                <w:sz w:val="16"/>
                <w:rtl/>
                <w:rFonts w:cs="Arial"/>
                <w:szCs w:val="16"/>
              </w:rPr>
              <w:t>‫«0 / 8 أنظمة مصدرية متصلة»‬</w:t>
            </w:r>
            <w:r>
              <w:rPr>
                <w:sz w:val="16"/>
              </w:rPr>
              <w:t xml:space="preserve"> and </w:t>
            </w:r>
            <w:r>
              <w:rPr>
                <w:sz w:val="16"/>
                <w:rtl/>
                <w:rFonts w:cs="Arial"/>
                <w:szCs w:val="16"/>
              </w:rPr>
              <w:t>‫«386 فاتورة تجريبية»‬</w:t>
            </w:r>
            <w:r>
              <w:rPr>
                <w:sz w:val="16"/>
              </w:rPr>
              <w:t>, emoji, and the demo passwords printed on the page. Verified (UI)</w:t>
            </w:r>
          </w:p>
        </w:tc>
        <w:tc>
          <w:tcPr>
            <w:tcW w:type="dxa" w:w="2723"/>
            <w:shd w:val="clear" w:color="auto" w:fill="F9FAFB"/>
          </w:tcPr>
          <w:p>
            <w:pPr>
              <w:spacing w:after="0" w:line="252" w:lineRule="auto"/>
            </w:pPr>
            <w:r>
              <w:rPr>
                <w:sz w:val="16"/>
              </w:rPr>
              <w:t>Login, all pages</w:t>
            </w:r>
          </w:p>
        </w:tc>
        <w:tc>
          <w:tcPr>
            <w:tcW w:type="dxa" w:w="1159"/>
            <w:shd w:val="clear" w:color="auto" w:fill="F9FAFB"/>
          </w:tcPr>
          <w:p>
            <w:pPr>
              <w:spacing w:after="0" w:line="252" w:lineRule="auto"/>
            </w:pPr>
            <w:r>
              <w:rPr>
                <w:b/>
                <w:sz w:val="16"/>
              </w:rPr>
              <w:t>P1</w:t>
            </w:r>
          </w:p>
        </w:tc>
        <w:tc>
          <w:tcPr>
            <w:tcW w:type="dxa" w:w="3328"/>
            <w:shd w:val="clear" w:color="auto" w:fill="F9FAFB"/>
          </w:tcPr>
          <w:p>
            <w:pPr>
              <w:spacing w:after="0" w:line="252" w:lineRule="auto"/>
            </w:pPr>
            <w:r>
              <w:rPr>
                <w:sz w:val="16"/>
              </w:rPr>
              <w:t>Rewrite the login hero for the revenue-intelligence purpose; remove claims the product does not support (OCR); apply §10.2/§10.3.</w:t>
            </w:r>
          </w:p>
        </w:tc>
      </w:tr>
      <w:tr>
        <w:trPr>
          <w:cantSplit/>
        </w:trPr>
        <w:tc>
          <w:tcPr>
            <w:tcW w:type="dxa" w:w="1159"/>
          </w:tcPr>
          <w:p>
            <w:pPr>
              <w:spacing w:after="0" w:line="252" w:lineRule="auto"/>
            </w:pPr>
            <w:r>
              <w:rPr>
                <w:b/>
                <w:sz w:val="16"/>
              </w:rPr>
              <w:t>G-23</w:t>
            </w:r>
          </w:p>
        </w:tc>
        <w:tc>
          <w:tcPr>
            <w:tcW w:type="dxa" w:w="3328"/>
          </w:tcPr>
          <w:p>
            <w:pPr>
              <w:spacing w:after="0" w:line="252" w:lineRule="auto"/>
            </w:pPr>
            <w:r>
              <w:rPr>
                <w:b/>
                <w:sz w:val="16"/>
              </w:rPr>
              <w:t>Reports and exports</w:t>
            </w:r>
            <w:r>
              <w:rPr>
                <w:sz w:val="16"/>
              </w:rPr>
              <w:t xml:space="preserve"> — not covered by the reference (§17.4-7)</w:t>
            </w:r>
          </w:p>
        </w:tc>
        <w:tc>
          <w:tcPr>
            <w:tcW w:type="dxa" w:w="3328"/>
          </w:tcPr>
          <w:p>
            <w:pPr>
              <w:spacing w:after="0" w:line="252" w:lineRule="auto"/>
            </w:pPr>
            <w:r>
              <w:rPr>
                <w:sz w:val="16"/>
              </w:rPr>
              <w:t xml:space="preserve">Word/PowerPoint/Excel: no logo, header/footer or page numbers; no font specified (application default, not Plex); PowerPoint tables 9 pt, cut to 11 rows (F-10); slide titles in </w:t>
            </w:r>
            <w:r>
              <w:rPr>
                <w:rFonts w:ascii="Consolas" w:hAnsi="Consolas" w:cs="Consolas"/>
                <w:color w:val="B42318"/>
                <w:sz w:val="15"/>
              </w:rPr>
              <w:t>1B8354</w:t>
            </w:r>
            <w:r>
              <w:rPr>
                <w:sz w:val="16"/>
              </w:rPr>
              <w:t xml:space="preserve"> (= SA 600 ✔), table header fill </w:t>
            </w:r>
            <w:r>
              <w:rPr>
                <w:rFonts w:ascii="Consolas" w:hAnsi="Consolas" w:cs="Consolas"/>
                <w:color w:val="B42318"/>
                <w:sz w:val="15"/>
              </w:rPr>
              <w:t>EFEFEF</w:t>
            </w:r>
            <w:r>
              <w:rPr>
                <w:sz w:val="16"/>
              </w:rPr>
              <w:t>; Excel unstyled</w:t>
            </w:r>
          </w:p>
        </w:tc>
        <w:tc>
          <w:tcPr>
            <w:tcW w:type="dxa" w:w="2723"/>
          </w:tcPr>
          <w:p>
            <w:pPr>
              <w:spacing w:after="0" w:line="252" w:lineRule="auto"/>
            </w:pPr>
            <w:r>
              <w:rPr>
                <w:sz w:val="16"/>
              </w:rPr>
              <w:t>exports</w:t>
            </w:r>
          </w:p>
        </w:tc>
        <w:tc>
          <w:tcPr>
            <w:tcW w:type="dxa" w:w="1159"/>
          </w:tcPr>
          <w:p>
            <w:pPr>
              <w:spacing w:after="0" w:line="252" w:lineRule="auto"/>
            </w:pPr>
            <w:r>
              <w:rPr>
                <w:b/>
                <w:sz w:val="16"/>
              </w:rPr>
              <w:t>P2 (Rec.)</w:t>
            </w:r>
          </w:p>
        </w:tc>
        <w:tc>
          <w:tcPr>
            <w:tcW w:type="dxa" w:w="3328"/>
          </w:tcPr>
          <w:p>
            <w:pPr>
              <w:spacing w:after="0" w:line="252" w:lineRule="auto"/>
            </w:pPr>
            <w:r>
              <w:rPr>
                <w:sz w:val="16"/>
              </w:rPr>
              <w:t>Define an export template from the same tokens once the logo and rules are available (§21).</w:t>
            </w:r>
          </w:p>
        </w:tc>
      </w:tr>
      <w:tr>
        <w:trPr>
          <w:cantSplit/>
        </w:trPr>
        <w:tc>
          <w:tcPr>
            <w:tcW w:type="dxa" w:w="1159"/>
            <w:shd w:val="clear" w:color="auto" w:fill="F9FAFB"/>
          </w:tcPr>
          <w:p>
            <w:pPr>
              <w:spacing w:after="0" w:line="252" w:lineRule="auto"/>
            </w:pPr>
            <w:r>
              <w:rPr>
                <w:b/>
                <w:sz w:val="16"/>
              </w:rPr>
              <w:t>G-24</w:t>
            </w:r>
          </w:p>
        </w:tc>
        <w:tc>
          <w:tcPr>
            <w:tcW w:type="dxa" w:w="3328"/>
            <w:shd w:val="clear" w:color="auto" w:fill="F9FAFB"/>
          </w:tcPr>
          <w:p>
            <w:pPr>
              <w:spacing w:after="0" w:line="252" w:lineRule="auto"/>
            </w:pPr>
            <w:r>
              <w:rPr>
                <w:b/>
                <w:sz w:val="16"/>
              </w:rPr>
              <w:t>Theme</w:t>
            </w:r>
            <w:r>
              <w:rPr>
                <w:sz w:val="16"/>
              </w:rPr>
              <w:t xml:space="preserve"> — not mentioned (§17.4-6)</w:t>
            </w:r>
          </w:p>
        </w:tc>
        <w:tc>
          <w:tcPr>
            <w:tcW w:type="dxa" w:w="3328"/>
            <w:shd w:val="clear" w:color="auto" w:fill="F9FAFB"/>
          </w:tcPr>
          <w:p>
            <w:pPr>
              <w:spacing w:after="0" w:line="252" w:lineRule="auto"/>
            </w:pPr>
            <w:r>
              <w:rPr>
                <w:sz w:val="16"/>
              </w:rPr>
              <w:t>Light + dark + system preference with a toggle (</w:t>
            </w:r>
            <w:r>
              <w:rPr>
                <w:rFonts w:ascii="Consolas" w:hAnsi="Consolas" w:cs="Consolas"/>
                <w:color w:val="B42318"/>
                <w:sz w:val="15"/>
              </w:rPr>
              <w:t>variables.css</w:t>
            </w:r>
            <w:r>
              <w:rPr>
                <w:sz w:val="16"/>
              </w:rPr>
              <w:t xml:space="preserve">, 4 </w:t>
            </w:r>
            <w:r>
              <w:rPr>
                <w:rFonts w:ascii="Consolas" w:hAnsi="Consolas" w:cs="Consolas"/>
                <w:color w:val="B42318"/>
                <w:sz w:val="15"/>
              </w:rPr>
              <w:t>prefers-color-scheme</w:t>
            </w:r>
            <w:r>
              <w:rPr>
                <w:sz w:val="16"/>
              </w:rPr>
              <w:t xml:space="preserve"> blocks); dark values are the prototype's, contrast not tested; glass panels (</w:t>
            </w:r>
            <w:r>
              <w:rPr>
                <w:rFonts w:ascii="Consolas" w:hAnsi="Consolas" w:cs="Consolas"/>
                <w:color w:val="B42318"/>
                <w:sz w:val="15"/>
              </w:rPr>
              <w:t>backdrop-filter: blur(10px)</w:t>
            </w:r>
            <w:r>
              <w:rPr>
                <w:sz w:val="16"/>
              </w:rPr>
              <w:t>) and decorative backgrounds (</w:t>
            </w:r>
            <w:r>
              <w:rPr>
                <w:rFonts w:ascii="Consolas" w:hAnsi="Consolas" w:cs="Consolas"/>
                <w:color w:val="B42318"/>
                <w:sz w:val="15"/>
              </w:rPr>
              <w:t>.bg-fx</w:t>
            </w:r>
            <w:r>
              <w:rPr>
                <w:sz w:val="16"/>
              </w:rPr>
              <w:t xml:space="preserve">, </w:t>
            </w:r>
            <w:r>
              <w:rPr>
                <w:rFonts w:ascii="Consolas" w:hAnsi="Consolas" w:cs="Consolas"/>
                <w:color w:val="B42318"/>
                <w:sz w:val="15"/>
              </w:rPr>
              <w:t>.bg-grid</w:t>
            </w:r>
            <w:r>
              <w:rPr>
                <w:sz w:val="16"/>
              </w:rPr>
              <w:t>)</w:t>
            </w:r>
          </w:p>
        </w:tc>
        <w:tc>
          <w:tcPr>
            <w:tcW w:type="dxa" w:w="2723"/>
            <w:shd w:val="clear" w:color="auto" w:fill="F9FAFB"/>
          </w:tcPr>
          <w:p>
            <w:pPr>
              <w:spacing w:after="0" w:line="252" w:lineRule="auto"/>
            </w:pPr>
            <w:r>
              <w:rPr>
                <w:sz w:val="16"/>
              </w:rPr>
              <w:t>global</w:t>
            </w:r>
          </w:p>
        </w:tc>
        <w:tc>
          <w:tcPr>
            <w:tcW w:type="dxa" w:w="1159"/>
            <w:shd w:val="clear" w:color="auto" w:fill="F9FAFB"/>
          </w:tcPr>
          <w:p>
            <w:pPr>
              <w:spacing w:after="0" w:line="252" w:lineRule="auto"/>
            </w:pPr>
            <w:r>
              <w:rPr>
                <w:b/>
                <w:sz w:val="16"/>
              </w:rPr>
              <w:t>P3</w:t>
            </w:r>
          </w:p>
        </w:tc>
        <w:tc>
          <w:tcPr>
            <w:tcW w:type="dxa" w:w="3328"/>
            <w:shd w:val="clear" w:color="auto" w:fill="F9FAFB"/>
          </w:tcPr>
          <w:p>
            <w:pPr>
              <w:spacing w:after="0" w:line="252" w:lineRule="auto"/>
            </w:pPr>
            <w:r>
              <w:rPr>
                <w:sz w:val="16"/>
              </w:rPr>
              <w:t>Ask whether dark mode is required (Q24); if kept, derive it from DGA Gray/SA 900-950 and test AA.</w:t>
            </w:r>
          </w:p>
        </w:tc>
      </w:tr>
      <w:tr>
        <w:trPr>
          <w:cantSplit/>
        </w:trPr>
        <w:tc>
          <w:tcPr>
            <w:tcW w:type="dxa" w:w="1159"/>
          </w:tcPr>
          <w:p>
            <w:pPr>
              <w:spacing w:after="0" w:line="252" w:lineRule="auto"/>
            </w:pPr>
            <w:r>
              <w:rPr>
                <w:b/>
                <w:sz w:val="16"/>
              </w:rPr>
              <w:t>G-25</w:t>
            </w:r>
          </w:p>
        </w:tc>
        <w:tc>
          <w:tcPr>
            <w:tcW w:type="dxa" w:w="3328"/>
          </w:tcPr>
          <w:p>
            <w:pPr>
              <w:spacing w:after="0" w:line="252" w:lineRule="auto"/>
            </w:pPr>
            <w:r>
              <w:rPr>
                <w:b/>
                <w:sz w:val="16"/>
              </w:rPr>
              <w:t>Brand string and title</w:t>
            </w:r>
            <w:r>
              <w:rPr>
                <w:sz w:val="16"/>
              </w:rPr>
              <w:t xml:space="preserve"> — consistent product naming ([Deck] "Consistent")</w:t>
            </w:r>
          </w:p>
        </w:tc>
        <w:tc>
          <w:tcPr>
            <w:tcW w:type="dxa" w:w="3328"/>
          </w:tcPr>
          <w:p>
            <w:pPr>
              <w:spacing w:after="0" w:line="252" w:lineRule="auto"/>
            </w:pPr>
            <w:r>
              <w:rPr>
                <w:sz w:val="16"/>
              </w:rPr>
              <w:t>Tab title «INTELLIBILL · AI Suite» on every page (</w:t>
            </w:r>
            <w:r>
              <w:rPr>
                <w:rFonts w:ascii="Consolas" w:hAnsi="Consolas" w:cs="Consolas"/>
                <w:color w:val="B42318"/>
                <w:sz w:val="15"/>
              </w:rPr>
              <w:t>index.html:6</w:t>
            </w:r>
            <w:r>
              <w:rPr>
                <w:sz w:val="16"/>
              </w:rPr>
              <w:t xml:space="preserve">, never updated per route); header </w:t>
            </w:r>
            <w:r>
              <w:rPr>
                <w:sz w:val="16"/>
                <w:rtl/>
                <w:rFonts w:cs="Arial"/>
                <w:szCs w:val="16"/>
              </w:rPr>
              <w:t>‫«منصة الفواتير الذكية»‬</w:t>
            </w:r>
            <w:r>
              <w:rPr>
                <w:sz w:val="16"/>
              </w:rPr>
              <w:t xml:space="preserve">; </w:t>
            </w:r>
            <w:r>
              <w:rPr>
                <w:rFonts w:ascii="Consolas" w:hAnsi="Consolas" w:cs="Consolas"/>
                <w:color w:val="B42318"/>
                <w:sz w:val="15"/>
              </w:rPr>
              <w:t>Layout.pageTitle</w:t>
            </w:r>
            <w:r>
              <w:rPr>
                <w:sz w:val="16"/>
              </w:rPr>
              <w:t xml:space="preserve"> falls back to "INTELLIBILL" for Sanad/investment routes</w:t>
            </w:r>
          </w:p>
        </w:tc>
        <w:tc>
          <w:tcPr>
            <w:tcW w:type="dxa" w:w="2723"/>
          </w:tcPr>
          <w:p>
            <w:pPr>
              <w:spacing w:after="0" w:line="252" w:lineRule="auto"/>
            </w:pPr>
            <w:r>
              <w:rPr>
                <w:sz w:val="16"/>
              </w:rPr>
              <w:t>all</w:t>
            </w:r>
          </w:p>
        </w:tc>
        <w:tc>
          <w:tcPr>
            <w:tcW w:type="dxa" w:w="1159"/>
          </w:tcPr>
          <w:p>
            <w:pPr>
              <w:spacing w:after="0" w:line="252" w:lineRule="auto"/>
            </w:pPr>
            <w:r>
              <w:rPr>
                <w:b/>
                <w:sz w:val="16"/>
              </w:rPr>
              <w:t>P2</w:t>
            </w:r>
          </w:p>
        </w:tc>
        <w:tc>
          <w:tcPr>
            <w:tcW w:type="dxa" w:w="3328"/>
          </w:tcPr>
          <w:p>
            <w:pPr>
              <w:spacing w:after="0" w:line="252" w:lineRule="auto"/>
            </w:pPr>
            <w:r>
              <w:rPr>
                <w:sz w:val="16"/>
              </w:rPr>
              <w:t xml:space="preserve">One product name; per-route document titles </w:t>
            </w:r>
            <w:r>
              <w:rPr>
                <w:sz w:val="16"/>
                <w:rtl/>
                <w:rFonts w:cs="Arial"/>
                <w:szCs w:val="16"/>
              </w:rPr>
              <w:t>‫«{الصفحة} — {المنتج}»‬</w:t>
            </w:r>
            <w:r>
              <w:rPr>
                <w:sz w:val="16"/>
              </w:rPr>
              <w:t>.</w:t>
            </w:r>
          </w:p>
        </w:tc>
      </w:tr>
      <w:tr>
        <w:trPr>
          <w:cantSplit/>
        </w:trPr>
        <w:tc>
          <w:tcPr>
            <w:tcW w:type="dxa" w:w="1159"/>
            <w:shd w:val="clear" w:color="auto" w:fill="F9FAFB"/>
          </w:tcPr>
          <w:p>
            <w:pPr>
              <w:spacing w:after="0" w:line="252" w:lineRule="auto"/>
            </w:pPr>
            <w:r>
              <w:rPr>
                <w:b/>
                <w:sz w:val="16"/>
              </w:rPr>
              <w:t>G-26</w:t>
            </w:r>
          </w:p>
        </w:tc>
        <w:tc>
          <w:tcPr>
            <w:tcW w:type="dxa" w:w="3328"/>
            <w:shd w:val="clear" w:color="auto" w:fill="F9FAFB"/>
          </w:tcPr>
          <w:p>
            <w:pPr>
              <w:spacing w:after="0" w:line="252" w:lineRule="auto"/>
            </w:pPr>
            <w:r>
              <w:rPr>
                <w:b/>
                <w:sz w:val="16"/>
              </w:rPr>
              <w:t>Radius / elevation</w:t>
            </w:r>
            <w:r>
              <w:rPr>
                <w:sz w:val="16"/>
              </w:rPr>
              <w:t xml:space="preserve"> — flexible ("radius, density, optional accents") ([Deck] p.6)</w:t>
            </w:r>
          </w:p>
        </w:tc>
        <w:tc>
          <w:tcPr>
            <w:tcW w:type="dxa" w:w="3328"/>
            <w:shd w:val="clear" w:color="auto" w:fill="F9FAFB"/>
          </w:tcPr>
          <w:p>
            <w:pPr>
              <w:spacing w:after="0" w:line="252" w:lineRule="auto"/>
            </w:pPr>
            <w:r>
              <w:rPr>
                <w:sz w:val="16"/>
              </w:rPr>
              <w:t>8 radius values; cards translucent (</w:t>
            </w:r>
            <w:r>
              <w:rPr>
                <w:rFonts w:ascii="Consolas" w:hAnsi="Consolas" w:cs="Consolas"/>
                <w:color w:val="B42318"/>
                <w:sz w:val="15"/>
              </w:rPr>
              <w:t>rgba(255,255,255,.72)</w:t>
            </w:r>
            <w:r>
              <w:rPr>
                <w:sz w:val="16"/>
              </w:rPr>
              <w:t>), hairline brand-tinted borders, no shadow</w:t>
            </w:r>
          </w:p>
        </w:tc>
        <w:tc>
          <w:tcPr>
            <w:tcW w:type="dxa" w:w="2723"/>
            <w:shd w:val="clear" w:color="auto" w:fill="F9FAFB"/>
          </w:tcPr>
          <w:p>
            <w:pPr>
              <w:spacing w:after="0" w:line="252" w:lineRule="auto"/>
            </w:pPr>
            <w:r>
              <w:rPr>
                <w:sz w:val="16"/>
              </w:rPr>
              <w:t>global</w:t>
            </w:r>
          </w:p>
        </w:tc>
        <w:tc>
          <w:tcPr>
            <w:tcW w:type="dxa" w:w="1159"/>
            <w:shd w:val="clear" w:color="auto" w:fill="F9FAFB"/>
          </w:tcPr>
          <w:p>
            <w:pPr>
              <w:spacing w:after="0" w:line="252" w:lineRule="auto"/>
            </w:pPr>
            <w:r>
              <w:rPr>
                <w:b/>
                <w:sz w:val="16"/>
              </w:rPr>
              <w:t>P3</w:t>
            </w:r>
          </w:p>
        </w:tc>
        <w:tc>
          <w:tcPr>
            <w:tcW w:type="dxa" w:w="3328"/>
            <w:shd w:val="clear" w:color="auto" w:fill="F9FAFB"/>
          </w:tcPr>
          <w:p>
            <w:pPr>
              <w:spacing w:after="0" w:line="252" w:lineRule="auto"/>
            </w:pPr>
            <w:r>
              <w:rPr>
                <w:sz w:val="16"/>
              </w:rPr>
              <w:t>Fix three radii (control, card, pill) as product tokens; confirm elevation with the DGA page (not read).</w:t>
            </w:r>
          </w:p>
        </w:tc>
      </w:tr>
    </w:tbl>
    <w:p>
      <w:pPr>
        <w:spacing w:after="40"/>
      </w:pPr>
    </w:p>
    <w:p>
      <w:r>
        <w:rPr>
          <w:b/>
        </w:rPr>
        <w:t>Positive alignments worth keeping</w:t>
      </w:r>
      <w:r>
        <w:t xml:space="preserve"> (so they are not "fixed" by accident): primary </w:t>
      </w:r>
      <w:r>
        <w:rPr>
          <w:rFonts w:ascii="Consolas" w:hAnsi="Consolas" w:cs="Consolas"/>
          <w:color w:val="B42318"/>
          <w:sz w:val="19"/>
        </w:rPr>
        <w:t>#1B8354</w:t>
      </w:r>
      <w:r>
        <w:t xml:space="preserve"> = SA 600; IBM Plex Sans Arabic as the Arabic face; RTL/</w:t>
      </w:r>
      <w:r>
        <w:rPr>
          <w:rFonts w:ascii="Consolas" w:hAnsi="Consolas" w:cs="Consolas"/>
          <w:color w:val="B42318"/>
          <w:sz w:val="19"/>
        </w:rPr>
        <w:t>lang</w:t>
      </w:r>
      <w:r>
        <w:t xml:space="preserve">; every control has an accessible name and every field a label; </w:t>
      </w:r>
      <w:r>
        <w:rPr>
          <w:rFonts w:ascii="Consolas" w:hAnsi="Consolas" w:cs="Consolas"/>
          <w:color w:val="B42318"/>
          <w:sz w:val="19"/>
        </w:rPr>
        <w:t>prefers-reduced-motion</w:t>
      </w:r>
      <w:r>
        <w:t xml:space="preserve"> rules exist in 4 stylesheets; skeleton loaders; honest AI labelling; no horizontal page overflow at 1,280/390 px.</w:t>
      </w:r>
    </w:p>
    <w:p>
      <w:pPr>
        <w:pStyle w:val="Heading2"/>
      </w:pPr>
      <w:r>
        <w:t>20. Proposed shared design system (for review — not implemented)</w:t>
      </w:r>
    </w:p>
    <w:p>
      <w:r>
        <w:t xml:space="preserve">Principles: </w:t>
      </w:r>
      <w:r>
        <w:rPr>
          <w:b/>
        </w:rPr>
        <w:t>DGA fixed → product tokens flexible → AI extensions added</w:t>
      </w:r>
      <w:r>
        <w:t xml:space="preserve">, exactly the deck's three layers. Everything below is a </w:t>
      </w:r>
      <w:r>
        <w:rPr>
          <w:i/>
        </w:rPr>
        <w:t>proposal</w:t>
      </w:r>
      <w:r>
        <w:t xml:space="preserve"> (Rec.) except values copied from the reference.</w:t>
      </w:r>
    </w:p>
    <w:p>
      <w:pPr>
        <w:pStyle w:val="Heading3"/>
      </w:pPr>
      <w:r>
        <w:t>20.1 Colour tokens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088"/>
        <w:gridCol w:w="5997"/>
        <w:gridCol w:w="2223"/>
        <w:gridCol w:w="4715"/>
      </w:tblGrid>
      <w:tr>
        <w:trPr>
          <w:tblHeader w:val="true"/>
          <w:cantSplit/>
        </w:trPr>
        <w:tc>
          <w:tcPr>
            <w:tcW w:type="dxa" w:w="2088"/>
            <w:shd w:val="clear" w:color="auto" w:fill="1B8354"/>
          </w:tcPr>
          <w:p>
            <w:pPr>
              <w:spacing w:after="0" w:line="252" w:lineRule="auto"/>
            </w:pPr>
            <w:r>
              <w:rPr>
                <w:b/>
                <w:color w:val="FFFFFF"/>
                <w:sz w:val="17"/>
              </w:rPr>
              <w:t>Role</w:t>
            </w:r>
          </w:p>
        </w:tc>
        <w:tc>
          <w:tcPr>
            <w:tcW w:type="dxa" w:w="5997"/>
            <w:shd w:val="clear" w:color="auto" w:fill="1B8354"/>
          </w:tcPr>
          <w:p>
            <w:pPr>
              <w:spacing w:after="0" w:line="252" w:lineRule="auto"/>
            </w:pPr>
            <w:r>
              <w:rPr>
                <w:b/>
                <w:color w:val="FFFFFF"/>
                <w:sz w:val="17"/>
              </w:rPr>
              <w:t>Proposed token → value</w:t>
            </w:r>
          </w:p>
        </w:tc>
        <w:tc>
          <w:tcPr>
            <w:tcW w:type="dxa" w:w="2223"/>
            <w:shd w:val="clear" w:color="auto" w:fill="1B8354"/>
          </w:tcPr>
          <w:p>
            <w:pPr>
              <w:spacing w:after="0" w:line="252" w:lineRule="auto"/>
            </w:pPr>
            <w:r>
              <w:rPr>
                <w:b/>
                <w:color w:val="FFFFFF"/>
                <w:sz w:val="17"/>
              </w:rPr>
              <w:t>Basis</w:t>
            </w:r>
          </w:p>
        </w:tc>
        <w:tc>
          <w:tcPr>
            <w:tcW w:type="dxa" w:w="4715"/>
            <w:shd w:val="clear" w:color="auto" w:fill="1B8354"/>
          </w:tcPr>
          <w:p>
            <w:pPr>
              <w:spacing w:after="0" w:line="252" w:lineRule="auto"/>
            </w:pPr>
            <w:r>
              <w:rPr>
                <w:b/>
                <w:color w:val="FFFFFF"/>
                <w:sz w:val="17"/>
              </w:rPr>
              <w:t>Contrast note (computed)</w:t>
            </w:r>
          </w:p>
        </w:tc>
      </w:tr>
      <w:tr>
        <w:trPr>
          <w:cantSplit/>
        </w:trPr>
        <w:tc>
          <w:tcPr>
            <w:tcW w:type="dxa" w:w="2088"/>
          </w:tcPr>
          <w:p>
            <w:pPr>
              <w:spacing w:after="0" w:line="252" w:lineRule="auto"/>
            </w:pPr>
            <w:r>
              <w:rPr>
                <w:sz w:val="17"/>
              </w:rPr>
              <w:t>Brand / primary action</w:t>
            </w:r>
          </w:p>
        </w:tc>
        <w:tc>
          <w:tcPr>
            <w:tcW w:type="dxa" w:w="5997"/>
          </w:tcPr>
          <w:p>
            <w:pPr>
              <w:spacing w:after="0" w:line="252" w:lineRule="auto"/>
            </w:pPr>
            <w:r>
              <w:rPr>
                <w:rFonts w:ascii="Consolas" w:hAnsi="Consolas" w:cs="Consolas"/>
                <w:color w:val="B42318"/>
                <w:sz w:val="16"/>
              </w:rPr>
              <w:t>--color-primary</w:t>
            </w:r>
            <w:r>
              <w:rPr>
                <w:sz w:val="17"/>
              </w:rPr>
              <w:t xml:space="preserve"> = SA 600 </w:t>
            </w:r>
            <w:r>
              <w:rPr>
                <w:rFonts w:ascii="Consolas" w:hAnsi="Consolas" w:cs="Consolas"/>
                <w:color w:val="B42318"/>
                <w:sz w:val="16"/>
              </w:rPr>
              <w:t>#1B8354</w:t>
            </w:r>
            <w:r>
              <w:rPr>
                <w:sz w:val="17"/>
              </w:rPr>
              <w:t xml:space="preserve">; hover SA 700 </w:t>
            </w:r>
            <w:r>
              <w:rPr>
                <w:rFonts w:ascii="Consolas" w:hAnsi="Consolas" w:cs="Consolas"/>
                <w:color w:val="B42318"/>
                <w:sz w:val="16"/>
              </w:rPr>
              <w:t>#166A45</w:t>
            </w:r>
            <w:r>
              <w:rPr>
                <w:sz w:val="17"/>
              </w:rPr>
              <w:t xml:space="preserve">; pressed SA 800 </w:t>
            </w:r>
            <w:r>
              <w:rPr>
                <w:rFonts w:ascii="Consolas" w:hAnsi="Consolas" w:cs="Consolas"/>
                <w:color w:val="B42318"/>
                <w:sz w:val="16"/>
              </w:rPr>
              <w:t>#14573A</w:t>
            </w:r>
          </w:p>
        </w:tc>
        <w:tc>
          <w:tcPr>
            <w:tcW w:type="dxa" w:w="2223"/>
          </w:tcPr>
          <w:p>
            <w:pPr>
              <w:spacing w:after="0" w:line="252" w:lineRule="auto"/>
            </w:pPr>
            <w:r>
              <w:rPr>
                <w:sz w:val="17"/>
              </w:rPr>
              <w:t>[Deck]/[DGA]; unchanged from today</w:t>
            </w:r>
          </w:p>
        </w:tc>
        <w:tc>
          <w:tcPr>
            <w:tcW w:type="dxa" w:w="4715"/>
          </w:tcPr>
          <w:p>
            <w:pPr>
              <w:spacing w:after="0" w:line="252" w:lineRule="auto"/>
            </w:pPr>
            <w:r>
              <w:rPr>
                <w:sz w:val="17"/>
              </w:rPr>
              <w:t>white on SA 600 = 4.75:1 ✔</w:t>
            </w:r>
          </w:p>
        </w:tc>
      </w:tr>
      <w:tr>
        <w:trPr>
          <w:cantSplit/>
        </w:trPr>
        <w:tc>
          <w:tcPr>
            <w:tcW w:type="dxa" w:w="2088"/>
            <w:shd w:val="clear" w:color="auto" w:fill="F9FAFB"/>
          </w:tcPr>
          <w:p>
            <w:pPr>
              <w:spacing w:after="0" w:line="252" w:lineRule="auto"/>
            </w:pPr>
            <w:r>
              <w:rPr>
                <w:sz w:val="17"/>
              </w:rPr>
              <w:t>Link / small text in brand colour</w:t>
            </w:r>
          </w:p>
        </w:tc>
        <w:tc>
          <w:tcPr>
            <w:tcW w:type="dxa" w:w="5997"/>
            <w:shd w:val="clear" w:color="auto" w:fill="F9FAFB"/>
          </w:tcPr>
          <w:p>
            <w:pPr>
              <w:spacing w:after="0" w:line="252" w:lineRule="auto"/>
            </w:pPr>
            <w:r>
              <w:rPr>
                <w:sz w:val="17"/>
              </w:rPr>
              <w:t xml:space="preserve">SA 700 </w:t>
            </w:r>
            <w:r>
              <w:rPr>
                <w:rFonts w:ascii="Consolas" w:hAnsi="Consolas" w:cs="Consolas"/>
                <w:color w:val="B42318"/>
                <w:sz w:val="16"/>
              </w:rPr>
              <w:t>#166A45</w:t>
            </w:r>
          </w:p>
        </w:tc>
        <w:tc>
          <w:tcPr>
            <w:tcW w:type="dxa" w:w="2223"/>
            <w:shd w:val="clear" w:color="auto" w:fill="F9FAFB"/>
          </w:tcPr>
          <w:p>
            <w:pPr>
              <w:spacing w:after="0" w:line="252" w:lineRule="auto"/>
            </w:pPr>
            <w:r>
              <w:rPr>
                <w:sz w:val="17"/>
              </w:rPr>
              <w:t>Rec.</w:t>
            </w:r>
          </w:p>
        </w:tc>
        <w:tc>
          <w:tcPr>
            <w:tcW w:type="dxa" w:w="4715"/>
            <w:shd w:val="clear" w:color="auto" w:fill="F9FAFB"/>
          </w:tcPr>
          <w:p>
            <w:pPr>
              <w:spacing w:after="0" w:line="252" w:lineRule="auto"/>
            </w:pPr>
            <w:r>
              <w:rPr>
                <w:sz w:val="17"/>
              </w:rPr>
              <w:t>on white 6.60:1 ✔ (SA 600 on Gray 100 is only 4.32 ✖)</w:t>
            </w:r>
          </w:p>
        </w:tc>
      </w:tr>
      <w:tr>
        <w:trPr>
          <w:cantSplit/>
        </w:trPr>
        <w:tc>
          <w:tcPr>
            <w:tcW w:type="dxa" w:w="2088"/>
          </w:tcPr>
          <w:p>
            <w:pPr>
              <w:spacing w:after="0" w:line="252" w:lineRule="auto"/>
            </w:pPr>
            <w:r>
              <w:rPr>
                <w:sz w:val="17"/>
              </w:rPr>
              <w:t>Page background</w:t>
            </w:r>
          </w:p>
        </w:tc>
        <w:tc>
          <w:tcPr>
            <w:tcW w:type="dxa" w:w="5997"/>
          </w:tcPr>
          <w:p>
            <w:pPr>
              <w:spacing w:after="0" w:line="252" w:lineRule="auto"/>
            </w:pPr>
            <w:r>
              <w:rPr>
                <w:sz w:val="17"/>
              </w:rPr>
              <w:t xml:space="preserve">Gray 100 </w:t>
            </w:r>
            <w:r>
              <w:rPr>
                <w:rFonts w:ascii="Consolas" w:hAnsi="Consolas" w:cs="Consolas"/>
                <w:color w:val="B42318"/>
                <w:sz w:val="16"/>
              </w:rPr>
              <w:t>#F3F4F6</w:t>
            </w:r>
            <w:r>
              <w:rPr>
                <w:sz w:val="17"/>
              </w:rPr>
              <w:t xml:space="preserve"> (or SA 25/50 tint)</w:t>
            </w:r>
          </w:p>
        </w:tc>
        <w:tc>
          <w:tcPr>
            <w:tcW w:type="dxa" w:w="2223"/>
          </w:tcPr>
          <w:p>
            <w:pPr>
              <w:spacing w:after="0" w:line="252" w:lineRule="auto"/>
            </w:pPr>
            <w:r>
              <w:rPr>
                <w:sz w:val="17"/>
              </w:rPr>
              <w:t>[DGA] neutral</w:t>
            </w:r>
          </w:p>
        </w:tc>
        <w:tc>
          <w:tcPr>
            <w:tcW w:type="dxa" w:w="4715"/>
          </w:tcPr>
          <w:p>
            <w:pPr>
              <w:spacing w:after="0" w:line="252" w:lineRule="auto"/>
            </w:pPr>
            <w:r>
              <w:rPr>
                <w:sz w:val="17"/>
              </w:rPr>
              <w:t>–</w:t>
            </w:r>
          </w:p>
        </w:tc>
      </w:tr>
      <w:tr>
        <w:trPr>
          <w:cantSplit/>
        </w:trPr>
        <w:tc>
          <w:tcPr>
            <w:tcW w:type="dxa" w:w="2088"/>
            <w:shd w:val="clear" w:color="auto" w:fill="F9FAFB"/>
          </w:tcPr>
          <w:p>
            <w:pPr>
              <w:spacing w:after="0" w:line="252" w:lineRule="auto"/>
            </w:pPr>
            <w:r>
              <w:rPr>
                <w:sz w:val="17"/>
              </w:rPr>
              <w:t>Card/surface</w:t>
            </w:r>
          </w:p>
        </w:tc>
        <w:tc>
          <w:tcPr>
            <w:tcW w:type="dxa" w:w="5997"/>
            <w:shd w:val="clear" w:color="auto" w:fill="F9FAFB"/>
          </w:tcPr>
          <w:p>
            <w:pPr>
              <w:spacing w:after="0" w:line="252" w:lineRule="auto"/>
            </w:pPr>
            <w:r>
              <w:rPr>
                <w:sz w:val="17"/>
              </w:rPr>
              <w:t xml:space="preserve">White; Gray 50 </w:t>
            </w:r>
            <w:r>
              <w:rPr>
                <w:rFonts w:ascii="Consolas" w:hAnsi="Consolas" w:cs="Consolas"/>
                <w:color w:val="B42318"/>
                <w:sz w:val="16"/>
              </w:rPr>
              <w:t>#F9FAFB</w:t>
            </w:r>
          </w:p>
        </w:tc>
        <w:tc>
          <w:tcPr>
            <w:tcW w:type="dxa" w:w="2223"/>
            <w:shd w:val="clear" w:color="auto" w:fill="F9FAFB"/>
          </w:tcPr>
          <w:p>
            <w:pPr>
              <w:spacing w:after="0" w:line="252" w:lineRule="auto"/>
            </w:pPr>
            <w:r>
              <w:rPr>
                <w:sz w:val="17"/>
              </w:rPr>
              <w:t>[DGA]</w:t>
            </w:r>
          </w:p>
        </w:tc>
        <w:tc>
          <w:tcPr>
            <w:tcW w:type="dxa" w:w="4715"/>
            <w:shd w:val="clear" w:color="auto" w:fill="F9FAFB"/>
          </w:tcPr>
          <w:p>
            <w:pPr>
              <w:spacing w:after="0" w:line="252" w:lineRule="auto"/>
            </w:pPr>
            <w:r>
              <w:rPr>
                <w:sz w:val="17"/>
              </w:rPr>
              <w:t>–</w:t>
            </w:r>
          </w:p>
        </w:tc>
      </w:tr>
      <w:tr>
        <w:trPr>
          <w:cantSplit/>
        </w:trPr>
        <w:tc>
          <w:tcPr>
            <w:tcW w:type="dxa" w:w="2088"/>
          </w:tcPr>
          <w:p>
            <w:pPr>
              <w:spacing w:after="0" w:line="252" w:lineRule="auto"/>
            </w:pPr>
            <w:r>
              <w:rPr>
                <w:sz w:val="17"/>
              </w:rPr>
              <w:t>Border</w:t>
            </w:r>
          </w:p>
        </w:tc>
        <w:tc>
          <w:tcPr>
            <w:tcW w:type="dxa" w:w="5997"/>
          </w:tcPr>
          <w:p>
            <w:pPr>
              <w:spacing w:after="0" w:line="252" w:lineRule="auto"/>
            </w:pPr>
            <w:r>
              <w:rPr>
                <w:sz w:val="17"/>
              </w:rPr>
              <w:t xml:space="preserve">Gray 200 </w:t>
            </w:r>
            <w:r>
              <w:rPr>
                <w:rFonts w:ascii="Consolas" w:hAnsi="Consolas" w:cs="Consolas"/>
                <w:color w:val="B42318"/>
                <w:sz w:val="16"/>
              </w:rPr>
              <w:t>#E5E7EB</w:t>
            </w:r>
            <w:r>
              <w:rPr>
                <w:sz w:val="17"/>
              </w:rPr>
              <w:t xml:space="preserve">; strong Gray 300 </w:t>
            </w:r>
            <w:r>
              <w:rPr>
                <w:rFonts w:ascii="Consolas" w:hAnsi="Consolas" w:cs="Consolas"/>
                <w:color w:val="B42318"/>
                <w:sz w:val="16"/>
              </w:rPr>
              <w:t>#D2D6DB</w:t>
            </w:r>
          </w:p>
        </w:tc>
        <w:tc>
          <w:tcPr>
            <w:tcW w:type="dxa" w:w="2223"/>
          </w:tcPr>
          <w:p>
            <w:pPr>
              <w:spacing w:after="0" w:line="252" w:lineRule="auto"/>
            </w:pPr>
            <w:r>
              <w:rPr>
                <w:sz w:val="17"/>
              </w:rPr>
              <w:t>[DGA]</w:t>
            </w:r>
          </w:p>
        </w:tc>
        <w:tc>
          <w:tcPr>
            <w:tcW w:type="dxa" w:w="4715"/>
          </w:tcPr>
          <w:p>
            <w:pPr>
              <w:spacing w:after="0" w:line="252" w:lineRule="auto"/>
            </w:pPr>
            <w:r>
              <w:rPr>
                <w:sz w:val="17"/>
              </w:rPr>
              <w:t>–</w:t>
            </w:r>
          </w:p>
        </w:tc>
      </w:tr>
      <w:tr>
        <w:trPr>
          <w:cantSplit/>
        </w:trPr>
        <w:tc>
          <w:tcPr>
            <w:tcW w:type="dxa" w:w="2088"/>
            <w:shd w:val="clear" w:color="auto" w:fill="F9FAFB"/>
          </w:tcPr>
          <w:p>
            <w:pPr>
              <w:spacing w:after="0" w:line="252" w:lineRule="auto"/>
            </w:pPr>
            <w:r>
              <w:rPr>
                <w:sz w:val="17"/>
              </w:rPr>
              <w:t>Text strong</w:t>
            </w:r>
          </w:p>
        </w:tc>
        <w:tc>
          <w:tcPr>
            <w:tcW w:type="dxa" w:w="5997"/>
            <w:shd w:val="clear" w:color="auto" w:fill="F9FAFB"/>
          </w:tcPr>
          <w:p>
            <w:pPr>
              <w:spacing w:after="0" w:line="252" w:lineRule="auto"/>
            </w:pPr>
            <w:r>
              <w:rPr>
                <w:sz w:val="17"/>
              </w:rPr>
              <w:t xml:space="preserve">Gray 950 </w:t>
            </w:r>
            <w:r>
              <w:rPr>
                <w:rFonts w:ascii="Consolas" w:hAnsi="Consolas" w:cs="Consolas"/>
                <w:color w:val="B42318"/>
                <w:sz w:val="16"/>
              </w:rPr>
              <w:t>#0D121C</w:t>
            </w:r>
            <w:r>
              <w:rPr>
                <w:sz w:val="17"/>
              </w:rPr>
              <w:t xml:space="preserve"> (headings), Gray 900 </w:t>
            </w:r>
            <w:r>
              <w:rPr>
                <w:rFonts w:ascii="Consolas" w:hAnsi="Consolas" w:cs="Consolas"/>
                <w:color w:val="B42318"/>
                <w:sz w:val="16"/>
              </w:rPr>
              <w:t>#111927</w:t>
            </w:r>
          </w:p>
        </w:tc>
        <w:tc>
          <w:tcPr>
            <w:tcW w:type="dxa" w:w="2223"/>
            <w:shd w:val="clear" w:color="auto" w:fill="F9FAFB"/>
          </w:tcPr>
          <w:p>
            <w:pPr>
              <w:spacing w:after="0" w:line="252" w:lineRule="auto"/>
            </w:pPr>
            <w:r>
              <w:rPr>
                <w:sz w:val="17"/>
              </w:rPr>
              <w:t>[DGA] ("Gray 500/600/700/950 on light")</w:t>
            </w:r>
          </w:p>
        </w:tc>
        <w:tc>
          <w:tcPr>
            <w:tcW w:type="dxa" w:w="4715"/>
            <w:shd w:val="clear" w:color="auto" w:fill="F9FAFB"/>
          </w:tcPr>
          <w:p>
            <w:pPr>
              <w:spacing w:after="0" w:line="252" w:lineRule="auto"/>
            </w:pPr>
            <w:r>
              <w:rPr>
                <w:sz w:val="17"/>
              </w:rPr>
              <w:t>–</w:t>
            </w:r>
          </w:p>
        </w:tc>
      </w:tr>
      <w:tr>
        <w:trPr>
          <w:cantSplit/>
        </w:trPr>
        <w:tc>
          <w:tcPr>
            <w:tcW w:type="dxa" w:w="2088"/>
          </w:tcPr>
          <w:p>
            <w:pPr>
              <w:spacing w:after="0" w:line="252" w:lineRule="auto"/>
            </w:pPr>
            <w:r>
              <w:rPr>
                <w:sz w:val="17"/>
              </w:rPr>
              <w:t>Text body</w:t>
            </w:r>
          </w:p>
        </w:tc>
        <w:tc>
          <w:tcPr>
            <w:tcW w:type="dxa" w:w="5997"/>
          </w:tcPr>
          <w:p>
            <w:pPr>
              <w:spacing w:after="0" w:line="252" w:lineRule="auto"/>
            </w:pPr>
            <w:r>
              <w:rPr>
                <w:sz w:val="17"/>
              </w:rPr>
              <w:t xml:space="preserve">Gray 700 </w:t>
            </w:r>
            <w:r>
              <w:rPr>
                <w:rFonts w:ascii="Consolas" w:hAnsi="Consolas" w:cs="Consolas"/>
                <w:color w:val="B42318"/>
                <w:sz w:val="16"/>
              </w:rPr>
              <w:t>#384250</w:t>
            </w:r>
          </w:p>
        </w:tc>
        <w:tc>
          <w:tcPr>
            <w:tcW w:type="dxa" w:w="2223"/>
          </w:tcPr>
          <w:p>
            <w:pPr>
              <w:spacing w:after="0" w:line="252" w:lineRule="auto"/>
            </w:pPr>
            <w:r>
              <w:rPr>
                <w:sz w:val="17"/>
              </w:rPr>
              <w:t>[DGA]</w:t>
            </w:r>
          </w:p>
        </w:tc>
        <w:tc>
          <w:tcPr>
            <w:tcW w:type="dxa" w:w="4715"/>
          </w:tcPr>
          <w:p>
            <w:pPr>
              <w:spacing w:after="0" w:line="252" w:lineRule="auto"/>
            </w:pPr>
            <w:r>
              <w:rPr>
                <w:sz w:val="17"/>
              </w:rPr>
              <w:t>on Gray 100 9.25:1 ✔</w:t>
            </w:r>
          </w:p>
        </w:tc>
      </w:tr>
      <w:tr>
        <w:trPr>
          <w:cantSplit/>
        </w:trPr>
        <w:tc>
          <w:tcPr>
            <w:tcW w:type="dxa" w:w="2088"/>
            <w:shd w:val="clear" w:color="auto" w:fill="F9FAFB"/>
          </w:tcPr>
          <w:p>
            <w:pPr>
              <w:spacing w:after="0" w:line="252" w:lineRule="auto"/>
            </w:pPr>
            <w:r>
              <w:rPr>
                <w:sz w:val="17"/>
              </w:rPr>
              <w:t>Text muted</w:t>
            </w:r>
          </w:p>
        </w:tc>
        <w:tc>
          <w:tcPr>
            <w:tcW w:type="dxa" w:w="5997"/>
            <w:shd w:val="clear" w:color="auto" w:fill="F9FAFB"/>
          </w:tcPr>
          <w:p>
            <w:pPr>
              <w:spacing w:after="0" w:line="252" w:lineRule="auto"/>
            </w:pPr>
            <w:r>
              <w:rPr>
                <w:sz w:val="17"/>
              </w:rPr>
              <w:t xml:space="preserve">Gray 600 </w:t>
            </w:r>
            <w:r>
              <w:rPr>
                <w:rFonts w:ascii="Consolas" w:hAnsi="Consolas" w:cs="Consolas"/>
                <w:color w:val="B42318"/>
                <w:sz w:val="16"/>
              </w:rPr>
              <w:t>#4D5761</w:t>
            </w:r>
            <w:r>
              <w:rPr>
                <w:sz w:val="17"/>
              </w:rPr>
              <w:t xml:space="preserve"> (not Gray 500 on tinted surfaces)</w:t>
            </w:r>
          </w:p>
        </w:tc>
        <w:tc>
          <w:tcPr>
            <w:tcW w:type="dxa" w:w="2223"/>
            <w:shd w:val="clear" w:color="auto" w:fill="F9FAFB"/>
          </w:tcPr>
          <w:p>
            <w:pPr>
              <w:spacing w:after="0" w:line="252" w:lineRule="auto"/>
            </w:pPr>
            <w:r>
              <w:rPr>
                <w:sz w:val="17"/>
              </w:rPr>
              <w:t>Rec.</w:t>
            </w:r>
          </w:p>
        </w:tc>
        <w:tc>
          <w:tcPr>
            <w:tcW w:type="dxa" w:w="4715"/>
            <w:shd w:val="clear" w:color="auto" w:fill="F9FAFB"/>
          </w:tcPr>
          <w:p>
            <w:pPr>
              <w:spacing w:after="0" w:line="252" w:lineRule="auto"/>
            </w:pPr>
            <w:r>
              <w:rPr>
                <w:sz w:val="17"/>
              </w:rPr>
              <w:t>Gray 600 on Gray 100 6.69:1 ✔; Gray 500 on Gray 100 4.34 ✖</w:t>
            </w:r>
          </w:p>
        </w:tc>
      </w:tr>
      <w:tr>
        <w:trPr>
          <w:cantSplit/>
        </w:trPr>
        <w:tc>
          <w:tcPr>
            <w:tcW w:type="dxa" w:w="2088"/>
          </w:tcPr>
          <w:p>
            <w:pPr>
              <w:spacing w:after="0" w:line="252" w:lineRule="auto"/>
            </w:pPr>
            <w:r>
              <w:rPr>
                <w:sz w:val="17"/>
              </w:rPr>
              <w:t>Success</w:t>
            </w:r>
          </w:p>
        </w:tc>
        <w:tc>
          <w:tcPr>
            <w:tcW w:type="dxa" w:w="5997"/>
          </w:tcPr>
          <w:p>
            <w:pPr>
              <w:spacing w:after="0" w:line="252" w:lineRule="auto"/>
            </w:pPr>
            <w:r>
              <w:rPr>
                <w:sz w:val="17"/>
              </w:rPr>
              <w:t xml:space="preserve">icon/border Success 600 </w:t>
            </w:r>
            <w:r>
              <w:rPr>
                <w:rFonts w:ascii="Consolas" w:hAnsi="Consolas" w:cs="Consolas"/>
                <w:color w:val="B42318"/>
                <w:sz w:val="16"/>
              </w:rPr>
              <w:t>#079455</w:t>
            </w:r>
            <w:r>
              <w:rPr>
                <w:sz w:val="17"/>
              </w:rPr>
              <w:t xml:space="preserve">; text Success 700 </w:t>
            </w:r>
            <w:r>
              <w:rPr>
                <w:rFonts w:ascii="Consolas" w:hAnsi="Consolas" w:cs="Consolas"/>
                <w:color w:val="B42318"/>
                <w:sz w:val="16"/>
              </w:rPr>
              <w:t>#067647</w:t>
            </w:r>
            <w:r>
              <w:rPr>
                <w:sz w:val="17"/>
              </w:rPr>
              <w:t xml:space="preserve"> on Success 50</w:t>
            </w:r>
          </w:p>
        </w:tc>
        <w:tc>
          <w:tcPr>
            <w:tcW w:type="dxa" w:w="2223"/>
          </w:tcPr>
          <w:p>
            <w:pPr>
              <w:spacing w:after="0" w:line="252" w:lineRule="auto"/>
            </w:pPr>
            <w:r>
              <w:rPr>
                <w:sz w:val="17"/>
              </w:rPr>
              <w:t>[DGA]</w:t>
            </w:r>
          </w:p>
        </w:tc>
        <w:tc>
          <w:tcPr>
            <w:tcW w:type="dxa" w:w="4715"/>
          </w:tcPr>
          <w:p>
            <w:pPr>
              <w:spacing w:after="0" w:line="252" w:lineRule="auto"/>
            </w:pPr>
            <w:r>
              <w:rPr>
                <w:sz w:val="17"/>
              </w:rPr>
              <w:t>5.40:1 ✔; white on Success 600 only 3.91 ✖ → use dark text or Success 700 fill</w:t>
            </w:r>
          </w:p>
        </w:tc>
      </w:tr>
      <w:tr>
        <w:trPr>
          <w:cantSplit/>
        </w:trPr>
        <w:tc>
          <w:tcPr>
            <w:tcW w:type="dxa" w:w="2088"/>
            <w:shd w:val="clear" w:color="auto" w:fill="F9FAFB"/>
          </w:tcPr>
          <w:p>
            <w:pPr>
              <w:spacing w:after="0" w:line="252" w:lineRule="auto"/>
            </w:pPr>
            <w:r>
              <w:rPr>
                <w:sz w:val="17"/>
              </w:rPr>
              <w:t>Warning</w:t>
            </w:r>
          </w:p>
        </w:tc>
        <w:tc>
          <w:tcPr>
            <w:tcW w:type="dxa" w:w="5997"/>
            <w:shd w:val="clear" w:color="auto" w:fill="F9FAFB"/>
          </w:tcPr>
          <w:p>
            <w:pPr>
              <w:spacing w:after="0" w:line="252" w:lineRule="auto"/>
            </w:pPr>
            <w:r>
              <w:rPr>
                <w:sz w:val="17"/>
              </w:rPr>
              <w:t xml:space="preserve">icon Warning 500 </w:t>
            </w:r>
            <w:r>
              <w:rPr>
                <w:rFonts w:ascii="Consolas" w:hAnsi="Consolas" w:cs="Consolas"/>
                <w:color w:val="B42318"/>
                <w:sz w:val="16"/>
              </w:rPr>
              <w:t>#F79009</w:t>
            </w:r>
            <w:r>
              <w:rPr>
                <w:sz w:val="17"/>
              </w:rPr>
              <w:t xml:space="preserve">; text Warning 700 </w:t>
            </w:r>
            <w:r>
              <w:rPr>
                <w:rFonts w:ascii="Consolas" w:hAnsi="Consolas" w:cs="Consolas"/>
                <w:color w:val="B42318"/>
                <w:sz w:val="16"/>
              </w:rPr>
              <w:t>#B54708</w:t>
            </w:r>
            <w:r>
              <w:rPr>
                <w:sz w:val="17"/>
              </w:rPr>
              <w:t xml:space="preserve"> on Warning 50</w:t>
            </w:r>
          </w:p>
        </w:tc>
        <w:tc>
          <w:tcPr>
            <w:tcW w:type="dxa" w:w="2223"/>
            <w:shd w:val="clear" w:color="auto" w:fill="F9FAFB"/>
          </w:tcPr>
          <w:p>
            <w:pPr>
              <w:spacing w:after="0" w:line="252" w:lineRule="auto"/>
            </w:pPr>
            <w:r>
              <w:rPr>
                <w:sz w:val="17"/>
              </w:rPr>
              <w:t>[DGA]</w:t>
            </w:r>
          </w:p>
        </w:tc>
        <w:tc>
          <w:tcPr>
            <w:tcW w:type="dxa" w:w="4715"/>
            <w:shd w:val="clear" w:color="auto" w:fill="F9FAFB"/>
          </w:tcPr>
          <w:p>
            <w:pPr>
              <w:spacing w:after="0" w:line="252" w:lineRule="auto"/>
            </w:pPr>
            <w:r>
              <w:rPr>
                <w:sz w:val="17"/>
              </w:rPr>
              <w:t>5.20:1 ✔</w:t>
            </w:r>
          </w:p>
        </w:tc>
      </w:tr>
      <w:tr>
        <w:trPr>
          <w:cantSplit/>
        </w:trPr>
        <w:tc>
          <w:tcPr>
            <w:tcW w:type="dxa" w:w="2088"/>
          </w:tcPr>
          <w:p>
            <w:pPr>
              <w:spacing w:after="0" w:line="252" w:lineRule="auto"/>
            </w:pPr>
            <w:r>
              <w:rPr>
                <w:sz w:val="17"/>
              </w:rPr>
              <w:t>Danger</w:t>
            </w:r>
          </w:p>
        </w:tc>
        <w:tc>
          <w:tcPr>
            <w:tcW w:type="dxa" w:w="5997"/>
          </w:tcPr>
          <w:p>
            <w:pPr>
              <w:spacing w:after="0" w:line="252" w:lineRule="auto"/>
            </w:pPr>
            <w:r>
              <w:rPr>
                <w:sz w:val="17"/>
              </w:rPr>
              <w:t xml:space="preserve">Error 600 </w:t>
            </w:r>
            <w:r>
              <w:rPr>
                <w:rFonts w:ascii="Consolas" w:hAnsi="Consolas" w:cs="Consolas"/>
                <w:color w:val="B42318"/>
                <w:sz w:val="16"/>
              </w:rPr>
              <w:t>#D92D20</w:t>
            </w:r>
            <w:r>
              <w:rPr>
                <w:sz w:val="17"/>
              </w:rPr>
              <w:t xml:space="preserve"> (fill/icon); text Error 700 </w:t>
            </w:r>
            <w:r>
              <w:rPr>
                <w:rFonts w:ascii="Consolas" w:hAnsi="Consolas" w:cs="Consolas"/>
                <w:color w:val="B42318"/>
                <w:sz w:val="16"/>
              </w:rPr>
              <w:t>#B42318</w:t>
            </w:r>
            <w:r>
              <w:rPr>
                <w:sz w:val="17"/>
              </w:rPr>
              <w:t xml:space="preserve"> on Error 50</w:t>
            </w:r>
          </w:p>
        </w:tc>
        <w:tc>
          <w:tcPr>
            <w:tcW w:type="dxa" w:w="2223"/>
          </w:tcPr>
          <w:p>
            <w:pPr>
              <w:spacing w:after="0" w:line="252" w:lineRule="auto"/>
            </w:pPr>
            <w:r>
              <w:rPr>
                <w:sz w:val="17"/>
              </w:rPr>
              <w:t>[DGA]</w:t>
            </w:r>
          </w:p>
        </w:tc>
        <w:tc>
          <w:tcPr>
            <w:tcW w:type="dxa" w:w="4715"/>
          </w:tcPr>
          <w:p>
            <w:pPr>
              <w:spacing w:after="0" w:line="252" w:lineRule="auto"/>
            </w:pPr>
            <w:r>
              <w:rPr>
                <w:sz w:val="17"/>
              </w:rPr>
              <w:t>6.05:1 ✔ (Error 600 on Gray 100 = 4.39 ✖ for small text)</w:t>
            </w:r>
          </w:p>
        </w:tc>
      </w:tr>
      <w:tr>
        <w:trPr>
          <w:cantSplit/>
        </w:trPr>
        <w:tc>
          <w:tcPr>
            <w:tcW w:type="dxa" w:w="2088"/>
            <w:shd w:val="clear" w:color="auto" w:fill="F9FAFB"/>
          </w:tcPr>
          <w:p>
            <w:pPr>
              <w:spacing w:after="0" w:line="252" w:lineRule="auto"/>
            </w:pPr>
            <w:r>
              <w:rPr>
                <w:sz w:val="17"/>
              </w:rPr>
              <w:t>Info</w:t>
            </w:r>
          </w:p>
        </w:tc>
        <w:tc>
          <w:tcPr>
            <w:tcW w:type="dxa" w:w="5997"/>
            <w:shd w:val="clear" w:color="auto" w:fill="F9FAFB"/>
          </w:tcPr>
          <w:p>
            <w:pPr>
              <w:spacing w:after="0" w:line="252" w:lineRule="auto"/>
            </w:pPr>
            <w:r>
              <w:rPr>
                <w:sz w:val="17"/>
              </w:rPr>
              <w:t xml:space="preserve">Info 600 </w:t>
            </w:r>
            <w:r>
              <w:rPr>
                <w:rFonts w:ascii="Consolas" w:hAnsi="Consolas" w:cs="Consolas"/>
                <w:color w:val="B42318"/>
                <w:sz w:val="16"/>
              </w:rPr>
              <w:t>#1570EF</w:t>
            </w:r>
            <w:r>
              <w:rPr>
                <w:sz w:val="17"/>
              </w:rPr>
              <w:t xml:space="preserve">; text Info 700 </w:t>
            </w:r>
            <w:r>
              <w:rPr>
                <w:rFonts w:ascii="Consolas" w:hAnsi="Consolas" w:cs="Consolas"/>
                <w:color w:val="B42318"/>
                <w:sz w:val="16"/>
              </w:rPr>
              <w:t>#175CD3</w:t>
            </w:r>
            <w:r>
              <w:rPr>
                <w:sz w:val="17"/>
              </w:rPr>
              <w:t xml:space="preserve"> on Info 25</w:t>
            </w:r>
          </w:p>
        </w:tc>
        <w:tc>
          <w:tcPr>
            <w:tcW w:type="dxa" w:w="2223"/>
            <w:shd w:val="clear" w:color="auto" w:fill="F9FAFB"/>
          </w:tcPr>
          <w:p>
            <w:pPr>
              <w:spacing w:after="0" w:line="252" w:lineRule="auto"/>
            </w:pPr>
            <w:r>
              <w:rPr>
                <w:sz w:val="17"/>
              </w:rPr>
              <w:t>[DGA]</w:t>
            </w:r>
          </w:p>
        </w:tc>
        <w:tc>
          <w:tcPr>
            <w:tcW w:type="dxa" w:w="4715"/>
            <w:shd w:val="clear" w:color="auto" w:fill="F9FAFB"/>
          </w:tcPr>
          <w:p>
            <w:pPr>
              <w:spacing w:after="0" w:line="252" w:lineRule="auto"/>
            </w:pPr>
            <w:r>
              <w:rPr>
                <w:sz w:val="17"/>
              </w:rPr>
              <w:t>5.70:1 ✔</w:t>
            </w:r>
          </w:p>
        </w:tc>
      </w:tr>
      <w:tr>
        <w:trPr>
          <w:cantSplit/>
        </w:trPr>
        <w:tc>
          <w:tcPr>
            <w:tcW w:type="dxa" w:w="2088"/>
          </w:tcPr>
          <w:p>
            <w:pPr>
              <w:spacing w:after="0" w:line="252" w:lineRule="auto"/>
            </w:pPr>
            <w:r>
              <w:rPr>
                <w:sz w:val="17"/>
              </w:rPr>
              <w:t>Focus ring</w:t>
            </w:r>
          </w:p>
        </w:tc>
        <w:tc>
          <w:tcPr>
            <w:tcW w:type="dxa" w:w="5997"/>
          </w:tcPr>
          <w:p>
            <w:pPr>
              <w:spacing w:after="0" w:line="252" w:lineRule="auto"/>
            </w:pPr>
            <w:r>
              <w:rPr>
                <w:sz w:val="17"/>
              </w:rPr>
              <w:t>2 px solid SA 700 + 2 px offset</w:t>
            </w:r>
          </w:p>
        </w:tc>
        <w:tc>
          <w:tcPr>
            <w:tcW w:type="dxa" w:w="2223"/>
          </w:tcPr>
          <w:p>
            <w:pPr>
              <w:spacing w:after="0" w:line="252" w:lineRule="auto"/>
            </w:pPr>
            <w:r>
              <w:rPr>
                <w:sz w:val="17"/>
              </w:rPr>
              <w:t>Rec.</w:t>
            </w:r>
          </w:p>
        </w:tc>
        <w:tc>
          <w:tcPr>
            <w:tcW w:type="dxa" w:w="4715"/>
          </w:tcPr>
          <w:p>
            <w:pPr>
              <w:spacing w:after="0" w:line="252" w:lineRule="auto"/>
            </w:pPr>
            <w:r>
              <w:rPr>
                <w:sz w:val="17"/>
              </w:rPr>
              <w:t>≥ 3:1 against all surfaces</w:t>
            </w:r>
          </w:p>
        </w:tc>
      </w:tr>
      <w:tr>
        <w:trPr>
          <w:cantSplit/>
        </w:trPr>
        <w:tc>
          <w:tcPr>
            <w:tcW w:type="dxa" w:w="2088"/>
            <w:shd w:val="clear" w:color="auto" w:fill="F9FAFB"/>
          </w:tcPr>
          <w:p>
            <w:pPr>
              <w:spacing w:after="0" w:line="252" w:lineRule="auto"/>
            </w:pPr>
            <w:r>
              <w:rPr>
                <w:sz w:val="17"/>
              </w:rPr>
              <w:t>Categorical (charts, max 3–6)</w:t>
            </w:r>
          </w:p>
        </w:tc>
        <w:tc>
          <w:tcPr>
            <w:tcW w:type="dxa" w:w="5997"/>
            <w:shd w:val="clear" w:color="auto" w:fill="F9FAFB"/>
          </w:tcPr>
          <w:p>
            <w:pPr>
              <w:spacing w:after="0" w:line="252" w:lineRule="auto"/>
            </w:pPr>
            <w:r>
              <w:rPr>
                <w:sz w:val="17"/>
              </w:rPr>
              <w:t>SA 600 · Info 600 · Warning 500 · Gray 500 · Error 600 · lavender (DGA secondary, hex to be taken from the DGA colour page)</w:t>
            </w:r>
          </w:p>
        </w:tc>
        <w:tc>
          <w:tcPr>
            <w:tcW w:type="dxa" w:w="2223"/>
            <w:shd w:val="clear" w:color="auto" w:fill="F9FAFB"/>
          </w:tcPr>
          <w:p>
            <w:pPr>
              <w:spacing w:after="0" w:line="252" w:lineRule="auto"/>
            </w:pPr>
            <w:r>
              <w:rPr>
                <w:sz w:val="17"/>
              </w:rPr>
              <w:t>Rec. within [DGA] caps</w:t>
            </w:r>
          </w:p>
        </w:tc>
        <w:tc>
          <w:tcPr>
            <w:tcW w:type="dxa" w:w="4715"/>
            <w:shd w:val="clear" w:color="auto" w:fill="F9FAFB"/>
          </w:tcPr>
          <w:p>
            <w:pPr>
              <w:spacing w:after="0" w:line="252" w:lineRule="auto"/>
            </w:pPr>
            <w:r>
              <w:rPr>
                <w:sz w:val="17"/>
              </w:rPr>
              <w:t>always with labels; never red+green as the only pair</w:t>
            </w:r>
          </w:p>
        </w:tc>
      </w:tr>
      <w:tr>
        <w:trPr>
          <w:cantSplit/>
        </w:trPr>
        <w:tc>
          <w:tcPr>
            <w:tcW w:type="dxa" w:w="2088"/>
          </w:tcPr>
          <w:p>
            <w:pPr>
              <w:spacing w:after="0" w:line="252" w:lineRule="auto"/>
            </w:pPr>
            <w:r>
              <w:rPr>
                <w:sz w:val="17"/>
              </w:rPr>
              <w:t>AI accent (optional)</w:t>
            </w:r>
          </w:p>
        </w:tc>
        <w:tc>
          <w:tcPr>
            <w:tcW w:type="dxa" w:w="5997"/>
          </w:tcPr>
          <w:p>
            <w:pPr>
              <w:spacing w:after="0" w:line="252" w:lineRule="auto"/>
            </w:pPr>
            <w:r>
              <w:rPr>
                <w:sz w:val="17"/>
              </w:rPr>
              <w:t xml:space="preserve">one documented accent (e.g. today's violet </w:t>
            </w:r>
            <w:r>
              <w:rPr>
                <w:rFonts w:ascii="Consolas" w:hAnsi="Consolas" w:cs="Consolas"/>
                <w:color w:val="B42318"/>
                <w:sz w:val="16"/>
              </w:rPr>
              <w:t>#6B57A6</w:t>
            </w:r>
            <w:r>
              <w:rPr>
                <w:sz w:val="17"/>
              </w:rPr>
              <w:t xml:space="preserve"> or DGA lavender) for AI-generated blocks only</w:t>
            </w:r>
          </w:p>
        </w:tc>
        <w:tc>
          <w:tcPr>
            <w:tcW w:type="dxa" w:w="2223"/>
          </w:tcPr>
          <w:p>
            <w:pPr>
              <w:spacing w:after="0" w:line="252" w:lineRule="auto"/>
            </w:pPr>
            <w:r>
              <w:rPr>
                <w:sz w:val="17"/>
              </w:rPr>
              <w:t>[Deck] p.7 allows</w:t>
            </w:r>
          </w:p>
        </w:tc>
        <w:tc>
          <w:tcPr>
            <w:tcW w:type="dxa" w:w="4715"/>
          </w:tcPr>
          <w:p>
            <w:pPr>
              <w:spacing w:after="0" w:line="252" w:lineRule="auto"/>
            </w:pPr>
            <w:r>
              <w:rPr>
                <w:sz w:val="17"/>
              </w:rPr>
              <w:t>decide in Q25</w:t>
            </w:r>
          </w:p>
        </w:tc>
      </w:tr>
    </w:tbl>
    <w:p>
      <w:pPr>
        <w:spacing w:after="40"/>
      </w:pPr>
    </w:p>
    <w:p>
      <w:r>
        <w:t xml:space="preserve">Rule: </w:t>
      </w:r>
      <w:r>
        <w:rPr>
          <w:b/>
        </w:rPr>
        <w:t>semantic colours only for status</w:t>
      </w:r>
      <w:r>
        <w:t>; measures (net billed, collected, exclusions) use brand/neutral shades plus labels. Every text/background pair is added to a contrast table and checked in CI.</w:t>
      </w:r>
    </w:p>
    <w:p>
      <w:pPr>
        <w:pStyle w:val="Heading3"/>
      </w:pPr>
      <w:r>
        <w:t>20.2 Typography tokens</w:t>
      </w:r>
    </w:p>
    <w:p>
      <w:r>
        <w:t xml:space="preserve">Families: </w:t>
      </w:r>
      <w:r>
        <w:rPr>
          <w:rFonts w:ascii="Consolas" w:hAnsi="Consolas" w:cs="Consolas"/>
          <w:color w:val="B42318"/>
          <w:sz w:val="19"/>
        </w:rPr>
        <w:t>IBM Plex Sans Arabic</w:t>
      </w:r>
      <w:r>
        <w:t xml:space="preserve"> (Arabic) and </w:t>
      </w:r>
      <w:r>
        <w:rPr>
          <w:rFonts w:ascii="Consolas" w:hAnsi="Consolas" w:cs="Consolas"/>
          <w:color w:val="B42318"/>
          <w:sz w:val="19"/>
        </w:rPr>
        <w:t>IBM Plex Sans</w:t>
      </w:r>
      <w:r>
        <w:t xml:space="preserve"> (Latin/numerals), self-hosted, weights 400/500/600/700; tabular numerals for all figures.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6356"/>
        <w:gridCol w:w="3545"/>
        <w:gridCol w:w="3286"/>
        <w:gridCol w:w="1836"/>
      </w:tblGrid>
      <w:tr>
        <w:trPr>
          <w:tblHeader w:val="true"/>
          <w:cantSplit/>
        </w:trPr>
        <w:tc>
          <w:tcPr>
            <w:tcW w:type="dxa" w:w="6356"/>
            <w:shd w:val="clear" w:color="auto" w:fill="1B8354"/>
          </w:tcPr>
          <w:p>
            <w:pPr>
              <w:spacing w:after="0" w:line="252" w:lineRule="auto"/>
            </w:pPr>
            <w:r>
              <w:rPr>
                <w:b/>
                <w:color w:val="FFFFFF"/>
                <w:sz w:val="17"/>
              </w:rPr>
              <w:t>Role (platform)</w:t>
            </w:r>
          </w:p>
        </w:tc>
        <w:tc>
          <w:tcPr>
            <w:tcW w:type="dxa" w:w="3545"/>
            <w:shd w:val="clear" w:color="auto" w:fill="1B8354"/>
          </w:tcPr>
          <w:p>
            <w:pPr>
              <w:spacing w:after="0" w:line="252" w:lineRule="auto"/>
            </w:pPr>
            <w:r>
              <w:rPr>
                <w:b/>
                <w:color w:val="FFFFFF"/>
                <w:sz w:val="17"/>
              </w:rPr>
              <w:t>DGA style</w:t>
            </w:r>
          </w:p>
        </w:tc>
        <w:tc>
          <w:tcPr>
            <w:tcW w:type="dxa" w:w="3286"/>
            <w:shd w:val="clear" w:color="auto" w:fill="1B8354"/>
          </w:tcPr>
          <w:p>
            <w:pPr>
              <w:spacing w:after="0" w:line="252" w:lineRule="auto"/>
            </w:pPr>
            <w:r>
              <w:rPr>
                <w:b/>
                <w:color w:val="FFFFFF"/>
                <w:sz w:val="17"/>
              </w:rPr>
              <w:t>Size / line-height</w:t>
            </w:r>
          </w:p>
        </w:tc>
        <w:tc>
          <w:tcPr>
            <w:tcW w:type="dxa" w:w="1836"/>
            <w:shd w:val="clear" w:color="auto" w:fill="1B8354"/>
          </w:tcPr>
          <w:p>
            <w:pPr>
              <w:spacing w:after="0" w:line="252" w:lineRule="auto"/>
            </w:pPr>
            <w:r>
              <w:rPr>
                <w:b/>
                <w:color w:val="FFFFFF"/>
                <w:sz w:val="17"/>
              </w:rPr>
              <w:t>Weight</w:t>
            </w:r>
          </w:p>
        </w:tc>
      </w:tr>
      <w:tr>
        <w:trPr>
          <w:cantSplit/>
        </w:trPr>
        <w:tc>
          <w:tcPr>
            <w:tcW w:type="dxa" w:w="6356"/>
          </w:tcPr>
          <w:p>
            <w:pPr>
              <w:spacing w:after="0" w:line="252" w:lineRule="auto"/>
            </w:pPr>
            <w:r>
              <w:rPr>
                <w:sz w:val="17"/>
              </w:rPr>
              <w:t>Page title (H1)</w:t>
            </w:r>
          </w:p>
        </w:tc>
        <w:tc>
          <w:tcPr>
            <w:tcW w:type="dxa" w:w="3545"/>
          </w:tcPr>
          <w:p>
            <w:pPr>
              <w:spacing w:after="0" w:line="252" w:lineRule="auto"/>
            </w:pPr>
            <w:r>
              <w:rPr>
                <w:sz w:val="17"/>
              </w:rPr>
              <w:t>Display xs</w:t>
            </w:r>
          </w:p>
        </w:tc>
        <w:tc>
          <w:tcPr>
            <w:tcW w:type="dxa" w:w="3286"/>
          </w:tcPr>
          <w:p>
            <w:pPr>
              <w:spacing w:after="0" w:line="252" w:lineRule="auto"/>
            </w:pPr>
            <w:r>
              <w:rPr>
                <w:sz w:val="17"/>
              </w:rPr>
              <w:t>24 / 32</w:t>
            </w:r>
          </w:p>
        </w:tc>
        <w:tc>
          <w:tcPr>
            <w:tcW w:type="dxa" w:w="1836"/>
          </w:tcPr>
          <w:p>
            <w:pPr>
              <w:spacing w:after="0" w:line="252" w:lineRule="auto"/>
            </w:pPr>
            <w:r>
              <w:rPr>
                <w:sz w:val="17"/>
              </w:rPr>
              <w:t>Bold</w:t>
            </w:r>
          </w:p>
        </w:tc>
      </w:tr>
      <w:tr>
        <w:trPr>
          <w:cantSplit/>
        </w:trPr>
        <w:tc>
          <w:tcPr>
            <w:tcW w:type="dxa" w:w="6356"/>
            <w:shd w:val="clear" w:color="auto" w:fill="F9FAFB"/>
          </w:tcPr>
          <w:p>
            <w:pPr>
              <w:spacing w:after="0" w:line="252" w:lineRule="auto"/>
            </w:pPr>
            <w:r>
              <w:rPr>
                <w:sz w:val="17"/>
              </w:rPr>
              <w:t>Section title (H2)</w:t>
            </w:r>
          </w:p>
        </w:tc>
        <w:tc>
          <w:tcPr>
            <w:tcW w:type="dxa" w:w="3545"/>
            <w:shd w:val="clear" w:color="auto" w:fill="F9FAFB"/>
          </w:tcPr>
          <w:p>
            <w:pPr>
              <w:spacing w:after="0" w:line="252" w:lineRule="auto"/>
            </w:pPr>
            <w:r>
              <w:rPr>
                <w:sz w:val="17"/>
              </w:rPr>
              <w:t>Text xl</w:t>
            </w:r>
          </w:p>
        </w:tc>
        <w:tc>
          <w:tcPr>
            <w:tcW w:type="dxa" w:w="3286"/>
            <w:shd w:val="clear" w:color="auto" w:fill="F9FAFB"/>
          </w:tcPr>
          <w:p>
            <w:pPr>
              <w:spacing w:after="0" w:line="252" w:lineRule="auto"/>
            </w:pPr>
            <w:r>
              <w:rPr>
                <w:sz w:val="17"/>
              </w:rPr>
              <w:t>20 / 30</w:t>
            </w:r>
          </w:p>
        </w:tc>
        <w:tc>
          <w:tcPr>
            <w:tcW w:type="dxa" w:w="1836"/>
            <w:shd w:val="clear" w:color="auto" w:fill="F9FAFB"/>
          </w:tcPr>
          <w:p>
            <w:pPr>
              <w:spacing w:after="0" w:line="252" w:lineRule="auto"/>
            </w:pPr>
            <w:r>
              <w:rPr>
                <w:sz w:val="17"/>
              </w:rPr>
              <w:t>Semibold</w:t>
            </w:r>
          </w:p>
        </w:tc>
      </w:tr>
      <w:tr>
        <w:trPr>
          <w:cantSplit/>
        </w:trPr>
        <w:tc>
          <w:tcPr>
            <w:tcW w:type="dxa" w:w="6356"/>
          </w:tcPr>
          <w:p>
            <w:pPr>
              <w:spacing w:after="0" w:line="252" w:lineRule="auto"/>
            </w:pPr>
            <w:r>
              <w:rPr>
                <w:sz w:val="17"/>
              </w:rPr>
              <w:t>Card / sub-section title (H3)</w:t>
            </w:r>
          </w:p>
        </w:tc>
        <w:tc>
          <w:tcPr>
            <w:tcW w:type="dxa" w:w="3545"/>
          </w:tcPr>
          <w:p>
            <w:pPr>
              <w:spacing w:after="0" w:line="252" w:lineRule="auto"/>
            </w:pPr>
            <w:r>
              <w:rPr>
                <w:sz w:val="17"/>
              </w:rPr>
              <w:t>Text lg</w:t>
            </w:r>
          </w:p>
        </w:tc>
        <w:tc>
          <w:tcPr>
            <w:tcW w:type="dxa" w:w="3286"/>
          </w:tcPr>
          <w:p>
            <w:pPr>
              <w:spacing w:after="0" w:line="252" w:lineRule="auto"/>
            </w:pPr>
            <w:r>
              <w:rPr>
                <w:sz w:val="17"/>
              </w:rPr>
              <w:t>18 / 28</w:t>
            </w:r>
          </w:p>
        </w:tc>
        <w:tc>
          <w:tcPr>
            <w:tcW w:type="dxa" w:w="1836"/>
          </w:tcPr>
          <w:p>
            <w:pPr>
              <w:spacing w:after="0" w:line="252" w:lineRule="auto"/>
            </w:pPr>
            <w:r>
              <w:rPr>
                <w:sz w:val="17"/>
              </w:rPr>
              <w:t>Semibold</w:t>
            </w:r>
          </w:p>
        </w:tc>
      </w:tr>
      <w:tr>
        <w:trPr>
          <w:cantSplit/>
        </w:trPr>
        <w:tc>
          <w:tcPr>
            <w:tcW w:type="dxa" w:w="6356"/>
            <w:shd w:val="clear" w:color="auto" w:fill="F9FAFB"/>
          </w:tcPr>
          <w:p>
            <w:pPr>
              <w:spacing w:after="0" w:line="252" w:lineRule="auto"/>
            </w:pPr>
            <w:r>
              <w:rPr>
                <w:sz w:val="17"/>
              </w:rPr>
              <w:t>KPI value</w:t>
            </w:r>
          </w:p>
        </w:tc>
        <w:tc>
          <w:tcPr>
            <w:tcW w:type="dxa" w:w="3545"/>
            <w:shd w:val="clear" w:color="auto" w:fill="F9FAFB"/>
          </w:tcPr>
          <w:p>
            <w:pPr>
              <w:spacing w:after="0" w:line="252" w:lineRule="auto"/>
            </w:pPr>
            <w:r>
              <w:rPr>
                <w:sz w:val="17"/>
              </w:rPr>
              <w:t>Display xs (tabular)</w:t>
            </w:r>
          </w:p>
        </w:tc>
        <w:tc>
          <w:tcPr>
            <w:tcW w:type="dxa" w:w="3286"/>
            <w:shd w:val="clear" w:color="auto" w:fill="F9FAFB"/>
          </w:tcPr>
          <w:p>
            <w:pPr>
              <w:spacing w:after="0" w:line="252" w:lineRule="auto"/>
            </w:pPr>
            <w:r>
              <w:rPr>
                <w:sz w:val="17"/>
              </w:rPr>
              <w:t>24 / 32</w:t>
            </w:r>
          </w:p>
        </w:tc>
        <w:tc>
          <w:tcPr>
            <w:tcW w:type="dxa" w:w="1836"/>
            <w:shd w:val="clear" w:color="auto" w:fill="F9FAFB"/>
          </w:tcPr>
          <w:p>
            <w:pPr>
              <w:spacing w:after="0" w:line="252" w:lineRule="auto"/>
            </w:pPr>
            <w:r>
              <w:rPr>
                <w:sz w:val="17"/>
              </w:rPr>
              <w:t>Semibold</w:t>
            </w:r>
          </w:p>
        </w:tc>
      </w:tr>
      <w:tr>
        <w:trPr>
          <w:cantSplit/>
        </w:trPr>
        <w:tc>
          <w:tcPr>
            <w:tcW w:type="dxa" w:w="6356"/>
          </w:tcPr>
          <w:p>
            <w:pPr>
              <w:spacing w:after="0" w:line="252" w:lineRule="auto"/>
            </w:pPr>
            <w:r>
              <w:rPr>
                <w:sz w:val="17"/>
              </w:rPr>
              <w:t>Body, table cell, form text</w:t>
            </w:r>
          </w:p>
        </w:tc>
        <w:tc>
          <w:tcPr>
            <w:tcW w:type="dxa" w:w="3545"/>
          </w:tcPr>
          <w:p>
            <w:pPr>
              <w:spacing w:after="0" w:line="252" w:lineRule="auto"/>
            </w:pPr>
            <w:r>
              <w:rPr>
                <w:sz w:val="17"/>
              </w:rPr>
              <w:t>Text sm → md</w:t>
            </w:r>
          </w:p>
        </w:tc>
        <w:tc>
          <w:tcPr>
            <w:tcW w:type="dxa" w:w="3286"/>
          </w:tcPr>
          <w:p>
            <w:pPr>
              <w:spacing w:after="0" w:line="252" w:lineRule="auto"/>
            </w:pPr>
            <w:r>
              <w:rPr>
                <w:sz w:val="17"/>
              </w:rPr>
              <w:t>14 / 20 → 16 / 24</w:t>
            </w:r>
          </w:p>
        </w:tc>
        <w:tc>
          <w:tcPr>
            <w:tcW w:type="dxa" w:w="1836"/>
          </w:tcPr>
          <w:p>
            <w:pPr>
              <w:spacing w:after="0" w:line="252" w:lineRule="auto"/>
            </w:pPr>
            <w:r>
              <w:rPr>
                <w:sz w:val="17"/>
              </w:rPr>
              <w:t>Regular</w:t>
            </w:r>
          </w:p>
        </w:tc>
      </w:tr>
      <w:tr>
        <w:trPr>
          <w:cantSplit/>
        </w:trPr>
        <w:tc>
          <w:tcPr>
            <w:tcW w:type="dxa" w:w="6356"/>
            <w:shd w:val="clear" w:color="auto" w:fill="F9FAFB"/>
          </w:tcPr>
          <w:p>
            <w:pPr>
              <w:spacing w:after="0" w:line="252" w:lineRule="auto"/>
            </w:pPr>
            <w:r>
              <w:rPr>
                <w:sz w:val="17"/>
              </w:rPr>
              <w:t>Label, chip, helper</w:t>
            </w:r>
          </w:p>
        </w:tc>
        <w:tc>
          <w:tcPr>
            <w:tcW w:type="dxa" w:w="3545"/>
            <w:shd w:val="clear" w:color="auto" w:fill="F9FAFB"/>
          </w:tcPr>
          <w:p>
            <w:pPr>
              <w:spacing w:after="0" w:line="252" w:lineRule="auto"/>
            </w:pPr>
            <w:r>
              <w:rPr>
                <w:sz w:val="17"/>
              </w:rPr>
              <w:t>Text xs</w:t>
            </w:r>
          </w:p>
        </w:tc>
        <w:tc>
          <w:tcPr>
            <w:tcW w:type="dxa" w:w="3286"/>
            <w:shd w:val="clear" w:color="auto" w:fill="F9FAFB"/>
          </w:tcPr>
          <w:p>
            <w:pPr>
              <w:spacing w:after="0" w:line="252" w:lineRule="auto"/>
            </w:pPr>
            <w:r>
              <w:rPr>
                <w:sz w:val="17"/>
              </w:rPr>
              <w:t>12 / 18</w:t>
            </w:r>
          </w:p>
        </w:tc>
        <w:tc>
          <w:tcPr>
            <w:tcW w:type="dxa" w:w="1836"/>
            <w:shd w:val="clear" w:color="auto" w:fill="F9FAFB"/>
          </w:tcPr>
          <w:p>
            <w:pPr>
              <w:spacing w:after="0" w:line="252" w:lineRule="auto"/>
            </w:pPr>
            <w:r>
              <w:rPr>
                <w:sz w:val="17"/>
              </w:rPr>
              <w:t>Medium</w:t>
            </w:r>
          </w:p>
        </w:tc>
      </w:tr>
      <w:tr>
        <w:trPr>
          <w:cantSplit/>
        </w:trPr>
        <w:tc>
          <w:tcPr>
            <w:tcW w:type="dxa" w:w="6356"/>
          </w:tcPr>
          <w:p>
            <w:pPr>
              <w:spacing w:after="0" w:line="252" w:lineRule="auto"/>
            </w:pPr>
            <w:r>
              <w:rPr>
                <w:sz w:val="17"/>
              </w:rPr>
              <w:t>Smallest caption (non-essential)</w:t>
            </w:r>
          </w:p>
        </w:tc>
        <w:tc>
          <w:tcPr>
            <w:tcW w:type="dxa" w:w="3545"/>
          </w:tcPr>
          <w:p>
            <w:pPr>
              <w:spacing w:after="0" w:line="252" w:lineRule="auto"/>
            </w:pPr>
            <w:r>
              <w:rPr>
                <w:sz w:val="17"/>
              </w:rPr>
              <w:t>Text 2xs</w:t>
            </w:r>
          </w:p>
        </w:tc>
        <w:tc>
          <w:tcPr>
            <w:tcW w:type="dxa" w:w="3286"/>
          </w:tcPr>
          <w:p>
            <w:pPr>
              <w:spacing w:after="0" w:line="252" w:lineRule="auto"/>
            </w:pPr>
            <w:r>
              <w:rPr>
                <w:sz w:val="17"/>
              </w:rPr>
              <w:t>10 / 14</w:t>
            </w:r>
          </w:p>
        </w:tc>
        <w:tc>
          <w:tcPr>
            <w:tcW w:type="dxa" w:w="1836"/>
          </w:tcPr>
          <w:p>
            <w:pPr>
              <w:spacing w:after="0" w:line="252" w:lineRule="auto"/>
            </w:pPr>
            <w:r>
              <w:rPr>
                <w:sz w:val="17"/>
              </w:rPr>
              <w:t>Regular</w:t>
            </w:r>
          </w:p>
        </w:tc>
      </w:tr>
    </w:tbl>
    <w:p>
      <w:pPr>
        <w:spacing w:after="40"/>
      </w:pPr>
    </w:p>
    <w:p>
      <w:r>
        <w:t>No ad-hoc sizes; content never below 12 px; body line-height ≥ 1.5 for paragraphs (WCAG, [DGA]).</w:t>
      </w:r>
    </w:p>
    <w:p>
      <w:pPr>
        <w:pStyle w:val="Heading3"/>
      </w:pPr>
      <w:r>
        <w:t>20.3 Spacing, layout, shape</w:t>
      </w:r>
    </w:p>
    <w:p>
      <w:pPr>
        <w:spacing w:after="40"/>
        <w:ind w:left="510" w:hanging="283"/>
      </w:pPr>
      <w:r>
        <w:t xml:space="preserve">•  </w:t>
      </w:r>
      <w:r>
        <w:rPr>
          <w:b/>
        </w:rPr>
        <w:t>Spacing tokens</w:t>
      </w:r>
      <w:r>
        <w:t xml:space="preserve"> = DGA scale (4, 8, 12, 16, 20, 24, 32, 40, 48, 64 px; 2 and 6 only inside controls).</w:t>
      </w:r>
    </w:p>
    <w:p>
      <w:pPr>
        <w:spacing w:after="40"/>
        <w:ind w:left="510" w:hanging="283"/>
      </w:pPr>
      <w:r>
        <w:t xml:space="preserve">•  </w:t>
      </w:r>
      <w:r>
        <w:rPr>
          <w:b/>
        </w:rPr>
        <w:t>Container</w:t>
      </w:r>
      <w:r>
        <w:t>: max 1,280 px; padding 32 px (≥ 960), 16 px (&lt; 600); paragraph max 720 px; 12-column grid on desktop.</w:t>
      </w:r>
    </w:p>
    <w:p>
      <w:pPr>
        <w:spacing w:after="40"/>
        <w:ind w:left="510" w:hanging="283"/>
      </w:pPr>
      <w:r>
        <w:t xml:space="preserve">•  </w:t>
      </w:r>
      <w:r>
        <w:rPr>
          <w:b/>
        </w:rPr>
        <w:t>Breakpoints</w:t>
      </w:r>
      <w:r>
        <w:t>: 600 / 960 / 1,280 (DGA); design frames at 1,280 / 768 / 375 ([Deck]).</w:t>
      </w:r>
    </w:p>
    <w:p>
      <w:pPr>
        <w:spacing w:after="40"/>
        <w:ind w:left="510" w:hanging="283"/>
      </w:pPr>
      <w:r>
        <w:t xml:space="preserve">•  </w:t>
      </w:r>
      <w:r>
        <w:rPr>
          <w:b/>
        </w:rPr>
        <w:t>Radius</w:t>
      </w:r>
      <w:r>
        <w:t xml:space="preserve">: control 8 px, card 12 px, pill 999 px (product-level choice allowed by [Deck] p.6); </w:t>
      </w:r>
      <w:r>
        <w:rPr>
          <w:b/>
        </w:rPr>
        <w:t>elevation</w:t>
      </w:r>
      <w:r>
        <w:t>: none or one subtle level — confirm with the DGA elevation page.</w:t>
      </w:r>
    </w:p>
    <w:p>
      <w:pPr>
        <w:spacing w:after="40"/>
        <w:ind w:left="510" w:hanging="283"/>
      </w:pPr>
      <w:r>
        <w:t xml:space="preserve">•  </w:t>
      </w:r>
      <w:r>
        <w:rPr>
          <w:b/>
        </w:rPr>
        <w:t>Targets</w:t>
      </w:r>
      <w:r>
        <w:t>: interactive area ≥ 44 × 44 px on touch widths (≥ 24 × 24 on desktop minimum).</w:t>
      </w:r>
    </w:p>
    <w:p>
      <w:pPr>
        <w:pStyle w:val="Heading3"/>
      </w:pPr>
      <w:r>
        <w:t>20.4 Icons and data visualisation</w:t>
      </w:r>
    </w:p>
    <w:p>
      <w:pPr>
        <w:spacing w:after="40"/>
        <w:ind w:left="510" w:hanging="283"/>
      </w:pPr>
      <w:r>
        <w:t xml:space="preserve">•  </w:t>
      </w:r>
      <w:r>
        <w:t>One icon set (Q23) at 16/20/24 px in a single style; text glyphs/emoji removed; each navigation item has its own icon; icons never carry meaning alone (label or accessible name).</w:t>
      </w:r>
    </w:p>
    <w:p>
      <w:pPr>
        <w:spacing w:after="40"/>
        <w:ind w:left="510" w:hanging="283"/>
      </w:pPr>
      <w:r>
        <w:t xml:space="preserve">•  </w:t>
      </w:r>
      <w:r>
        <w:t>Charts: bar/line/area first; ≤ 3 series, ≤ 6 slices; ranked tables for long lists; consistent axis/units (one unit per chart, already done); colours from §20.1; data-table fallback and text summary for each chart.</w:t>
      </w:r>
    </w:p>
    <w:p>
      <w:pPr>
        <w:pStyle w:val="Heading3"/>
      </w:pPr>
      <w:r>
        <w:t>20.5 Reusable components (build once, use everywhere)</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945"/>
        <w:gridCol w:w="3468"/>
        <w:gridCol w:w="8610"/>
      </w:tblGrid>
      <w:tr>
        <w:trPr>
          <w:tblHeader w:val="true"/>
          <w:cantSplit/>
        </w:trPr>
        <w:tc>
          <w:tcPr>
            <w:tcW w:type="dxa" w:w="2945"/>
            <w:shd w:val="clear" w:color="auto" w:fill="1B8354"/>
          </w:tcPr>
          <w:p>
            <w:pPr>
              <w:spacing w:after="0" w:line="252" w:lineRule="auto"/>
            </w:pPr>
            <w:r>
              <w:rPr>
                <w:b/>
                <w:color w:val="FFFFFF"/>
                <w:sz w:val="17"/>
              </w:rPr>
              <w:t>Component</w:t>
            </w:r>
          </w:p>
        </w:tc>
        <w:tc>
          <w:tcPr>
            <w:tcW w:type="dxa" w:w="3468"/>
            <w:shd w:val="clear" w:color="auto" w:fill="1B8354"/>
          </w:tcPr>
          <w:p>
            <w:pPr>
              <w:spacing w:after="0" w:line="252" w:lineRule="auto"/>
            </w:pPr>
            <w:r>
              <w:rPr>
                <w:b/>
                <w:color w:val="FFFFFF"/>
                <w:sz w:val="17"/>
              </w:rPr>
              <w:t>Replaces today</w:t>
            </w:r>
          </w:p>
        </w:tc>
        <w:tc>
          <w:tcPr>
            <w:tcW w:type="dxa" w:w="8610"/>
            <w:shd w:val="clear" w:color="auto" w:fill="1B8354"/>
          </w:tcPr>
          <w:p>
            <w:pPr>
              <w:spacing w:after="0" w:line="252" w:lineRule="auto"/>
            </w:pPr>
            <w:r>
              <w:rPr>
                <w:b/>
                <w:color w:val="FFFFFF"/>
                <w:sz w:val="17"/>
              </w:rPr>
              <w:t>Key rules</w:t>
            </w:r>
          </w:p>
        </w:tc>
      </w:tr>
      <w:tr>
        <w:trPr>
          <w:cantSplit/>
        </w:trPr>
        <w:tc>
          <w:tcPr>
            <w:tcW w:type="dxa" w:w="2945"/>
          </w:tcPr>
          <w:p>
            <w:pPr>
              <w:spacing w:after="0" w:line="252" w:lineRule="auto"/>
            </w:pPr>
            <w:r>
              <w:rPr>
                <w:b/>
                <w:sz w:val="17"/>
              </w:rPr>
              <w:t>App shell</w:t>
            </w:r>
          </w:p>
        </w:tc>
        <w:tc>
          <w:tcPr>
            <w:tcW w:type="dxa" w:w="3468"/>
          </w:tcPr>
          <w:p>
            <w:pPr>
              <w:spacing w:after="0" w:line="252" w:lineRule="auto"/>
            </w:pPr>
            <w:r>
              <w:rPr>
                <w:rFonts w:ascii="Consolas" w:hAnsi="Consolas" w:cs="Consolas"/>
                <w:color w:val="B42318"/>
                <w:sz w:val="16"/>
              </w:rPr>
              <w:t>Layout</w:t>
            </w:r>
          </w:p>
        </w:tc>
        <w:tc>
          <w:tcPr>
            <w:tcW w:type="dxa" w:w="8610"/>
          </w:tcPr>
          <w:p>
            <w:pPr>
              <w:spacing w:after="0" w:line="252" w:lineRule="auto"/>
            </w:pPr>
            <w:r>
              <w:rPr>
                <w:sz w:val="17"/>
              </w:rPr>
              <w:t xml:space="preserve">header (logo slot, product name, language, user), primary nav (2 management areas + Operations menu), breadcrumbs, footer (version, data cut-off, "synthetic data"), skip link, one </w:t>
            </w:r>
            <w:r>
              <w:rPr>
                <w:rFonts w:ascii="Consolas" w:hAnsi="Consolas" w:cs="Consolas"/>
                <w:color w:val="B42318"/>
                <w:sz w:val="16"/>
              </w:rPr>
              <w:t>h1</w:t>
            </w:r>
            <w:r>
              <w:rPr>
                <w:sz w:val="17"/>
              </w:rPr>
              <w:t xml:space="preserve"> per page</w:t>
            </w:r>
          </w:p>
        </w:tc>
      </w:tr>
      <w:tr>
        <w:trPr>
          <w:cantSplit/>
        </w:trPr>
        <w:tc>
          <w:tcPr>
            <w:tcW w:type="dxa" w:w="2945"/>
            <w:shd w:val="clear" w:color="auto" w:fill="F9FAFB"/>
          </w:tcPr>
          <w:p>
            <w:pPr>
              <w:spacing w:after="0" w:line="252" w:lineRule="auto"/>
            </w:pPr>
            <w:r>
              <w:rPr>
                <w:b/>
                <w:sz w:val="17"/>
              </w:rPr>
              <w:t>Page header</w:t>
            </w:r>
          </w:p>
        </w:tc>
        <w:tc>
          <w:tcPr>
            <w:tcW w:type="dxa" w:w="3468"/>
            <w:shd w:val="clear" w:color="auto" w:fill="F9FAFB"/>
          </w:tcPr>
          <w:p>
            <w:pPr>
              <w:spacing w:after="0" w:line="252" w:lineRule="auto"/>
            </w:pPr>
            <w:r>
              <w:rPr>
                <w:sz w:val="17"/>
              </w:rPr>
              <w:t>per-page titles/subtitles</w:t>
            </w:r>
          </w:p>
        </w:tc>
        <w:tc>
          <w:tcPr>
            <w:tcW w:type="dxa" w:w="8610"/>
            <w:shd w:val="clear" w:color="auto" w:fill="F9FAFB"/>
          </w:tcPr>
          <w:p>
            <w:pPr>
              <w:spacing w:after="0" w:line="252" w:lineRule="auto"/>
            </w:pPr>
            <w:r>
              <w:rPr>
                <w:rFonts w:ascii="Consolas" w:hAnsi="Consolas" w:cs="Consolas"/>
                <w:color w:val="B42318"/>
                <w:sz w:val="16"/>
              </w:rPr>
              <w:t>h1</w:t>
            </w:r>
            <w:r>
              <w:rPr>
                <w:sz w:val="17"/>
              </w:rPr>
              <w:t xml:space="preserve"> + one-line scope (</w:t>
            </w:r>
            <w:r>
              <w:rPr>
                <w:sz w:val="17"/>
                <w:rtl/>
                <w:rFonts w:cs="Arial"/>
                <w:szCs w:val="17"/>
              </w:rPr>
              <w:t>‫«1 يناير – 9 أكتوبر 2026 · كل الأمانات»‬</w:t>
            </w:r>
            <w:r>
              <w:rPr>
                <w:sz w:val="17"/>
              </w:rPr>
              <w:t xml:space="preserve">) + actions; optional </w:t>
            </w:r>
            <w:r>
              <w:rPr>
                <w:sz w:val="17"/>
                <w:rtl/>
                <w:rFonts w:cs="Arial"/>
                <w:szCs w:val="17"/>
              </w:rPr>
              <w:t>‫«حالة البيانات ▾»‬</w:t>
            </w:r>
          </w:p>
        </w:tc>
      </w:tr>
      <w:tr>
        <w:trPr>
          <w:cantSplit/>
        </w:trPr>
        <w:tc>
          <w:tcPr>
            <w:tcW w:type="dxa" w:w="2945"/>
          </w:tcPr>
          <w:p>
            <w:pPr>
              <w:spacing w:after="0" w:line="252" w:lineRule="auto"/>
            </w:pPr>
            <w:r>
              <w:rPr>
                <w:b/>
                <w:sz w:val="17"/>
              </w:rPr>
              <w:t>Context bar</w:t>
            </w:r>
          </w:p>
        </w:tc>
        <w:tc>
          <w:tcPr>
            <w:tcW w:type="dxa" w:w="3468"/>
          </w:tcPr>
          <w:p>
            <w:pPr>
              <w:spacing w:after="0" w:line="252" w:lineRule="auto"/>
            </w:pPr>
            <w:r>
              <w:rPr>
                <w:rFonts w:ascii="Consolas" w:hAnsi="Consolas" w:cs="Consolas"/>
                <w:color w:val="B42318"/>
                <w:sz w:val="16"/>
              </w:rPr>
              <w:t>FilterChips</w:t>
            </w:r>
            <w:r>
              <w:rPr>
                <w:sz w:val="17"/>
              </w:rPr>
              <w:t xml:space="preserve">, </w:t>
            </w:r>
            <w:r>
              <w:rPr>
                <w:rFonts w:ascii="Consolas" w:hAnsi="Consolas" w:cs="Consolas"/>
                <w:color w:val="B42318"/>
                <w:sz w:val="16"/>
              </w:rPr>
              <w:t>ScopeBar</w:t>
            </w:r>
            <w:r>
              <w:rPr>
                <w:sz w:val="17"/>
              </w:rPr>
              <w:t>, Smart panel</w:t>
            </w:r>
          </w:p>
        </w:tc>
        <w:tc>
          <w:tcPr>
            <w:tcW w:type="dxa" w:w="8610"/>
          </w:tcPr>
          <w:p>
            <w:pPr>
              <w:spacing w:after="0" w:line="252" w:lineRule="auto"/>
            </w:pPr>
            <w:r>
              <w:rPr>
                <w:sz w:val="17"/>
              </w:rPr>
              <w:t>period control (§12.2) built on the DGA date picker, filters with count + removable chips + reset, basis switch, loading/error state</w:t>
            </w:r>
          </w:p>
        </w:tc>
      </w:tr>
      <w:tr>
        <w:trPr>
          <w:cantSplit/>
        </w:trPr>
        <w:tc>
          <w:tcPr>
            <w:tcW w:type="dxa" w:w="2945"/>
            <w:shd w:val="clear" w:color="auto" w:fill="F9FAFB"/>
          </w:tcPr>
          <w:p>
            <w:pPr>
              <w:spacing w:after="0" w:line="252" w:lineRule="auto"/>
            </w:pPr>
            <w:r>
              <w:rPr>
                <w:b/>
                <w:sz w:val="17"/>
              </w:rPr>
              <w:t>KPI card</w:t>
            </w:r>
          </w:p>
        </w:tc>
        <w:tc>
          <w:tcPr>
            <w:tcW w:type="dxa" w:w="3468"/>
            <w:shd w:val="clear" w:color="auto" w:fill="F9FAFB"/>
          </w:tcPr>
          <w:p>
            <w:pPr>
              <w:spacing w:after="0" w:line="252" w:lineRule="auto"/>
            </w:pPr>
            <w:r>
              <w:rPr>
                <w:rFonts w:ascii="Consolas" w:hAnsi="Consolas" w:cs="Consolas"/>
                <w:color w:val="B42318"/>
                <w:sz w:val="16"/>
              </w:rPr>
              <w:t>MetricTile</w:t>
            </w:r>
          </w:p>
        </w:tc>
        <w:tc>
          <w:tcPr>
            <w:tcW w:type="dxa" w:w="8610"/>
            <w:shd w:val="clear" w:color="auto" w:fill="F9FAFB"/>
          </w:tcPr>
          <w:p>
            <w:pPr>
              <w:spacing w:after="0" w:line="252" w:lineRule="auto"/>
            </w:pPr>
            <w:r>
              <w:rPr>
                <w:sz w:val="17"/>
              </w:rPr>
              <w:t xml:space="preserve">label, value (no wrap), trend with comparison dates, optional sparkline, CTA, definition popover, </w:t>
            </w:r>
            <w:r>
              <w:rPr>
                <w:rFonts w:ascii="Consolas" w:hAnsi="Consolas" w:cs="Consolas"/>
                <w:color w:val="B42318"/>
                <w:sz w:val="16"/>
              </w:rPr>
              <w:t>aria-live</w:t>
            </w:r>
          </w:p>
        </w:tc>
      </w:tr>
      <w:tr>
        <w:trPr>
          <w:cantSplit/>
        </w:trPr>
        <w:tc>
          <w:tcPr>
            <w:tcW w:type="dxa" w:w="2945"/>
          </w:tcPr>
          <w:p>
            <w:pPr>
              <w:spacing w:after="0" w:line="252" w:lineRule="auto"/>
            </w:pPr>
            <w:r>
              <w:rPr>
                <w:b/>
                <w:sz w:val="17"/>
              </w:rPr>
              <w:t>Status tag / badge</w:t>
            </w:r>
          </w:p>
        </w:tc>
        <w:tc>
          <w:tcPr>
            <w:tcW w:type="dxa" w:w="3468"/>
          </w:tcPr>
          <w:p>
            <w:pPr>
              <w:spacing w:after="0" w:line="252" w:lineRule="auto"/>
            </w:pPr>
            <w:r>
              <w:rPr>
                <w:rFonts w:ascii="Consolas" w:hAnsi="Consolas" w:cs="Consolas"/>
                <w:color w:val="B42318"/>
                <w:sz w:val="16"/>
              </w:rPr>
              <w:t>st-tag</w:t>
            </w:r>
            <w:r>
              <w:rPr>
                <w:sz w:val="17"/>
              </w:rPr>
              <w:t xml:space="preserve">, </w:t>
            </w:r>
            <w:r>
              <w:rPr>
                <w:rFonts w:ascii="Consolas" w:hAnsi="Consolas" w:cs="Consolas"/>
                <w:color w:val="B42318"/>
                <w:sz w:val="16"/>
              </w:rPr>
              <w:t>badge</w:t>
            </w:r>
            <w:r>
              <w:rPr>
                <w:sz w:val="17"/>
              </w:rPr>
              <w:t xml:space="preserve">, </w:t>
            </w:r>
            <w:r>
              <w:rPr>
                <w:rFonts w:ascii="Consolas" w:hAnsi="Consolas" w:cs="Consolas"/>
                <w:color w:val="B42318"/>
                <w:sz w:val="16"/>
              </w:rPr>
              <w:t>rv-chip</w:t>
            </w:r>
          </w:p>
        </w:tc>
        <w:tc>
          <w:tcPr>
            <w:tcW w:type="dxa" w:w="8610"/>
          </w:tcPr>
          <w:p>
            <w:pPr>
              <w:spacing w:after="0" w:line="252" w:lineRule="auto"/>
            </w:pPr>
            <w:r>
              <w:rPr>
                <w:sz w:val="17"/>
              </w:rPr>
              <w:t>semantic variants Success/Warning/Error/Info/Neutral/AI; icon + text; ≤ 6 per page</w:t>
            </w:r>
          </w:p>
        </w:tc>
      </w:tr>
      <w:tr>
        <w:trPr>
          <w:cantSplit/>
        </w:trPr>
        <w:tc>
          <w:tcPr>
            <w:tcW w:type="dxa" w:w="2945"/>
            <w:shd w:val="clear" w:color="auto" w:fill="F9FAFB"/>
          </w:tcPr>
          <w:p>
            <w:pPr>
              <w:spacing w:after="0" w:line="252" w:lineRule="auto"/>
            </w:pPr>
            <w:r>
              <w:rPr>
                <w:b/>
                <w:sz w:val="17"/>
              </w:rPr>
              <w:t>Data table</w:t>
            </w:r>
          </w:p>
        </w:tc>
        <w:tc>
          <w:tcPr>
            <w:tcW w:type="dxa" w:w="3468"/>
            <w:shd w:val="clear" w:color="auto" w:fill="F9FAFB"/>
          </w:tcPr>
          <w:p>
            <w:pPr>
              <w:spacing w:after="0" w:line="252" w:lineRule="auto"/>
            </w:pPr>
            <w:r>
              <w:rPr>
                <w:rFonts w:ascii="Consolas" w:hAnsi="Consolas" w:cs="Consolas"/>
                <w:color w:val="B42318"/>
                <w:sz w:val="16"/>
              </w:rPr>
              <w:t>table</w:t>
            </w:r>
            <w:r>
              <w:rPr>
                <w:sz w:val="17"/>
              </w:rPr>
              <w:t xml:space="preserve">, </w:t>
            </w:r>
            <w:r>
              <w:rPr>
                <w:rFonts w:ascii="Consolas" w:hAnsi="Consolas" w:cs="Consolas"/>
                <w:color w:val="B42318"/>
                <w:sz w:val="16"/>
              </w:rPr>
              <w:t>st-table-wrap</w:t>
            </w:r>
          </w:p>
        </w:tc>
        <w:tc>
          <w:tcPr>
            <w:tcW w:type="dxa" w:w="8610"/>
            <w:shd w:val="clear" w:color="auto" w:fill="F9FAFB"/>
          </w:tcPr>
          <w:p>
            <w:pPr>
              <w:spacing w:after="0" w:line="252" w:lineRule="auto"/>
            </w:pPr>
            <w:r>
              <w:rPr>
                <w:sz w:val="17"/>
              </w:rPr>
              <w:t>sticky header, numeric columns right-aligned/tabular, named date columns, row actions with 44 px targets, pagination, empty/error rows</w:t>
            </w:r>
          </w:p>
        </w:tc>
      </w:tr>
      <w:tr>
        <w:trPr>
          <w:cantSplit/>
        </w:trPr>
        <w:tc>
          <w:tcPr>
            <w:tcW w:type="dxa" w:w="2945"/>
          </w:tcPr>
          <w:p>
            <w:pPr>
              <w:spacing w:after="0" w:line="252" w:lineRule="auto"/>
            </w:pPr>
            <w:r>
              <w:rPr>
                <w:b/>
                <w:sz w:val="17"/>
              </w:rPr>
              <w:t>Chart frame</w:t>
            </w:r>
          </w:p>
        </w:tc>
        <w:tc>
          <w:tcPr>
            <w:tcW w:type="dxa" w:w="3468"/>
          </w:tcPr>
          <w:p>
            <w:pPr>
              <w:spacing w:after="0" w:line="252" w:lineRule="auto"/>
            </w:pPr>
            <w:r>
              <w:rPr>
                <w:sz w:val="17"/>
              </w:rPr>
              <w:t>Chart.js wrappers</w:t>
            </w:r>
          </w:p>
        </w:tc>
        <w:tc>
          <w:tcPr>
            <w:tcW w:type="dxa" w:w="8610"/>
          </w:tcPr>
          <w:p>
            <w:pPr>
              <w:spacing w:after="0" w:line="252" w:lineRule="auto"/>
            </w:pPr>
            <w:r>
              <w:rPr>
                <w:sz w:val="17"/>
              </w:rPr>
              <w:t>title, unit, legend, data-table toggle, caps per §20.4</w:t>
            </w:r>
          </w:p>
        </w:tc>
      </w:tr>
      <w:tr>
        <w:trPr>
          <w:cantSplit/>
        </w:trPr>
        <w:tc>
          <w:tcPr>
            <w:tcW w:type="dxa" w:w="2945"/>
            <w:shd w:val="clear" w:color="auto" w:fill="F9FAFB"/>
          </w:tcPr>
          <w:p>
            <w:pPr>
              <w:spacing w:after="0" w:line="252" w:lineRule="auto"/>
            </w:pPr>
            <w:r>
              <w:rPr>
                <w:b/>
                <w:sz w:val="17"/>
              </w:rPr>
              <w:t>Callout / notification</w:t>
            </w:r>
          </w:p>
        </w:tc>
        <w:tc>
          <w:tcPr>
            <w:tcW w:type="dxa" w:w="3468"/>
            <w:shd w:val="clear" w:color="auto" w:fill="F9FAFB"/>
          </w:tcPr>
          <w:p>
            <w:pPr>
              <w:spacing w:after="0" w:line="252" w:lineRule="auto"/>
            </w:pPr>
            <w:r>
              <w:rPr>
                <w:rFonts w:ascii="Consolas" w:hAnsi="Consolas" w:cs="Consolas"/>
                <w:color w:val="B42318"/>
                <w:sz w:val="16"/>
              </w:rPr>
              <w:t>rv-callout</w:t>
            </w:r>
            <w:r>
              <w:rPr>
                <w:sz w:val="17"/>
              </w:rPr>
              <w:t>, banners</w:t>
            </w:r>
          </w:p>
        </w:tc>
        <w:tc>
          <w:tcPr>
            <w:tcW w:type="dxa" w:w="8610"/>
            <w:shd w:val="clear" w:color="auto" w:fill="F9FAFB"/>
          </w:tcPr>
          <w:p>
            <w:pPr>
              <w:spacing w:after="0" w:line="252" w:lineRule="auto"/>
            </w:pPr>
            <w:r>
              <w:rPr>
                <w:sz w:val="17"/>
              </w:rPr>
              <w:t>Info/Warning/Error/Success; one per page; expandable details</w:t>
            </w:r>
          </w:p>
        </w:tc>
      </w:tr>
      <w:tr>
        <w:trPr>
          <w:cantSplit/>
        </w:trPr>
        <w:tc>
          <w:tcPr>
            <w:tcW w:type="dxa" w:w="2945"/>
          </w:tcPr>
          <w:p>
            <w:pPr>
              <w:spacing w:after="0" w:line="252" w:lineRule="auto"/>
            </w:pPr>
            <w:r>
              <w:rPr>
                <w:b/>
                <w:sz w:val="17"/>
              </w:rPr>
              <w:t>Empty / error / loading</w:t>
            </w:r>
          </w:p>
        </w:tc>
        <w:tc>
          <w:tcPr>
            <w:tcW w:type="dxa" w:w="3468"/>
          </w:tcPr>
          <w:p>
            <w:pPr>
              <w:spacing w:after="0" w:line="252" w:lineRule="auto"/>
            </w:pPr>
            <w:r>
              <w:rPr>
                <w:sz w:val="17"/>
              </w:rPr>
              <w:t>ad-hoc</w:t>
            </w:r>
          </w:p>
        </w:tc>
        <w:tc>
          <w:tcPr>
            <w:tcW w:type="dxa" w:w="8610"/>
          </w:tcPr>
          <w:p>
            <w:pPr>
              <w:spacing w:after="0" w:line="252" w:lineRule="auto"/>
            </w:pPr>
            <w:r>
              <w:rPr>
                <w:sz w:val="17"/>
              </w:rPr>
              <w:t>skeleton, empty (reason + reset action), error (retry + what happened), stale-data state</w:t>
            </w:r>
          </w:p>
        </w:tc>
      </w:tr>
      <w:tr>
        <w:trPr>
          <w:cantSplit/>
        </w:trPr>
        <w:tc>
          <w:tcPr>
            <w:tcW w:type="dxa" w:w="2945"/>
            <w:shd w:val="clear" w:color="auto" w:fill="F9FAFB"/>
          </w:tcPr>
          <w:p>
            <w:pPr>
              <w:spacing w:after="0" w:line="252" w:lineRule="auto"/>
            </w:pPr>
            <w:r>
              <w:rPr>
                <w:b/>
                <w:sz w:val="17"/>
              </w:rPr>
              <w:t>Tooltip + Definition popover</w:t>
            </w:r>
          </w:p>
        </w:tc>
        <w:tc>
          <w:tcPr>
            <w:tcW w:type="dxa" w:w="3468"/>
            <w:shd w:val="clear" w:color="auto" w:fill="F9FAFB"/>
          </w:tcPr>
          <w:p>
            <w:pPr>
              <w:spacing w:after="0" w:line="252" w:lineRule="auto"/>
            </w:pPr>
            <w:r>
              <w:rPr>
                <w:rFonts w:ascii="Consolas" w:hAnsi="Consolas" w:cs="Consolas"/>
                <w:color w:val="B42318"/>
                <w:sz w:val="16"/>
              </w:rPr>
              <w:t>title</w:t>
            </w:r>
            <w:r>
              <w:rPr>
                <w:sz w:val="17"/>
              </w:rPr>
              <w:t>, «?» dialog</w:t>
            </w:r>
          </w:p>
        </w:tc>
        <w:tc>
          <w:tcPr>
            <w:tcW w:type="dxa" w:w="8610"/>
            <w:shd w:val="clear" w:color="auto" w:fill="F9FAFB"/>
          </w:tcPr>
          <w:p>
            <w:pPr>
              <w:spacing w:after="0" w:line="252" w:lineRule="auto"/>
            </w:pPr>
            <w:r>
              <w:rPr>
                <w:sz w:val="17"/>
              </w:rPr>
              <w:t>per [DGA] tooltip; essentials never inside</w:t>
            </w:r>
          </w:p>
        </w:tc>
      </w:tr>
      <w:tr>
        <w:trPr>
          <w:cantSplit/>
        </w:trPr>
        <w:tc>
          <w:tcPr>
            <w:tcW w:type="dxa" w:w="2945"/>
          </w:tcPr>
          <w:p>
            <w:pPr>
              <w:spacing w:after="0" w:line="252" w:lineRule="auto"/>
            </w:pPr>
            <w:r>
              <w:rPr>
                <w:b/>
                <w:sz w:val="17"/>
              </w:rPr>
              <w:t>AI message &amp; AI chip</w:t>
            </w:r>
          </w:p>
        </w:tc>
        <w:tc>
          <w:tcPr>
            <w:tcW w:type="dxa" w:w="3468"/>
          </w:tcPr>
          <w:p>
            <w:pPr>
              <w:spacing w:after="0" w:line="252" w:lineRule="auto"/>
            </w:pPr>
            <w:r>
              <w:rPr>
                <w:sz w:val="17"/>
              </w:rPr>
              <w:t>Smart/Planning bubbles</w:t>
            </w:r>
          </w:p>
        </w:tc>
        <w:tc>
          <w:tcPr>
            <w:tcW w:type="dxa" w:w="8610"/>
          </w:tcPr>
          <w:p>
            <w:pPr>
              <w:spacing w:after="0" w:line="252" w:lineRule="auto"/>
            </w:pPr>
            <w:r>
              <w:rPr>
                <w:sz w:val="17"/>
              </w:rPr>
              <w:t>AI-assisted/rule-based chip, confidence level, "basis" expander, feedback and escalation controls, states thinking/generating/refining</w:t>
            </w:r>
          </w:p>
        </w:tc>
      </w:tr>
      <w:tr>
        <w:trPr>
          <w:cantSplit/>
        </w:trPr>
        <w:tc>
          <w:tcPr>
            <w:tcW w:type="dxa" w:w="2945"/>
            <w:shd w:val="clear" w:color="auto" w:fill="F9FAFB"/>
          </w:tcPr>
          <w:p>
            <w:pPr>
              <w:spacing w:after="0" w:line="252" w:lineRule="auto"/>
            </w:pPr>
            <w:r>
              <w:rPr>
                <w:b/>
                <w:sz w:val="17"/>
              </w:rPr>
              <w:t>Report/export template</w:t>
            </w:r>
          </w:p>
        </w:tc>
        <w:tc>
          <w:tcPr>
            <w:tcW w:type="dxa" w:w="3468"/>
            <w:shd w:val="clear" w:color="auto" w:fill="F9FAFB"/>
          </w:tcPr>
          <w:p>
            <w:pPr>
              <w:spacing w:after="0" w:line="252" w:lineRule="auto"/>
            </w:pPr>
            <w:r>
              <w:rPr>
                <w:rFonts w:ascii="Consolas" w:hAnsi="Consolas" w:cs="Consolas"/>
                <w:color w:val="B42318"/>
                <w:sz w:val="16"/>
              </w:rPr>
              <w:t>exportReportModel</w:t>
            </w:r>
          </w:p>
        </w:tc>
        <w:tc>
          <w:tcPr>
            <w:tcW w:type="dxa" w:w="8610"/>
            <w:shd w:val="clear" w:color="auto" w:fill="F9FAFB"/>
          </w:tcPr>
          <w:p>
            <w:pPr>
              <w:spacing w:after="0" w:line="252" w:lineRule="auto"/>
            </w:pPr>
            <w:r>
              <w:rPr>
                <w:sz w:val="17"/>
              </w:rPr>
              <w:t>logo, header/footer, page numbers, token fonts/colours — pending the logo (G-01)</w:t>
            </w:r>
          </w:p>
        </w:tc>
      </w:tr>
    </w:tbl>
    <w:p>
      <w:pPr>
        <w:spacing w:after="40"/>
      </w:pPr>
    </w:p>
    <w:p>
      <w:pPr>
        <w:pStyle w:val="Heading3"/>
      </w:pPr>
      <w:r>
        <w:t>20.6 Governance</w:t>
      </w:r>
    </w:p>
    <w:p>
      <w:r>
        <w:t>A token file (</w:t>
      </w:r>
      <w:r>
        <w:rPr>
          <w:rFonts w:ascii="Consolas" w:hAnsi="Consolas" w:cs="Consolas"/>
          <w:color w:val="B42318"/>
          <w:sz w:val="19"/>
        </w:rPr>
        <w:t>tokens.css</w:t>
      </w:r>
      <w:r>
        <w:t xml:space="preserve">/JSON) as the single source; lint rules forbidding raw hex, off-scale font sizes and non-token spacing in new code; automated axe + contrast checks; a visual-regression set for the 13 routes; a copy lint (no raw keys/ids, no English in Arabic strings, ≤ N pills per page); a short </w:t>
      </w:r>
      <w:r>
        <w:rPr>
          <w:rtl/>
          <w:rFonts w:cs="Arial"/>
        </w:rPr>
        <w:t>‫«دليل المنتج»‬</w:t>
      </w:r>
      <w:r>
        <w:t xml:space="preserve"> page listing the tokens and components for the team.</w:t>
      </w:r>
    </w:p>
    <w:p>
      <w:pPr>
        <w:pStyle w:val="Heading2"/>
      </w:pPr>
      <w:r>
        <w:t>21. Consolidated remediation plan (supersedes the phases in §6 and §14)</w:t>
      </w:r>
    </w:p>
    <w:p>
      <w:r>
        <w:t>One plan for the functional (F-), content (C-), date (D-), hierarchy (H-) and visual (G-) findings. Order follows risk: misleading numbers and unusable controls first, then the shared foundation, then page migration, then conformance.</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576"/>
        <w:gridCol w:w="1794"/>
        <w:gridCol w:w="4826"/>
        <w:gridCol w:w="2003"/>
        <w:gridCol w:w="4826"/>
      </w:tblGrid>
      <w:tr>
        <w:trPr>
          <w:tblHeader w:val="true"/>
          <w:cantSplit/>
        </w:trPr>
        <w:tc>
          <w:tcPr>
            <w:tcW w:type="dxa" w:w="1576"/>
            <w:shd w:val="clear" w:color="auto" w:fill="1B8354"/>
          </w:tcPr>
          <w:p>
            <w:pPr>
              <w:spacing w:after="0" w:line="252" w:lineRule="auto"/>
            </w:pPr>
            <w:r>
              <w:rPr>
                <w:b/>
                <w:color w:val="FFFFFF"/>
                <w:sz w:val="17"/>
              </w:rPr>
              <w:t>Phase</w:t>
            </w:r>
          </w:p>
        </w:tc>
        <w:tc>
          <w:tcPr>
            <w:tcW w:type="dxa" w:w="1794"/>
            <w:shd w:val="clear" w:color="auto" w:fill="1B8354"/>
          </w:tcPr>
          <w:p>
            <w:pPr>
              <w:spacing w:after="0" w:line="252" w:lineRule="auto"/>
            </w:pPr>
            <w:r>
              <w:rPr>
                <w:b/>
                <w:color w:val="FFFFFF"/>
                <w:sz w:val="17"/>
              </w:rPr>
              <w:t>Goal</w:t>
            </w:r>
          </w:p>
        </w:tc>
        <w:tc>
          <w:tcPr>
            <w:tcW w:type="dxa" w:w="4826"/>
            <w:shd w:val="clear" w:color="auto" w:fill="1B8354"/>
          </w:tcPr>
          <w:p>
            <w:pPr>
              <w:spacing w:after="0" w:line="252" w:lineRule="auto"/>
            </w:pPr>
            <w:r>
              <w:rPr>
                <w:b/>
                <w:color w:val="FFFFFF"/>
                <w:sz w:val="17"/>
              </w:rPr>
              <w:t>Work items (finding ids)</w:t>
            </w:r>
          </w:p>
        </w:tc>
        <w:tc>
          <w:tcPr>
            <w:tcW w:type="dxa" w:w="2003"/>
            <w:shd w:val="clear" w:color="auto" w:fill="1B8354"/>
          </w:tcPr>
          <w:p>
            <w:pPr>
              <w:spacing w:after="0" w:line="252" w:lineRule="auto"/>
            </w:pPr>
            <w:r>
              <w:rPr>
                <w:b/>
                <w:color w:val="FFFFFF"/>
                <w:sz w:val="17"/>
              </w:rPr>
              <w:t>Depends on</w:t>
            </w:r>
          </w:p>
        </w:tc>
        <w:tc>
          <w:tcPr>
            <w:tcW w:type="dxa" w:w="4826"/>
            <w:shd w:val="clear" w:color="auto" w:fill="1B8354"/>
          </w:tcPr>
          <w:p>
            <w:pPr>
              <w:spacing w:after="0" w:line="252" w:lineRule="auto"/>
            </w:pPr>
            <w:r>
              <w:rPr>
                <w:b/>
                <w:color w:val="FFFFFF"/>
                <w:sz w:val="17"/>
              </w:rPr>
              <w:t>Exit criteria</w:t>
            </w:r>
          </w:p>
        </w:tc>
      </w:tr>
      <w:tr>
        <w:trPr>
          <w:cantSplit/>
        </w:trPr>
        <w:tc>
          <w:tcPr>
            <w:tcW w:type="dxa" w:w="1576"/>
          </w:tcPr>
          <w:p>
            <w:pPr>
              <w:spacing w:after="0" w:line="252" w:lineRule="auto"/>
            </w:pPr>
            <w:r>
              <w:rPr>
                <w:b/>
                <w:sz w:val="17"/>
              </w:rPr>
              <w:t>0 — Stop-the-line</w:t>
            </w:r>
          </w:p>
        </w:tc>
        <w:tc>
          <w:tcPr>
            <w:tcW w:type="dxa" w:w="1794"/>
          </w:tcPr>
          <w:p>
            <w:pPr>
              <w:spacing w:after="0" w:line="252" w:lineRule="auto"/>
            </w:pPr>
            <w:r>
              <w:rPr>
                <w:sz w:val="17"/>
              </w:rPr>
              <w:t>nothing misleading or unusable</w:t>
            </w:r>
          </w:p>
        </w:tc>
        <w:tc>
          <w:tcPr>
            <w:tcW w:type="dxa" w:w="4826"/>
          </w:tcPr>
          <w:p>
            <w:pPr>
              <w:spacing w:after="0" w:line="252" w:lineRule="auto"/>
            </w:pPr>
            <w:r>
              <w:rPr>
                <w:sz w:val="17"/>
              </w:rPr>
              <w:t xml:space="preserve">numbers and bases: F-01, F-02, F-03, F-04 (guard), F-05 (guard), F-08 (labels), F-09, F-12; dates: D-01, D-02, D-04, D-05, D-06, D-07; governance: F-06, F-07 (guards); </w:t>
            </w:r>
            <w:r>
              <w:rPr>
                <w:b/>
                <w:sz w:val="17"/>
              </w:rPr>
              <w:t>G-06 Sanad button (1.15:1) and the worst danger-text contrast</w:t>
            </w:r>
            <w:r>
              <w:rPr>
                <w:sz w:val="17"/>
              </w:rPr>
              <w:t>; F-10 PowerPoint truncation; F-17 broken link; C-01 false statements</w:t>
            </w:r>
          </w:p>
        </w:tc>
        <w:tc>
          <w:tcPr>
            <w:tcW w:type="dxa" w:w="2003"/>
          </w:tcPr>
          <w:p>
            <w:pPr>
              <w:spacing w:after="0" w:line="252" w:lineRule="auto"/>
            </w:pPr>
            <w:r>
              <w:rPr>
                <w:sz w:val="17"/>
              </w:rPr>
              <w:t>–</w:t>
            </w:r>
          </w:p>
        </w:tc>
        <w:tc>
          <w:tcPr>
            <w:tcW w:type="dxa" w:w="4826"/>
          </w:tcPr>
          <w:p>
            <w:pPr>
              <w:spacing w:after="0" w:line="252" w:lineRule="auto"/>
            </w:pPr>
            <w:r>
              <w:rPr>
                <w:sz w:val="17"/>
              </w:rPr>
              <w:t>cross-view parity test passes; no AA failure on the worst 5 pages' primary actions</w:t>
            </w:r>
          </w:p>
        </w:tc>
      </w:tr>
      <w:tr>
        <w:trPr>
          <w:cantSplit/>
        </w:trPr>
        <w:tc>
          <w:tcPr>
            <w:tcW w:type="dxa" w:w="1576"/>
            <w:shd w:val="clear" w:color="auto" w:fill="F9FAFB"/>
          </w:tcPr>
          <w:p>
            <w:pPr>
              <w:spacing w:after="0" w:line="252" w:lineRule="auto"/>
            </w:pPr>
            <w:r>
              <w:rPr>
                <w:b/>
                <w:sz w:val="17"/>
              </w:rPr>
              <w:t>1 — Foundation</w:t>
            </w:r>
          </w:p>
        </w:tc>
        <w:tc>
          <w:tcPr>
            <w:tcW w:type="dxa" w:w="1794"/>
            <w:shd w:val="clear" w:color="auto" w:fill="F9FAFB"/>
          </w:tcPr>
          <w:p>
            <w:pPr>
              <w:spacing w:after="0" w:line="252" w:lineRule="auto"/>
            </w:pPr>
            <w:r>
              <w:rPr>
                <w:sz w:val="17"/>
              </w:rPr>
              <w:t>one design system</w:t>
            </w:r>
          </w:p>
        </w:tc>
        <w:tc>
          <w:tcPr>
            <w:tcW w:type="dxa" w:w="4826"/>
            <w:shd w:val="clear" w:color="auto" w:fill="F9FAFB"/>
          </w:tcPr>
          <w:p>
            <w:pPr>
              <w:spacing w:after="0" w:line="252" w:lineRule="auto"/>
            </w:pPr>
            <w:r>
              <w:rPr>
                <w:sz w:val="17"/>
              </w:rPr>
              <w:t>tokens and fonts (G-02, G-03, G-04, G-09, G-26); self-hosted Plex; logo/identity slot and naming (G-01, G-25 — needs assets, Q19); icons (G-11); focus/targets (G-07, G-08); shell with headings/landmarks/skip link/footer/404 (G-17, G-18); glossary and microcopy (C-02–C-10, §10.2–10.3); shared period control and filter on the DGA patterns (D-03, D-08, D-09, D-15, G-12, G-15); KPI card, tag, table, callout, states (G-16, G-19, G-05)</w:t>
            </w:r>
          </w:p>
        </w:tc>
        <w:tc>
          <w:tcPr>
            <w:tcW w:type="dxa" w:w="2003"/>
            <w:shd w:val="clear" w:color="auto" w:fill="F9FAFB"/>
          </w:tcPr>
          <w:p>
            <w:pPr>
              <w:spacing w:after="0" w:line="252" w:lineRule="auto"/>
            </w:pPr>
            <w:r>
              <w:rPr>
                <w:sz w:val="17"/>
              </w:rPr>
              <w:t>assets and decisions Q19–Q25; DGA Figma kit</w:t>
            </w:r>
          </w:p>
        </w:tc>
        <w:tc>
          <w:tcPr>
            <w:tcW w:type="dxa" w:w="4826"/>
            <w:shd w:val="clear" w:color="auto" w:fill="F9FAFB"/>
          </w:tcPr>
          <w:p>
            <w:pPr>
              <w:spacing w:after="0" w:line="252" w:lineRule="auto"/>
            </w:pPr>
            <w:r>
              <w:rPr>
                <w:sz w:val="17"/>
              </w:rPr>
              <w:t>token lint + axe pass on a sample page built from the shell</w:t>
            </w:r>
          </w:p>
        </w:tc>
      </w:tr>
      <w:tr>
        <w:trPr>
          <w:cantSplit/>
        </w:trPr>
        <w:tc>
          <w:tcPr>
            <w:tcW w:type="dxa" w:w="1576"/>
          </w:tcPr>
          <w:p>
            <w:pPr>
              <w:spacing w:after="0" w:line="252" w:lineRule="auto"/>
            </w:pPr>
            <w:r>
              <w:rPr>
                <w:b/>
                <w:sz w:val="17"/>
              </w:rPr>
              <w:t>2 — Migration</w:t>
            </w:r>
          </w:p>
        </w:tc>
        <w:tc>
          <w:tcPr>
            <w:tcW w:type="dxa" w:w="1794"/>
          </w:tcPr>
          <w:p>
            <w:pPr>
              <w:spacing w:after="0" w:line="252" w:lineRule="auto"/>
            </w:pPr>
            <w:r>
              <w:rPr>
                <w:sz w:val="17"/>
              </w:rPr>
              <w:t>every page on the system</w:t>
            </w:r>
          </w:p>
        </w:tc>
        <w:tc>
          <w:tcPr>
            <w:tcW w:type="dxa" w:w="4826"/>
          </w:tcPr>
          <w:p>
            <w:pPr>
              <w:spacing w:after="0" w:line="252" w:lineRule="auto"/>
            </w:pPr>
            <w:r>
              <w:rPr>
                <w:sz w:val="17"/>
              </w:rPr>
              <w:t>order: Dashboard → Fixed reports → Smart reports → Planning (+ F-04 plan anchoring, F-06/F-07 workflow, F-24 scenarios) → Invoices → Collection → Exclusions → Risk/Data sources/Metrics → Contracts/Sanad/Investment → Login rewrite (G-22) → charts per caps (G-13) → tooltips (G-14) → RTL/mixed content (G-20) → AI extensions (G-21)</w:t>
            </w:r>
          </w:p>
        </w:tc>
        <w:tc>
          <w:tcPr>
            <w:tcW w:type="dxa" w:w="2003"/>
          </w:tcPr>
          <w:p>
            <w:pPr>
              <w:spacing w:after="0" w:line="252" w:lineRule="auto"/>
            </w:pPr>
            <w:r>
              <w:rPr>
                <w:sz w:val="17"/>
              </w:rPr>
              <w:t>Phase 1</w:t>
            </w:r>
          </w:p>
        </w:tc>
        <w:tc>
          <w:tcPr>
            <w:tcW w:type="dxa" w:w="4826"/>
          </w:tcPr>
          <w:p>
            <w:pPr>
              <w:spacing w:after="0" w:line="252" w:lineRule="auto"/>
            </w:pPr>
            <w:r>
              <w:rPr>
                <w:sz w:val="17"/>
              </w:rPr>
              <w:t xml:space="preserve">each page: one </w:t>
            </w:r>
            <w:r>
              <w:rPr>
                <w:rFonts w:ascii="Consolas" w:hAnsi="Consolas" w:cs="Consolas"/>
                <w:color w:val="B42318"/>
                <w:sz w:val="16"/>
              </w:rPr>
              <w:t>h1</w:t>
            </w:r>
            <w:r>
              <w:rPr>
                <w:sz w:val="17"/>
              </w:rPr>
              <w:t>, ≤ 6 pills, only tokens, AA, 44 px targets; visual-regression baselines</w:t>
            </w:r>
          </w:p>
        </w:tc>
      </w:tr>
      <w:tr>
        <w:trPr>
          <w:cantSplit/>
        </w:trPr>
        <w:tc>
          <w:tcPr>
            <w:tcW w:type="dxa" w:w="1576"/>
            <w:shd w:val="clear" w:color="auto" w:fill="F9FAFB"/>
          </w:tcPr>
          <w:p>
            <w:pPr>
              <w:spacing w:after="0" w:line="252" w:lineRule="auto"/>
            </w:pPr>
            <w:r>
              <w:rPr>
                <w:b/>
                <w:sz w:val="17"/>
              </w:rPr>
              <w:t>3 — Conformance and outputs</w:t>
            </w:r>
          </w:p>
        </w:tc>
        <w:tc>
          <w:tcPr>
            <w:tcW w:type="dxa" w:w="1794"/>
            <w:shd w:val="clear" w:color="auto" w:fill="F9FAFB"/>
          </w:tcPr>
          <w:p>
            <w:pPr>
              <w:spacing w:after="0" w:line="252" w:lineRule="auto"/>
            </w:pPr>
            <w:r>
              <w:rPr>
                <w:sz w:val="17"/>
              </w:rPr>
              <w:t>prove it</w:t>
            </w:r>
          </w:p>
        </w:tc>
        <w:tc>
          <w:tcPr>
            <w:tcW w:type="dxa" w:w="4826"/>
            <w:shd w:val="clear" w:color="auto" w:fill="F9FAFB"/>
          </w:tcPr>
          <w:p>
            <w:pPr>
              <w:spacing w:after="0" w:line="252" w:lineRule="auto"/>
            </w:pPr>
            <w:r>
              <w:rPr>
                <w:sz w:val="17"/>
              </w:rPr>
              <w:t>accessibility pass (axe + keyboard + screen reader on the five main journeys); mobile/tablet/desktop review at 375/768/1,280; exports on the template (G-23) with parity tests (F-10); dark-mode decision (G-24); performance/loading states at the full demo size (F-12)</w:t>
            </w:r>
          </w:p>
        </w:tc>
        <w:tc>
          <w:tcPr>
            <w:tcW w:type="dxa" w:w="2003"/>
            <w:shd w:val="clear" w:color="auto" w:fill="F9FAFB"/>
          </w:tcPr>
          <w:p>
            <w:pPr>
              <w:spacing w:after="0" w:line="252" w:lineRule="auto"/>
            </w:pPr>
            <w:r>
              <w:rPr>
                <w:sz w:val="17"/>
              </w:rPr>
              <w:t>Phase 2</w:t>
            </w:r>
          </w:p>
        </w:tc>
        <w:tc>
          <w:tcPr>
            <w:tcW w:type="dxa" w:w="4826"/>
            <w:shd w:val="clear" w:color="auto" w:fill="F9FAFB"/>
          </w:tcPr>
          <w:p>
            <w:pPr>
              <w:spacing w:after="0" w:line="252" w:lineRule="auto"/>
            </w:pPr>
            <w:r>
              <w:rPr>
                <w:sz w:val="17"/>
              </w:rPr>
              <w:t>conformance checklist signed off; remaining exceptions documented</w:t>
            </w:r>
          </w:p>
        </w:tc>
      </w:tr>
      <w:tr>
        <w:trPr>
          <w:cantSplit/>
        </w:trPr>
        <w:tc>
          <w:tcPr>
            <w:tcW w:type="dxa" w:w="1576"/>
          </w:tcPr>
          <w:p>
            <w:pPr>
              <w:spacing w:after="0" w:line="252" w:lineRule="auto"/>
            </w:pPr>
            <w:r>
              <w:rPr>
                <w:b/>
                <w:sz w:val="17"/>
              </w:rPr>
              <w:t>4 — Platform</w:t>
            </w:r>
          </w:p>
        </w:tc>
        <w:tc>
          <w:tcPr>
            <w:tcW w:type="dxa" w:w="1794"/>
          </w:tcPr>
          <w:p>
            <w:pPr>
              <w:spacing w:after="0" w:line="252" w:lineRule="auto"/>
            </w:pPr>
            <w:r>
              <w:rPr>
                <w:sz w:val="17"/>
              </w:rPr>
              <w:t>durable and governed</w:t>
            </w:r>
          </w:p>
        </w:tc>
        <w:tc>
          <w:tcPr>
            <w:tcW w:type="dxa" w:w="4826"/>
          </w:tcPr>
          <w:p>
            <w:pPr>
              <w:spacing w:after="0" w:line="252" w:lineRule="auto"/>
            </w:pPr>
            <w:r>
              <w:rPr>
                <w:sz w:val="17"/>
              </w:rPr>
              <w:t>server-side store and roles (F-19), approval authority (Q4), content/glossary ownership (Q16), commit history and removal of orphaned modules (F-28), LLM option if wanted</w:t>
            </w:r>
          </w:p>
        </w:tc>
        <w:tc>
          <w:tcPr>
            <w:tcW w:type="dxa" w:w="2003"/>
          </w:tcPr>
          <w:p>
            <w:pPr>
              <w:spacing w:after="0" w:line="252" w:lineRule="auto"/>
            </w:pPr>
            <w:r>
              <w:rPr>
                <w:sz w:val="17"/>
              </w:rPr>
              <w:t>decisions</w:t>
            </w:r>
          </w:p>
        </w:tc>
        <w:tc>
          <w:tcPr>
            <w:tcW w:type="dxa" w:w="4826"/>
          </w:tcPr>
          <w:p>
            <w:pPr>
              <w:spacing w:after="0" w:line="252" w:lineRule="auto"/>
            </w:pPr>
            <w:r>
              <w:rPr>
                <w:sz w:val="17"/>
              </w:rPr>
              <w:t>audit trail; role tests</w:t>
            </w:r>
          </w:p>
        </w:tc>
      </w:tr>
    </w:tbl>
    <w:p>
      <w:pPr>
        <w:spacing w:after="40"/>
      </w:pPr>
    </w:p>
    <w:p>
      <w:r>
        <w:rPr>
          <w:b/>
        </w:rPr>
        <w:t>Acceptance tests to add (cumulative):</w:t>
      </w:r>
      <w:r>
        <w:t xml:space="preserve"> same-scope cross-view numbers; relations/report block contract; export parity; period-module table tests (D-); interpreter golden phrases (F-05); timestamp formatting in Asia/Riyadh; bilingual script and no-raw-key copy lint; </w:t>
      </w:r>
      <w:r>
        <w:rPr>
          <w:b/>
        </w:rPr>
        <w:t>design-token lint, axe-core run per route, contrast table, target-size check, heading-structure check, visual-regression snapshots</w:t>
      </w:r>
      <w:r>
        <w:t>.</w:t>
      </w:r>
    </w:p>
    <w:p>
      <w:pPr>
        <w:pStyle w:val="Heading2"/>
      </w:pPr>
      <w:r>
        <w:t>22. Additional questions (Q19–Q27)</w:t>
      </w:r>
    </w:p>
    <w:p>
      <w:pPr>
        <w:spacing w:after="40"/>
        <w:ind w:left="510" w:hanging="283"/>
      </w:pPr>
      <w:r>
        <w:t xml:space="preserve">19.  </w:t>
      </w:r>
      <w:r>
        <w:rPr>
          <w:b/>
        </w:rPr>
        <w:t>Logo and identity:</w:t>
      </w:r>
      <w:r>
        <w:t xml:space="preserve"> which marks must appear (MOMAH, NHC Innovation, DGA/flag lockup), in which versions and where? Please provide the official files and usage rules — none were in the material.</w:t>
      </w:r>
    </w:p>
    <w:p>
      <w:pPr>
        <w:spacing w:after="40"/>
        <w:ind w:left="510" w:hanging="283"/>
      </w:pPr>
      <w:r>
        <w:t xml:space="preserve">20.  </w:t>
      </w:r>
      <w:r>
        <w:rPr>
          <w:b/>
        </w:rPr>
        <w:t>Product name:</w:t>
      </w:r>
      <w:r>
        <w:t xml:space="preserve"> keep </w:t>
      </w:r>
      <w:r>
        <w:rPr>
          <w:rtl/>
          <w:rFonts w:cs="Arial"/>
        </w:rPr>
        <w:t>‫«منصة الفواتير الذكية / INTELLIBILL»‬</w:t>
      </w:r>
      <w:r>
        <w:t xml:space="preserve"> or adopt the approved MOMAH product name for the tab title, header and exports?</w:t>
      </w:r>
    </w:p>
    <w:p>
      <w:pPr>
        <w:spacing w:after="40"/>
        <w:ind w:left="510" w:hanging="283"/>
      </w:pPr>
      <w:r>
        <w:t xml:space="preserve">21.  </w:t>
      </w:r>
      <w:r>
        <w:rPr>
          <w:b/>
        </w:rPr>
        <w:t>Reference completeness:</w:t>
      </w:r>
      <w:r>
        <w:t xml:space="preserve"> can you share the rest of the deck (slides 3–20 and 32–46) and the DGA </w:t>
      </w:r>
      <w:r>
        <w:rPr>
          <w:b/>
        </w:rPr>
        <w:t>Figma UI kit</w:t>
      </w:r>
      <w:r>
        <w:t>, so component dimensions, states and the elevation/radius rules can be matched exactly?</w:t>
      </w:r>
    </w:p>
    <w:p>
      <w:pPr>
        <w:spacing w:after="40"/>
        <w:ind w:left="510" w:hanging="283"/>
      </w:pPr>
      <w:r>
        <w:t xml:space="preserve">22.  </w:t>
      </w:r>
      <w:r>
        <w:rPr>
          <w:b/>
        </w:rPr>
        <w:t>Latin font:</w:t>
      </w:r>
      <w:r>
        <w:t xml:space="preserve"> is IBM Plex Sans Arabic acceptable for Latin text/numerals, or must English use IBM Plex Sans (the deck shows both)?</w:t>
      </w:r>
    </w:p>
    <w:p>
      <w:pPr>
        <w:spacing w:after="40"/>
        <w:ind w:left="510" w:hanging="283"/>
      </w:pPr>
      <w:r>
        <w:t xml:space="preserve">23.  </w:t>
      </w:r>
      <w:r>
        <w:rPr>
          <w:b/>
        </w:rPr>
        <w:t>Icons:</w:t>
      </w:r>
      <w:r>
        <w:t xml:space="preserve"> Hugeicons (deck) or the DGA icon set (DGA site)? If Hugeicons, which style and licence (free vs Pro)?</w:t>
      </w:r>
    </w:p>
    <w:p>
      <w:pPr>
        <w:spacing w:after="40"/>
        <w:ind w:left="510" w:hanging="283"/>
      </w:pPr>
      <w:r>
        <w:t xml:space="preserve">24.  </w:t>
      </w:r>
      <w:r>
        <w:rPr>
          <w:b/>
        </w:rPr>
        <w:t>Dark theme:</w:t>
      </w:r>
      <w:r>
        <w:t xml:space="preserve"> required, optional or to be removed? (The reference is silent; the product ships one.)</w:t>
      </w:r>
    </w:p>
    <w:p>
      <w:pPr>
        <w:spacing w:after="40"/>
        <w:ind w:left="510" w:hanging="283"/>
      </w:pPr>
      <w:r>
        <w:t xml:space="preserve">25.  </w:t>
      </w:r>
      <w:r>
        <w:rPr>
          <w:b/>
        </w:rPr>
        <w:t>Accents:</w:t>
      </w:r>
      <w:r>
        <w:t xml:space="preserve"> may the product keep a documented violet/blue accent for AI and categorical data (the deck allows additional accents), or must it stay strictly on the DGA palettes?</w:t>
      </w:r>
    </w:p>
    <w:p>
      <w:pPr>
        <w:spacing w:after="40"/>
        <w:ind w:left="510" w:hanging="283"/>
      </w:pPr>
      <w:r>
        <w:t xml:space="preserve">26.  </w:t>
      </w:r>
      <w:r>
        <w:rPr>
          <w:b/>
        </w:rPr>
        <w:t>Compliance level:</w:t>
      </w:r>
      <w:r>
        <w:t xml:space="preserve"> is WCAG 2.1 AA (as stated by DGA) the target, or 2.2 AA (24 px target minimum)? Is a formal accessibility test required before release?</w:t>
      </w:r>
    </w:p>
    <w:p>
      <w:pPr>
        <w:spacing w:after="40"/>
        <w:ind w:left="510" w:hanging="283"/>
      </w:pPr>
      <w:r>
        <w:t xml:space="preserve">27.  </w:t>
      </w:r>
      <w:r>
        <w:rPr>
          <w:b/>
        </w:rPr>
        <w:t>Exports:</w:t>
      </w:r>
      <w:r>
        <w:t xml:space="preserve"> should Word/Excel/PowerPoint carry the logo and a standard header/footer, and who supplies the template?</w:t>
      </w:r>
    </w:p>
    <w:p>
      <w:pPr>
        <w:pStyle w:val="Heading2"/>
      </w:pPr>
      <w:r>
        <w:t>23. Limits of Part C</w:t>
      </w:r>
    </w:p>
    <w:p>
      <w:pPr>
        <w:spacing w:after="40"/>
        <w:ind w:left="510" w:hanging="283"/>
      </w:pPr>
      <w:r>
        <w:t xml:space="preserve">•  </w:t>
      </w:r>
      <w:r>
        <w:t xml:space="preserve">The deck supplied is </w:t>
      </w:r>
      <w:r>
        <w:rPr>
          <w:b/>
        </w:rPr>
        <w:t>15 of 47 slides</w:t>
      </w:r>
      <w:r>
        <w:t>; "explicit MOMAH requirements" are therefore limited to what these slides and the DGA site state. The deck is not a MOMAH identity manual (no logo rules).</w:t>
      </w:r>
    </w:p>
    <w:p>
      <w:pPr>
        <w:spacing w:after="40"/>
        <w:ind w:left="510" w:hanging="283"/>
      </w:pPr>
      <w:r>
        <w:t xml:space="preserve">•  </w:t>
      </w:r>
      <w:r>
        <w:t>Colour codes were read from a 200 dpi render of the slide, not from the Figma source; one value (Info 50) looks mistyped.</w:t>
      </w:r>
    </w:p>
    <w:p>
      <w:pPr>
        <w:spacing w:after="40"/>
        <w:ind w:left="510" w:hanging="283"/>
      </w:pPr>
      <w:r>
        <w:t xml:space="preserve">•  </w:t>
      </w:r>
      <w:r>
        <w:t>The DGA site is a single-page application; I read the text of the pages listed in §17.1 through the built-in browser. Pages not read are listed there. Component demos were not exercised.</w:t>
      </w:r>
    </w:p>
    <w:p>
      <w:pPr>
        <w:spacing w:after="40"/>
        <w:ind w:left="510" w:hanging="283"/>
      </w:pPr>
      <w:r>
        <w:t xml:space="preserve">•  </w:t>
      </w:r>
      <w:r>
        <w:t>The contrast/size/spacing figures come from a scripted pass over computed styles (§18.2): they are indicative and use the composited background; gradients and images are not sampled. No screen reader was used; dark mode, the 375 px layout (measured earlier at 390 px) and the full demo size were not re-tested in this pass.</w:t>
      </w:r>
    </w:p>
    <w:p>
      <w:pPr>
        <w:spacing w:after="40"/>
        <w:ind w:left="510" w:hanging="283"/>
      </w:pPr>
      <w:r>
        <w:t xml:space="preserve">•  </w:t>
      </w:r>
      <w:r>
        <w:t>Screenshots attached to the briefs were not visible to me; observations come from the running app and code.</w:t>
      </w:r>
    </w:p>
    <w:p>
      <w:pPr>
        <w:spacing w:after="40"/>
        <w:ind w:left="510" w:hanging="283"/>
      </w:pPr>
      <w:r>
        <w:t xml:space="preserve">•  </w:t>
      </w:r>
      <w:r>
        <w:t>Nothing in the product was modified during Part C. UI filters were changed during testing and reset; the earlier disclosure in §9 still applies.</w:t>
      </w:r>
    </w:p>
    <w:p>
      <w:pPr>
        <w:pStyle w:val="Heading2"/>
      </w:pPr>
      <w:r>
        <w:t>24. Decisions received on Part C questions (2026-10-09) and their effect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877"/>
        <w:gridCol w:w="2862"/>
        <w:gridCol w:w="5142"/>
        <w:gridCol w:w="5142"/>
      </w:tblGrid>
      <w:tr>
        <w:trPr>
          <w:tblHeader w:val="true"/>
          <w:cantSplit/>
        </w:trPr>
        <w:tc>
          <w:tcPr>
            <w:tcW w:type="dxa" w:w="1877"/>
            <w:shd w:val="clear" w:color="auto" w:fill="1B8354"/>
          </w:tcPr>
          <w:p>
            <w:pPr>
              <w:spacing w:after="0" w:line="252" w:lineRule="auto"/>
            </w:pPr>
            <w:r>
              <w:rPr>
                <w:b/>
                <w:color w:val="FFFFFF"/>
                <w:sz w:val="17"/>
              </w:rPr>
              <w:t>Q</w:t>
            </w:r>
          </w:p>
        </w:tc>
        <w:tc>
          <w:tcPr>
            <w:tcW w:type="dxa" w:w="2862"/>
            <w:shd w:val="clear" w:color="auto" w:fill="1B8354"/>
          </w:tcPr>
          <w:p>
            <w:pPr>
              <w:spacing w:after="0" w:line="252" w:lineRule="auto"/>
            </w:pPr>
            <w:r>
              <w:rPr>
                <w:b/>
                <w:color w:val="FFFFFF"/>
                <w:sz w:val="17"/>
              </w:rPr>
              <w:t>Your answer</w:t>
            </w:r>
          </w:p>
        </w:tc>
        <w:tc>
          <w:tcPr>
            <w:tcW w:type="dxa" w:w="5142"/>
            <w:shd w:val="clear" w:color="auto" w:fill="1B8354"/>
          </w:tcPr>
          <w:p>
            <w:pPr>
              <w:spacing w:after="0" w:line="252" w:lineRule="auto"/>
            </w:pPr>
            <w:r>
              <w:rPr>
                <w:b/>
                <w:color w:val="FFFFFF"/>
                <w:sz w:val="17"/>
              </w:rPr>
              <w:t>What I verified afterwards</w:t>
            </w:r>
          </w:p>
        </w:tc>
        <w:tc>
          <w:tcPr>
            <w:tcW w:type="dxa" w:w="5142"/>
            <w:shd w:val="clear" w:color="auto" w:fill="1B8354"/>
          </w:tcPr>
          <w:p>
            <w:pPr>
              <w:spacing w:after="0" w:line="252" w:lineRule="auto"/>
            </w:pPr>
            <w:r>
              <w:rPr>
                <w:b/>
                <w:color w:val="FFFFFF"/>
                <w:sz w:val="17"/>
              </w:rPr>
              <w:t>Effect on the findings and plan</w:t>
            </w:r>
          </w:p>
        </w:tc>
      </w:tr>
      <w:tr>
        <w:trPr>
          <w:cantSplit/>
        </w:trPr>
        <w:tc>
          <w:tcPr>
            <w:tcW w:type="dxa" w:w="1877"/>
          </w:tcPr>
          <w:p>
            <w:pPr>
              <w:spacing w:after="0" w:line="252" w:lineRule="auto"/>
            </w:pPr>
            <w:r>
              <w:rPr>
                <w:b/>
                <w:sz w:val="17"/>
              </w:rPr>
              <w:t>Q19</w:t>
            </w:r>
            <w:r>
              <w:rPr>
                <w:sz w:val="17"/>
              </w:rPr>
              <w:t xml:space="preserve"> Logos</w:t>
            </w:r>
          </w:p>
        </w:tc>
        <w:tc>
          <w:tcPr>
            <w:tcW w:type="dxa" w:w="2862"/>
          </w:tcPr>
          <w:p>
            <w:pPr>
              <w:spacing w:after="0" w:line="252" w:lineRule="auto"/>
            </w:pPr>
            <w:r>
              <w:rPr>
                <w:b/>
                <w:sz w:val="17"/>
              </w:rPr>
              <w:t>MOMAH</w:t>
            </w:r>
          </w:p>
        </w:tc>
        <w:tc>
          <w:tcPr>
            <w:tcW w:type="dxa" w:w="5142"/>
          </w:tcPr>
          <w:p>
            <w:pPr>
              <w:spacing w:after="0" w:line="252" w:lineRule="auto"/>
            </w:pPr>
            <w:r>
              <w:rPr>
                <w:b/>
                <w:sz w:val="17"/>
              </w:rPr>
              <w:t>No MOMAH logo file was provided, and I found none in the project.</w:t>
            </w:r>
            <w:r>
              <w:rPr>
                <w:sz w:val="17"/>
              </w:rPr>
              <w:t xml:space="preserve"> The only logo present in your files is the </w:t>
            </w:r>
            <w:r>
              <w:rPr>
                <w:b/>
                <w:sz w:val="17"/>
              </w:rPr>
              <w:t>NHC Innovation</w:t>
            </w:r>
            <w:r>
              <w:rPr>
                <w:sz w:val="17"/>
              </w:rPr>
              <w:t xml:space="preserve"> mark (inside </w:t>
            </w:r>
            <w:r>
              <w:rPr>
                <w:rFonts w:ascii="Consolas" w:hAnsi="Consolas" w:cs="Consolas"/>
                <w:color w:val="B42318"/>
                <w:sz w:val="16"/>
              </w:rPr>
              <w:t>HLSD Template - Alpha Phase.docx</w:t>
            </w:r>
            <w:r>
              <w:rPr>
                <w:sz w:val="17"/>
              </w:rPr>
              <w:t xml:space="preserve">, </w:t>
            </w:r>
            <w:r>
              <w:rPr>
                <w:rFonts w:ascii="Consolas" w:hAnsi="Consolas" w:cs="Consolas"/>
                <w:color w:val="B42318"/>
                <w:sz w:val="16"/>
              </w:rPr>
              <w:t>word/media/image1.png</w:t>
            </w:r>
            <w:r>
              <w:rPr>
                <w:sz w:val="17"/>
              </w:rPr>
              <w:t>, and on the workshop deck). I did not copy it anywhere.</w:t>
            </w:r>
          </w:p>
        </w:tc>
        <w:tc>
          <w:tcPr>
            <w:tcW w:type="dxa" w:w="5142"/>
          </w:tcPr>
          <w:p>
            <w:pPr>
              <w:spacing w:after="0" w:line="252" w:lineRule="auto"/>
            </w:pPr>
            <w:r>
              <w:rPr>
                <w:sz w:val="17"/>
              </w:rPr>
              <w:t xml:space="preserve">G-01 stays open on one missing input: the </w:t>
            </w:r>
            <w:r>
              <w:rPr>
                <w:b/>
                <w:sz w:val="17"/>
              </w:rPr>
              <w:t>official MOMAH logo files and usage rules</w:t>
            </w:r>
            <w:r>
              <w:rPr>
                <w:sz w:val="17"/>
              </w:rPr>
              <w:t xml:space="preserve"> (versions for light/dark backgrounds, minimum size, clear space). Only MOMAH appears; NHC/DGA marks are not added unless you ask.</w:t>
            </w:r>
          </w:p>
        </w:tc>
      </w:tr>
      <w:tr>
        <w:trPr>
          <w:cantSplit/>
        </w:trPr>
        <w:tc>
          <w:tcPr>
            <w:tcW w:type="dxa" w:w="1877"/>
            <w:shd w:val="clear" w:color="auto" w:fill="F9FAFB"/>
          </w:tcPr>
          <w:p>
            <w:pPr>
              <w:spacing w:after="0" w:line="252" w:lineRule="auto"/>
            </w:pPr>
            <w:r>
              <w:rPr>
                <w:b/>
                <w:sz w:val="17"/>
              </w:rPr>
              <w:t>Q20</w:t>
            </w:r>
            <w:r>
              <w:rPr>
                <w:sz w:val="17"/>
              </w:rPr>
              <w:t xml:space="preserve"> Product name</w:t>
            </w:r>
          </w:p>
        </w:tc>
        <w:tc>
          <w:tcPr>
            <w:tcW w:type="dxa" w:w="2862"/>
            <w:shd w:val="clear" w:color="auto" w:fill="F9FAFB"/>
          </w:tcPr>
          <w:p>
            <w:pPr>
              <w:spacing w:after="0" w:line="252" w:lineRule="auto"/>
            </w:pPr>
            <w:r>
              <w:rPr>
                <w:b/>
                <w:sz w:val="17"/>
              </w:rPr>
              <w:t>Keep as is</w:t>
            </w:r>
            <w:r>
              <w:rPr>
                <w:sz w:val="17"/>
              </w:rPr>
              <w:t xml:space="preserve"> (</w:t>
            </w:r>
            <w:r>
              <w:rPr>
                <w:sz w:val="17"/>
                <w:rtl/>
                <w:rFonts w:cs="Arial"/>
                <w:szCs w:val="17"/>
              </w:rPr>
              <w:t>‫«منصة الفواتير الذكية»‬</w:t>
            </w:r>
            <w:r>
              <w:rPr>
                <w:sz w:val="17"/>
              </w:rPr>
              <w:t xml:space="preserve"> / INTELLIBILL)</w:t>
            </w:r>
          </w:p>
        </w:tc>
        <w:tc>
          <w:tcPr>
            <w:tcW w:type="dxa" w:w="5142"/>
            <w:shd w:val="clear" w:color="auto" w:fill="F9FAFB"/>
          </w:tcPr>
          <w:p>
            <w:pPr>
              <w:spacing w:after="0" w:line="252" w:lineRule="auto"/>
            </w:pPr>
            <w:r>
              <w:rPr>
                <w:sz w:val="17"/>
              </w:rPr>
              <w:t>–</w:t>
            </w:r>
          </w:p>
        </w:tc>
        <w:tc>
          <w:tcPr>
            <w:tcW w:type="dxa" w:w="5142"/>
            <w:shd w:val="clear" w:color="auto" w:fill="F9FAFB"/>
          </w:tcPr>
          <w:p>
            <w:pPr>
              <w:spacing w:after="0" w:line="252" w:lineRule="auto"/>
            </w:pPr>
            <w:r>
              <w:rPr>
                <w:sz w:val="17"/>
              </w:rPr>
              <w:t xml:space="preserve">G-25 reduced to </w:t>
            </w:r>
            <w:r>
              <w:rPr>
                <w:i/>
                <w:sz w:val="17"/>
              </w:rPr>
              <w:t>consistency only</w:t>
            </w:r>
            <w:r>
              <w:rPr>
                <w:sz w:val="17"/>
              </w:rPr>
              <w:t>: keep the name, but use it identically in the header, the tab title and the exports, and give each route its own page title (</w:t>
            </w:r>
            <w:r>
              <w:rPr>
                <w:sz w:val="17"/>
                <w:rtl/>
                <w:rFonts w:cs="Arial"/>
                <w:szCs w:val="17"/>
              </w:rPr>
              <w:t>‫«{الصفحة} — {المنتج}»‬</w:t>
            </w:r>
            <w:r>
              <w:rPr>
                <w:sz w:val="17"/>
              </w:rPr>
              <w:t xml:space="preserve">). The header «IB» tile is replaced by the MOMAH logo next to the unchanged name. Open point: whether the login line </w:t>
            </w:r>
            <w:r>
              <w:rPr>
                <w:sz w:val="17"/>
                <w:rtl/>
                <w:rFonts w:cs="Arial"/>
                <w:szCs w:val="17"/>
              </w:rPr>
              <w:t>‫«بنية HiAgent…»‬</w:t>
            </w:r>
            <w:r>
              <w:rPr>
                <w:sz w:val="17"/>
              </w:rPr>
              <w:t xml:space="preserve"> and the English "agent" pills stay (G-22) — they describe an architecture, not the name.</w:t>
            </w:r>
          </w:p>
        </w:tc>
      </w:tr>
      <w:tr>
        <w:trPr>
          <w:cantSplit/>
        </w:trPr>
        <w:tc>
          <w:tcPr>
            <w:tcW w:type="dxa" w:w="1877"/>
          </w:tcPr>
          <w:p>
            <w:pPr>
              <w:spacing w:after="0" w:line="252" w:lineRule="auto"/>
            </w:pPr>
            <w:r>
              <w:rPr>
                <w:b/>
                <w:sz w:val="17"/>
              </w:rPr>
              <w:t>Q21</w:t>
            </w:r>
            <w:r>
              <w:rPr>
                <w:sz w:val="17"/>
              </w:rPr>
              <w:t xml:space="preserve"> Rest of the deck and Figma kit</w:t>
            </w:r>
          </w:p>
        </w:tc>
        <w:tc>
          <w:tcPr>
            <w:tcW w:type="dxa" w:w="2862"/>
          </w:tcPr>
          <w:p>
            <w:pPr>
              <w:spacing w:after="0" w:line="252" w:lineRule="auto"/>
            </w:pPr>
            <w:r>
              <w:rPr>
                <w:sz w:val="17"/>
              </w:rPr>
              <w:t xml:space="preserve">link: </w:t>
            </w:r>
            <w:r>
              <w:rPr>
                <w:rFonts w:ascii="Consolas" w:hAnsi="Consolas" w:cs="Consolas"/>
                <w:color w:val="B42318"/>
                <w:sz w:val="16"/>
              </w:rPr>
              <w:t>figma.com/@sdga</w:t>
            </w:r>
          </w:p>
        </w:tc>
        <w:tc>
          <w:tcPr>
            <w:tcW w:type="dxa" w:w="5142"/>
          </w:tcPr>
          <w:p>
            <w:pPr>
              <w:spacing w:after="0" w:line="252" w:lineRule="auto"/>
            </w:pPr>
            <w:r>
              <w:rPr>
                <w:sz w:val="17"/>
              </w:rPr>
              <w:t xml:space="preserve">Opened the DGA Figma community profile. It lists the official resources: </w:t>
            </w:r>
            <w:r>
              <w:rPr>
                <w:b/>
                <w:sz w:val="17"/>
              </w:rPr>
              <w:t>Components Library</w:t>
            </w:r>
            <w:r>
              <w:rPr>
                <w:sz w:val="17"/>
              </w:rPr>
              <w:t xml:space="preserve">, </w:t>
            </w:r>
            <w:r>
              <w:rPr>
                <w:b/>
                <w:sz w:val="17"/>
              </w:rPr>
              <w:t>Foundations</w:t>
            </w:r>
            <w:r>
              <w:rPr>
                <w:sz w:val="17"/>
              </w:rPr>
              <w:t xml:space="preserve">, </w:t>
            </w:r>
            <w:r>
              <w:rPr>
                <w:b/>
                <w:sz w:val="17"/>
              </w:rPr>
              <w:t>Mobile Components</w:t>
            </w:r>
            <w:r>
              <w:rPr>
                <w:sz w:val="17"/>
              </w:rPr>
              <w:t xml:space="preserve">, </w:t>
            </w:r>
            <w:r>
              <w:rPr>
                <w:b/>
                <w:sz w:val="17"/>
              </w:rPr>
              <w:t>Icons</w:t>
            </w:r>
            <w:r>
              <w:rPr>
                <w:sz w:val="17"/>
              </w:rPr>
              <w:t xml:space="preserve">, and templates including </w:t>
            </w:r>
            <w:r>
              <w:rPr>
                <w:b/>
                <w:sz w:val="17"/>
              </w:rPr>
              <w:t>Chatbot</w:t>
            </w:r>
            <w:r>
              <w:rPr>
                <w:sz w:val="17"/>
              </w:rPr>
              <w:t xml:space="preserve">, </w:t>
            </w:r>
            <w:r>
              <w:rPr>
                <w:b/>
                <w:sz w:val="17"/>
              </w:rPr>
              <w:t>Page Not Found</w:t>
            </w:r>
            <w:r>
              <w:rPr>
                <w:sz w:val="17"/>
              </w:rPr>
              <w:t xml:space="preserve">, Form, Service, Home. The file pages state "DS-DGA@dga.gov.sa" for feedback. Opening a file ("Open in Figma") needs a Figma sign-in, so I could read each file's description but </w:t>
            </w:r>
            <w:r>
              <w:rPr>
                <w:b/>
                <w:sz w:val="17"/>
              </w:rPr>
              <w:t>not its component dimensions, states or tokens</w:t>
            </w:r>
            <w:r>
              <w:rPr>
                <w:sz w:val="17"/>
              </w:rPr>
              <w:t>. Slides 3–20 and 32–46 of the deck are still not in the file you sent.</w:t>
            </w:r>
          </w:p>
        </w:tc>
        <w:tc>
          <w:tcPr>
            <w:tcW w:type="dxa" w:w="5142"/>
          </w:tcPr>
          <w:p>
            <w:pPr>
              <w:spacing w:after="0" w:line="252" w:lineRule="auto"/>
            </w:pPr>
            <w:r>
              <w:rPr>
                <w:sz w:val="17"/>
              </w:rPr>
              <w:t>The exact component specs (heights, paddings, radii, states) remain a Phase 1 input: someone with Figma access should duplicate the Components Library and Foundations files and share the values, or I can work from screenshots/exports you provide.</w:t>
            </w:r>
          </w:p>
        </w:tc>
      </w:tr>
      <w:tr>
        <w:trPr>
          <w:cantSplit/>
        </w:trPr>
        <w:tc>
          <w:tcPr>
            <w:tcW w:type="dxa" w:w="1877"/>
            <w:shd w:val="clear" w:color="auto" w:fill="F9FAFB"/>
          </w:tcPr>
          <w:p>
            <w:pPr>
              <w:spacing w:after="0" w:line="252" w:lineRule="auto"/>
            </w:pPr>
            <w:r>
              <w:rPr>
                <w:b/>
                <w:sz w:val="17"/>
              </w:rPr>
              <w:t>Q23</w:t>
            </w:r>
            <w:r>
              <w:rPr>
                <w:sz w:val="17"/>
              </w:rPr>
              <w:t xml:space="preserve"> Icons</w:t>
            </w:r>
          </w:p>
        </w:tc>
        <w:tc>
          <w:tcPr>
            <w:tcW w:type="dxa" w:w="2862"/>
            <w:shd w:val="clear" w:color="auto" w:fill="F9FAFB"/>
          </w:tcPr>
          <w:p>
            <w:pPr>
              <w:spacing w:after="0" w:line="252" w:lineRule="auto"/>
            </w:pPr>
            <w:r>
              <w:rPr>
                <w:sz w:val="17"/>
              </w:rPr>
              <w:t>"whatever is suitable" (left to me)</w:t>
            </w:r>
          </w:p>
        </w:tc>
        <w:tc>
          <w:tcPr>
            <w:tcW w:type="dxa" w:w="5142"/>
            <w:shd w:val="clear" w:color="auto" w:fill="F9FAFB"/>
          </w:tcPr>
          <w:p>
            <w:pPr>
              <w:spacing w:after="0" w:line="252" w:lineRule="auto"/>
            </w:pPr>
            <w:r>
              <w:rPr>
                <w:sz w:val="17"/>
              </w:rPr>
              <w:t xml:space="preserve">The DGA </w:t>
            </w:r>
            <w:r>
              <w:rPr>
                <w:b/>
                <w:sz w:val="17"/>
              </w:rPr>
              <w:t>Icons – Platforms Code</w:t>
            </w:r>
            <w:r>
              <w:rPr>
                <w:sz w:val="17"/>
              </w:rPr>
              <w:t xml:space="preserve"> file carries a note dated 11 Jan 2026: </w:t>
            </w:r>
            <w:r>
              <w:rPr>
                <w:i/>
                <w:sz w:val="17"/>
              </w:rPr>
              <w:t>"the icon library is currently being updated; icons may be temporarily unavailable"</w:t>
            </w:r>
            <w:r>
              <w:rPr>
                <w:sz w:val="17"/>
              </w:rPr>
              <w:t xml:space="preserve"> — and community comments ask when it returns. Hugeicons' pricing page lists a </w:t>
            </w:r>
            <w:r>
              <w:rPr>
                <w:b/>
                <w:sz w:val="17"/>
              </w:rPr>
              <w:t>Free</w:t>
            </w:r>
            <w:r>
              <w:rPr>
                <w:sz w:val="17"/>
              </w:rPr>
              <w:t xml:space="preserve"> plan with </w:t>
            </w:r>
            <w:r>
              <w:rPr>
                <w:b/>
                <w:sz w:val="17"/>
              </w:rPr>
              <w:t>6,000+ Stroke Rounded icons</w:t>
            </w:r>
            <w:r>
              <w:rPr>
                <w:sz w:val="17"/>
              </w:rPr>
              <w:t xml:space="preserve"> described as "perfect for personal projects, students, and learning", and </w:t>
            </w:r>
            <w:r>
              <w:rPr>
                <w:b/>
                <w:sz w:val="17"/>
              </w:rPr>
              <w:t>Pro</w:t>
            </w:r>
            <w:r>
              <w:rPr>
                <w:sz w:val="17"/>
              </w:rPr>
              <w:t xml:space="preserve"> at $99/year per seat (60,000+ icons, 10 styles).</w:t>
            </w:r>
          </w:p>
        </w:tc>
        <w:tc>
          <w:tcPr>
            <w:tcW w:type="dxa" w:w="5142"/>
            <w:shd w:val="clear" w:color="auto" w:fill="F9FAFB"/>
          </w:tcPr>
          <w:p>
            <w:pPr>
              <w:spacing w:after="0" w:line="252" w:lineRule="auto"/>
            </w:pPr>
            <w:r>
              <w:rPr>
                <w:b/>
                <w:sz w:val="17"/>
              </w:rPr>
              <w:t>Recommendation:</w:t>
            </w:r>
            <w:r>
              <w:rPr>
                <w:sz w:val="17"/>
              </w:rPr>
              <w:t xml:space="preserve"> use </w:t>
            </w:r>
            <w:r>
              <w:rPr>
                <w:b/>
                <w:sz w:val="17"/>
              </w:rPr>
              <w:t>Hugeicons, Stroke Rounded</w:t>
            </w:r>
            <w:r>
              <w:rPr>
                <w:sz w:val="17"/>
              </w:rPr>
              <w:t xml:space="preserve"> now (it is the set named on slide 10 and the style shown there; the free plan already covers that style) at 16/20/24 px, mapped through one icon component so it can be swapped for the DGA set when that library is available again. </w:t>
            </w:r>
            <w:r>
              <w:rPr>
                <w:b/>
                <w:sz w:val="17"/>
              </w:rPr>
              <w:t>Licence:</w:t>
            </w:r>
            <w:r>
              <w:rPr>
                <w:sz w:val="17"/>
              </w:rPr>
              <w:t xml:space="preserve"> the free plan's wording suggests non-commercial use; for a government deployment confirm the licence terms or buy Pro before release (decision for the owner — I did not read the full licence text).</w:t>
            </w:r>
          </w:p>
        </w:tc>
      </w:tr>
      <w:tr>
        <w:trPr>
          <w:cantSplit/>
        </w:trPr>
        <w:tc>
          <w:tcPr>
            <w:tcW w:type="dxa" w:w="1877"/>
          </w:tcPr>
          <w:p>
            <w:pPr>
              <w:spacing w:after="0" w:line="252" w:lineRule="auto"/>
            </w:pPr>
            <w:r>
              <w:rPr>
                <w:b/>
                <w:sz w:val="17"/>
              </w:rPr>
              <w:t>Q24</w:t>
            </w:r>
            <w:r>
              <w:rPr>
                <w:sz w:val="17"/>
              </w:rPr>
              <w:t xml:space="preserve"> Dark theme</w:t>
            </w:r>
          </w:p>
        </w:tc>
        <w:tc>
          <w:tcPr>
            <w:tcW w:type="dxa" w:w="2862"/>
          </w:tcPr>
          <w:p>
            <w:pPr>
              <w:spacing w:after="0" w:line="252" w:lineRule="auto"/>
            </w:pPr>
            <w:r>
              <w:rPr>
                <w:b/>
                <w:sz w:val="17"/>
              </w:rPr>
              <w:t>Not necessary now</w:t>
            </w:r>
          </w:p>
        </w:tc>
        <w:tc>
          <w:tcPr>
            <w:tcW w:type="dxa" w:w="5142"/>
          </w:tcPr>
          <w:p>
            <w:pPr>
              <w:spacing w:after="0" w:line="252" w:lineRule="auto"/>
            </w:pPr>
            <w:r>
              <w:rPr>
                <w:sz w:val="17"/>
              </w:rPr>
              <w:t xml:space="preserve">The product currently follows the </w:t>
            </w:r>
            <w:r>
              <w:rPr>
                <w:i/>
                <w:sz w:val="17"/>
              </w:rPr>
              <w:t>system</w:t>
            </w:r>
            <w:r>
              <w:rPr>
                <w:sz w:val="17"/>
              </w:rPr>
              <w:t xml:space="preserve"> colour scheme (</w:t>
            </w:r>
            <w:r>
              <w:rPr>
                <w:rFonts w:ascii="Consolas" w:hAnsi="Consolas" w:cs="Consolas"/>
                <w:color w:val="B42318"/>
                <w:sz w:val="16"/>
              </w:rPr>
              <w:t>prefers-color-scheme: dark</w:t>
            </w:r>
            <w:r>
              <w:rPr>
                <w:sz w:val="17"/>
              </w:rPr>
              <w:t xml:space="preserve"> in </w:t>
            </w:r>
            <w:r>
              <w:rPr>
                <w:rFonts w:ascii="Consolas" w:hAnsi="Consolas" w:cs="Consolas"/>
                <w:color w:val="B42318"/>
                <w:sz w:val="16"/>
              </w:rPr>
              <w:t>variables.css</w:t>
            </w:r>
            <w:r>
              <w:rPr>
                <w:sz w:val="17"/>
              </w:rPr>
              <w:t xml:space="preserve">), so users whose OS is dark already get an </w:t>
            </w:r>
            <w:r>
              <w:rPr>
                <w:b/>
                <w:sz w:val="17"/>
              </w:rPr>
              <w:t>untested</w:t>
            </w:r>
            <w:r>
              <w:rPr>
                <w:sz w:val="17"/>
              </w:rPr>
              <w:t xml:space="preserve"> theme.</w:t>
            </w:r>
          </w:p>
        </w:tc>
        <w:tc>
          <w:tcPr>
            <w:tcW w:type="dxa" w:w="5142"/>
          </w:tcPr>
          <w:p>
            <w:pPr>
              <w:spacing w:after="0" w:line="252" w:lineRule="auto"/>
            </w:pPr>
            <w:r>
              <w:rPr>
                <w:sz w:val="17"/>
              </w:rPr>
              <w:t xml:space="preserve">G-24 becomes: </w:t>
            </w:r>
            <w:r>
              <w:rPr>
                <w:b/>
                <w:sz w:val="17"/>
              </w:rPr>
              <w:t>out of scope for now</w:t>
            </w:r>
            <w:r>
              <w:rPr>
                <w:sz w:val="17"/>
              </w:rPr>
              <w:t>. Recommended (Rec.): lock the app to the light theme and hide the toggle until a dark design is approved, so nobody sees the untested one. Removes dark-mode testing from Phase 3.</w:t>
            </w:r>
          </w:p>
        </w:tc>
      </w:tr>
    </w:tbl>
    <w:p>
      <w:pPr>
        <w:spacing w:after="40"/>
      </w:pPr>
    </w:p>
    <w:p>
      <w:r>
        <w:rPr>
          <w:b/>
        </w:rPr>
        <w:t>Still open:</w:t>
      </w:r>
      <w:r>
        <w:t xml:space="preserve"> Q22 (Latin font), Q25 (extra accent colours), Q26 (WCAG 2.1 vs 2.2), Q27 (export template and who supplies it), and the earlier functional/date questions Q1–Q18.</w:t>
      </w:r>
    </w:p>
    <w:p>
      <w:r>
        <w:rPr>
          <w:b/>
        </w:rPr>
        <w:t>Plan changes:</w:t>
      </w:r>
      <w:r>
        <w:t xml:space="preserve"> Phase 1 loses the dark-mode work and gains "icon component + Hugeicons Stroke Rounded (licence check)"; the logo slot is built in Phase 1 but filled only when the MOMAH files arrive; Phase 3 acceptance no longer includes dark mode.</w:t>
      </w:r>
    </w:p>
    <w:p>
      <w:pPr>
        <w:pStyle w:val="Heading2"/>
      </w:pPr>
      <w:r>
        <w:t>25. Decisions on the remaining Part C questions (2026-10-09)</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359"/>
        <w:gridCol w:w="3156"/>
        <w:gridCol w:w="5254"/>
        <w:gridCol w:w="5254"/>
      </w:tblGrid>
      <w:tr>
        <w:trPr>
          <w:tblHeader w:val="true"/>
          <w:cantSplit/>
        </w:trPr>
        <w:tc>
          <w:tcPr>
            <w:tcW w:type="dxa" w:w="1359"/>
            <w:shd w:val="clear" w:color="auto" w:fill="1B8354"/>
          </w:tcPr>
          <w:p>
            <w:pPr>
              <w:spacing w:after="0" w:line="252" w:lineRule="auto"/>
            </w:pPr>
            <w:r>
              <w:rPr>
                <w:b/>
                <w:color w:val="FFFFFF"/>
                <w:sz w:val="17"/>
              </w:rPr>
              <w:t>Q</w:t>
            </w:r>
          </w:p>
        </w:tc>
        <w:tc>
          <w:tcPr>
            <w:tcW w:type="dxa" w:w="3156"/>
            <w:shd w:val="clear" w:color="auto" w:fill="1B8354"/>
          </w:tcPr>
          <w:p>
            <w:pPr>
              <w:spacing w:after="0" w:line="252" w:lineRule="auto"/>
            </w:pPr>
            <w:r>
              <w:rPr>
                <w:b/>
                <w:color w:val="FFFFFF"/>
                <w:sz w:val="17"/>
              </w:rPr>
              <w:t>Your answer</w:t>
            </w:r>
          </w:p>
        </w:tc>
        <w:tc>
          <w:tcPr>
            <w:tcW w:type="dxa" w:w="5254"/>
            <w:shd w:val="clear" w:color="auto" w:fill="1B8354"/>
          </w:tcPr>
          <w:p>
            <w:pPr>
              <w:spacing w:after="0" w:line="252" w:lineRule="auto"/>
            </w:pPr>
            <w:r>
              <w:rPr>
                <w:b/>
                <w:color w:val="FFFFFF"/>
                <w:sz w:val="17"/>
              </w:rPr>
              <w:t>Check / reasoning</w:t>
            </w:r>
          </w:p>
        </w:tc>
        <w:tc>
          <w:tcPr>
            <w:tcW w:type="dxa" w:w="5254"/>
            <w:shd w:val="clear" w:color="auto" w:fill="1B8354"/>
          </w:tcPr>
          <w:p>
            <w:pPr>
              <w:spacing w:after="0" w:line="252" w:lineRule="auto"/>
            </w:pPr>
            <w:r>
              <w:rPr>
                <w:b/>
                <w:color w:val="FFFFFF"/>
                <w:sz w:val="17"/>
              </w:rPr>
              <w:t>Effect</w:t>
            </w:r>
          </w:p>
        </w:tc>
      </w:tr>
      <w:tr>
        <w:trPr>
          <w:cantSplit/>
        </w:trPr>
        <w:tc>
          <w:tcPr>
            <w:tcW w:type="dxa" w:w="1359"/>
          </w:tcPr>
          <w:p>
            <w:pPr>
              <w:spacing w:after="0" w:line="252" w:lineRule="auto"/>
            </w:pPr>
            <w:r>
              <w:rPr>
                <w:b/>
                <w:sz w:val="17"/>
              </w:rPr>
              <w:t>Q22</w:t>
            </w:r>
            <w:r>
              <w:rPr>
                <w:sz w:val="17"/>
              </w:rPr>
              <w:t xml:space="preserve"> Latin font</w:t>
            </w:r>
          </w:p>
        </w:tc>
        <w:tc>
          <w:tcPr>
            <w:tcW w:type="dxa" w:w="3156"/>
          </w:tcPr>
          <w:p>
            <w:pPr>
              <w:spacing w:after="0" w:line="252" w:lineRule="auto"/>
            </w:pPr>
            <w:r>
              <w:rPr>
                <w:b/>
                <w:sz w:val="17"/>
              </w:rPr>
              <w:t>One family for both languages</w:t>
            </w:r>
            <w:r>
              <w:rPr>
                <w:sz w:val="17"/>
              </w:rPr>
              <w:t xml:space="preserve"> (IBM Plex Sans Arabic)</w:t>
            </w:r>
          </w:p>
        </w:tc>
        <w:tc>
          <w:tcPr>
            <w:tcW w:type="dxa" w:w="5254"/>
          </w:tcPr>
          <w:p>
            <w:pPr>
              <w:spacing w:after="0" w:line="252" w:lineRule="auto"/>
            </w:pPr>
            <w:r>
              <w:rPr>
                <w:sz w:val="17"/>
              </w:rPr>
              <w:t xml:space="preserve">Verified in the running app: the Google Fonts delivery of </w:t>
            </w:r>
            <w:r>
              <w:rPr>
                <w:i/>
                <w:sz w:val="17"/>
              </w:rPr>
              <w:t>IBM Plex Sans Arabic</w:t>
            </w:r>
            <w:r>
              <w:rPr>
                <w:sz w:val="17"/>
              </w:rPr>
              <w:t xml:space="preserve"> ships separate Latin (U+0000–00FF) and Latin-extended subsets, they load, and a Latin/number string measures differently from the fallback fonts — so Latin text and digits </w:t>
            </w:r>
            <w:r>
              <w:rPr>
                <w:b/>
                <w:sz w:val="17"/>
              </w:rPr>
              <w:t>are rendered by the same family</w:t>
            </w:r>
            <w:r>
              <w:rPr>
                <w:sz w:val="17"/>
              </w:rPr>
              <w:t xml:space="preserve"> today. This is a documented deviation from slide 8, which shows IBM Plex Sans for English next to the Arabic face; it needs the product owner's sign-off, not a design-system exception.</w:t>
            </w:r>
          </w:p>
        </w:tc>
        <w:tc>
          <w:tcPr>
            <w:tcW w:type="dxa" w:w="5254"/>
          </w:tcPr>
          <w:p>
            <w:pPr>
              <w:spacing w:after="0" w:line="252" w:lineRule="auto"/>
            </w:pPr>
            <w:r>
              <w:rPr>
                <w:sz w:val="17"/>
              </w:rPr>
              <w:t xml:space="preserve">G-02 narrowed: keep </w:t>
            </w:r>
            <w:r>
              <w:rPr>
                <w:b/>
                <w:sz w:val="17"/>
              </w:rPr>
              <w:t>one family</w:t>
            </w:r>
            <w:r>
              <w:rPr>
                <w:sz w:val="17"/>
              </w:rPr>
              <w:t xml:space="preserve">; drop </w:t>
            </w:r>
            <w:r>
              <w:rPr>
                <w:b/>
                <w:sz w:val="17"/>
              </w:rPr>
              <w:t>Plex Mono</w:t>
            </w:r>
            <w:r>
              <w:rPr>
                <w:sz w:val="17"/>
              </w:rPr>
              <w:t xml:space="preserve"> (use tabular numerals), restrict weights to 400/500/600/700, self-host the family (all subsets used), keep a fallback stack. No second family to license/ship.</w:t>
            </w:r>
          </w:p>
        </w:tc>
      </w:tr>
      <w:tr>
        <w:trPr>
          <w:cantSplit/>
        </w:trPr>
        <w:tc>
          <w:tcPr>
            <w:tcW w:type="dxa" w:w="1359"/>
            <w:shd w:val="clear" w:color="auto" w:fill="F9FAFB"/>
          </w:tcPr>
          <w:p>
            <w:pPr>
              <w:spacing w:after="0" w:line="252" w:lineRule="auto"/>
            </w:pPr>
            <w:r>
              <w:rPr>
                <w:b/>
                <w:sz w:val="17"/>
              </w:rPr>
              <w:t>Q25</w:t>
            </w:r>
            <w:r>
              <w:rPr>
                <w:sz w:val="17"/>
              </w:rPr>
              <w:t xml:space="preserve"> Accent colours</w:t>
            </w:r>
          </w:p>
        </w:tc>
        <w:tc>
          <w:tcPr>
            <w:tcW w:type="dxa" w:w="3156"/>
            <w:shd w:val="clear" w:color="auto" w:fill="F9FAFB"/>
          </w:tcPr>
          <w:p>
            <w:pPr>
              <w:spacing w:after="0" w:line="252" w:lineRule="auto"/>
            </w:pPr>
            <w:r>
              <w:rPr>
                <w:b/>
                <w:sz w:val="17"/>
              </w:rPr>
              <w:t>Stay with DGA only</w:t>
            </w:r>
          </w:p>
        </w:tc>
        <w:tc>
          <w:tcPr>
            <w:tcW w:type="dxa" w:w="5254"/>
            <w:shd w:val="clear" w:color="auto" w:fill="F9FAFB"/>
          </w:tcPr>
          <w:p>
            <w:pPr>
              <w:spacing w:after="0" w:line="252" w:lineRule="auto"/>
            </w:pPr>
            <w:r>
              <w:rPr>
                <w:sz w:val="17"/>
              </w:rPr>
              <w:t>–</w:t>
            </w:r>
          </w:p>
        </w:tc>
        <w:tc>
          <w:tcPr>
            <w:tcW w:type="dxa" w:w="5254"/>
            <w:shd w:val="clear" w:color="auto" w:fill="F9FAFB"/>
          </w:tcPr>
          <w:p>
            <w:pPr>
              <w:spacing w:after="0" w:line="252" w:lineRule="auto"/>
            </w:pPr>
            <w:r>
              <w:rPr>
                <w:sz w:val="17"/>
              </w:rPr>
              <w:t>G-04/G-05 tightened: the violet (</w:t>
            </w:r>
            <w:r>
              <w:rPr>
                <w:rFonts w:ascii="Consolas" w:hAnsi="Consolas" w:cs="Consolas"/>
                <w:color w:val="B42318"/>
                <w:sz w:val="16"/>
              </w:rPr>
              <w:t>#6B57A6</w:t>
            </w:r>
            <w:r>
              <w:rPr>
                <w:sz w:val="17"/>
              </w:rPr>
              <w:t>), orange (</w:t>
            </w:r>
            <w:r>
              <w:rPr>
                <w:rFonts w:ascii="Consolas" w:hAnsi="Consolas" w:cs="Consolas"/>
                <w:color w:val="B42318"/>
                <w:sz w:val="16"/>
              </w:rPr>
              <w:t>#9A5C00</w:t>
            </w:r>
            <w:r>
              <w:rPr>
                <w:sz w:val="17"/>
              </w:rPr>
              <w:t>), the extra blue (</w:t>
            </w:r>
            <w:r>
              <w:rPr>
                <w:rFonts w:ascii="Consolas" w:hAnsi="Consolas" w:cs="Consolas"/>
                <w:color w:val="B42318"/>
                <w:sz w:val="16"/>
              </w:rPr>
              <w:t>#0A6FA6</w:t>
            </w:r>
            <w:r>
              <w:rPr>
                <w:sz w:val="17"/>
              </w:rPr>
              <w:t xml:space="preserve">), gold chart colours and every non-DGA hue are </w:t>
            </w:r>
            <w:r>
              <w:rPr>
                <w:b/>
                <w:sz w:val="17"/>
              </w:rPr>
              <w:t>removed</w:t>
            </w:r>
            <w:r>
              <w:rPr>
                <w:sz w:val="17"/>
              </w:rPr>
              <w:t xml:space="preserve">, not kept as accents. Categorical colours come from the DGA palettes only (§20.1: SA 600, Info 600, Warning 500, Gray 500, Error 600; lavender/gold only if the DGA colour page publishes their hex values). AI-generated blocks are marked with an </w:t>
            </w:r>
            <w:r>
              <w:rPr>
                <w:b/>
                <w:sz w:val="17"/>
              </w:rPr>
              <w:t>AI chip + icon</w:t>
            </w:r>
            <w:r>
              <w:rPr>
                <w:sz w:val="17"/>
              </w:rPr>
              <w:t xml:space="preserve"> in SA 700 / Gray 600, not a separate hue. Charts follow the DGA caps (≤ 3 series, ≤ 6 slices); more categories → ranked table.</w:t>
            </w:r>
          </w:p>
        </w:tc>
      </w:tr>
      <w:tr>
        <w:trPr>
          <w:cantSplit/>
        </w:trPr>
        <w:tc>
          <w:tcPr>
            <w:tcW w:type="dxa" w:w="1359"/>
          </w:tcPr>
          <w:p>
            <w:pPr>
              <w:spacing w:after="0" w:line="252" w:lineRule="auto"/>
            </w:pPr>
            <w:r>
              <w:rPr>
                <w:b/>
                <w:sz w:val="17"/>
              </w:rPr>
              <w:t>Q26</w:t>
            </w:r>
            <w:r>
              <w:rPr>
                <w:sz w:val="17"/>
              </w:rPr>
              <w:t xml:space="preserve"> WCAG level</w:t>
            </w:r>
          </w:p>
        </w:tc>
        <w:tc>
          <w:tcPr>
            <w:tcW w:type="dxa" w:w="3156"/>
          </w:tcPr>
          <w:p>
            <w:pPr>
              <w:spacing w:after="0" w:line="252" w:lineRule="auto"/>
            </w:pPr>
            <w:r>
              <w:rPr>
                <w:sz w:val="17"/>
              </w:rPr>
              <w:t>"I don't know which is suitable"</w:t>
            </w:r>
          </w:p>
        </w:tc>
        <w:tc>
          <w:tcPr>
            <w:tcW w:type="dxa" w:w="5254"/>
          </w:tcPr>
          <w:p>
            <w:pPr>
              <w:spacing w:after="0" w:line="252" w:lineRule="auto"/>
            </w:pPr>
            <w:r>
              <w:rPr>
                <w:sz w:val="17"/>
              </w:rPr>
              <w:t xml:space="preserve">DGA states the target as </w:t>
            </w:r>
            <w:r>
              <w:rPr>
                <w:b/>
                <w:sz w:val="17"/>
              </w:rPr>
              <w:t>WCAG 2.1 AA</w:t>
            </w:r>
            <w:r>
              <w:rPr>
                <w:sz w:val="17"/>
              </w:rPr>
              <w:t xml:space="preserve">. WCAG 2.2 AA is a superset that adds, among others, </w:t>
            </w:r>
            <w:r>
              <w:rPr>
                <w:b/>
                <w:sz w:val="17"/>
              </w:rPr>
              <w:t>24 × 24 px minimum target size</w:t>
            </w:r>
            <w:r>
              <w:rPr>
                <w:sz w:val="17"/>
              </w:rPr>
              <w:t xml:space="preserve"> and </w:t>
            </w:r>
            <w:r>
              <w:rPr>
                <w:b/>
                <w:sz w:val="17"/>
              </w:rPr>
              <w:t>focus not obscured</w:t>
            </w:r>
            <w:r>
              <w:rPr>
                <w:sz w:val="17"/>
              </w:rPr>
              <w:t xml:space="preserve"> — directly relevant here: 29–102 controls per page are under 24 px (G-08) and the sticky header hides anchor targets and can cover focused items (F-29, G-07).</w:t>
            </w:r>
          </w:p>
        </w:tc>
        <w:tc>
          <w:tcPr>
            <w:tcW w:type="dxa" w:w="5254"/>
          </w:tcPr>
          <w:p>
            <w:pPr>
              <w:spacing w:after="0" w:line="252" w:lineRule="auto"/>
            </w:pPr>
            <w:r>
              <w:rPr>
                <w:b/>
                <w:sz w:val="17"/>
              </w:rPr>
              <w:t>Recommendation (my decision for the plan):</w:t>
            </w:r>
            <w:r>
              <w:rPr>
                <w:sz w:val="17"/>
              </w:rPr>
              <w:t xml:space="preserve"> declare </w:t>
            </w:r>
            <w:r>
              <w:rPr>
                <w:b/>
                <w:sz w:val="17"/>
              </w:rPr>
              <w:t>WCAG 2.1 AA</w:t>
            </w:r>
            <w:r>
              <w:rPr>
                <w:sz w:val="17"/>
              </w:rPr>
              <w:t xml:space="preserve"> as the compliance statement (it is what DGA requires) and build to </w:t>
            </w:r>
            <w:r>
              <w:rPr>
                <w:b/>
                <w:sz w:val="17"/>
              </w:rPr>
              <w:t>2.2 AA</w:t>
            </w:r>
            <w:r>
              <w:rPr>
                <w:sz w:val="17"/>
              </w:rPr>
              <w:t xml:space="preserve"> where it costs little (24 px target floor, 44 px on touch, focus never hidden under the sticky header). Add an automated check (axe + contrast table) and a manual keyboard/screen-reader pass on the five main journeys before release. If the programme later asks for a formal statement, it can be issued against 2.1 AA without rework.</w:t>
            </w:r>
          </w:p>
        </w:tc>
      </w:tr>
      <w:tr>
        <w:trPr>
          <w:cantSplit/>
        </w:trPr>
        <w:tc>
          <w:tcPr>
            <w:tcW w:type="dxa" w:w="1359"/>
            <w:shd w:val="clear" w:color="auto" w:fill="F9FAFB"/>
          </w:tcPr>
          <w:p>
            <w:pPr>
              <w:spacing w:after="0" w:line="252" w:lineRule="auto"/>
            </w:pPr>
            <w:r>
              <w:rPr>
                <w:b/>
                <w:sz w:val="17"/>
              </w:rPr>
              <w:t>Q27</w:t>
            </w:r>
            <w:r>
              <w:rPr>
                <w:sz w:val="17"/>
              </w:rPr>
              <w:t xml:space="preserve"> Export template</w:t>
            </w:r>
          </w:p>
        </w:tc>
        <w:tc>
          <w:tcPr>
            <w:tcW w:type="dxa" w:w="3156"/>
            <w:shd w:val="clear" w:color="auto" w:fill="F9FAFB"/>
          </w:tcPr>
          <w:p>
            <w:pPr>
              <w:spacing w:after="0" w:line="252" w:lineRule="auto"/>
            </w:pPr>
            <w:r>
              <w:rPr>
                <w:sz w:val="17"/>
              </w:rPr>
              <w:t>"I don't know"</w:t>
            </w:r>
          </w:p>
        </w:tc>
        <w:tc>
          <w:tcPr>
            <w:tcW w:type="dxa" w:w="5254"/>
            <w:shd w:val="clear" w:color="auto" w:fill="F9FAFB"/>
          </w:tcPr>
          <w:p>
            <w:pPr>
              <w:spacing w:after="0" w:line="252" w:lineRule="auto"/>
            </w:pPr>
            <w:r>
              <w:rPr>
                <w:sz w:val="17"/>
              </w:rPr>
              <w:t xml:space="preserve">The reference does not cover exports (§17.4-7). Word and PowerPoint do </w:t>
            </w:r>
            <w:r>
              <w:rPr>
                <w:b/>
                <w:sz w:val="17"/>
              </w:rPr>
              <w:t>not</w:t>
            </w:r>
            <w:r>
              <w:rPr>
                <w:sz w:val="17"/>
              </w:rPr>
              <w:t xml:space="preserve"> embed web fonts, so IBM Plex must be installed on the reader's machine or the file falls back to a default.</w:t>
            </w:r>
          </w:p>
        </w:tc>
        <w:tc>
          <w:tcPr>
            <w:tcW w:type="dxa" w:w="5254"/>
            <w:shd w:val="clear" w:color="auto" w:fill="F9FAFB"/>
          </w:tcPr>
          <w:p>
            <w:pPr>
              <w:spacing w:after="0" w:line="252" w:lineRule="auto"/>
            </w:pPr>
            <w:r>
              <w:rPr>
                <w:b/>
                <w:sz w:val="17"/>
              </w:rPr>
              <w:t>Recommendation:</w:t>
            </w:r>
            <w:r>
              <w:rPr>
                <w:sz w:val="17"/>
              </w:rPr>
              <w:t xml:space="preserve"> yes — every export carries the MOMAH logo (when supplied), the report title, the period/scope/basis line, the data cut-off, the "demo/synthetic data" statement, page numbers and a footer; colours from the DGA tokens (SA 600 headings, Gray fills); body font set to IBM Plex Sans Arabic </w:t>
            </w:r>
            <w:r>
              <w:rPr>
                <w:b/>
                <w:sz w:val="17"/>
              </w:rPr>
              <w:t>with a stated fallback (Arial/Calibri)</w:t>
            </w:r>
            <w:r>
              <w:rPr>
                <w:sz w:val="17"/>
              </w:rPr>
              <w:t xml:space="preserve"> so documents stay readable when the font is missing; PowerPoint tables are paginated, never truncated (F-10). </w:t>
            </w:r>
            <w:r>
              <w:rPr>
                <w:b/>
                <w:sz w:val="17"/>
              </w:rPr>
              <w:t>Owner:</w:t>
            </w:r>
            <w:r>
              <w:rPr>
                <w:sz w:val="17"/>
              </w:rPr>
              <w:t xml:space="preserve"> the product team builds the template from the tokens; the </w:t>
            </w:r>
            <w:r>
              <w:rPr>
                <w:b/>
                <w:sz w:val="17"/>
              </w:rPr>
              <w:t>ministry's brand/communications owner approves</w:t>
            </w:r>
            <w:r>
              <w:rPr>
                <w:sz w:val="17"/>
              </w:rPr>
              <w:t xml:space="preserve"> it and supplies the logo. Until the logo arrives, exports keep a text-only header.</w:t>
            </w:r>
          </w:p>
        </w:tc>
      </w:tr>
    </w:tbl>
    <w:p>
      <w:pPr>
        <w:spacing w:after="40"/>
      </w:pPr>
    </w:p>
    <w:p>
      <w:r>
        <w:rPr>
          <w:b/>
        </w:rPr>
        <w:t>Updated list of what is still needed from you:</w:t>
      </w:r>
      <w:r>
        <w:t xml:space="preserve"> (1) the official </w:t>
      </w:r>
      <w:r>
        <w:rPr>
          <w:b/>
        </w:rPr>
        <w:t>MOMAH logo files and usage rules</w:t>
      </w:r>
      <w:r>
        <w:t xml:space="preserve"> (Q19); (2) the </w:t>
      </w:r>
      <w:r>
        <w:rPr>
          <w:b/>
        </w:rPr>
        <w:t>Figma components/foundations values</w:t>
      </w:r>
      <w:r>
        <w:t xml:space="preserve"> or exports (Q21); (3) confirmation of the </w:t>
      </w:r>
      <w:r>
        <w:rPr>
          <w:b/>
        </w:rPr>
        <w:t>Hugeicons licence</w:t>
      </w:r>
      <w:r>
        <w:t xml:space="preserve"> or purchase of Pro (Q23); (4) the </w:t>
      </w:r>
      <w:r>
        <w:rPr>
          <w:b/>
        </w:rPr>
        <w:t>functional and date decisions</w:t>
      </w:r>
      <w:r>
        <w:t xml:space="preserve"> Q1–Q18 (e.g. basis of closed periods, plan anchoring, approval authority, fiscal year, presets, digits/Hijri, Smart-report scope). None of these blocks Phase 0.</w:t>
      </w:r>
    </w:p>
    <w:p>
      <w:r>
        <w:br w:type="page"/>
      </w:r>
    </w:p>
    <w:p>
      <w:pPr>
        <w:pStyle w:val="Heading1"/>
      </w:pPr>
      <w:r>
        <w:t>PART D — Evidence update, consolidated backlog, decisions needed, acceptance criteria and implementation plan</w:t>
      </w:r>
    </w:p>
    <w:p>
      <w:r>
        <w:t xml:space="preserve">Added 2026-10-09 (version 3). </w:t>
      </w:r>
      <w:r>
        <w:rPr>
          <w:b/>
        </w:rPr>
        <w:t>Analysis only — nothing was implemented and no data was changed during this review</w:t>
      </w:r>
      <w:r>
        <w:t xml:space="preserve"> (only read operations; see §26.3). The agreed structure is preserved: </w:t>
      </w:r>
      <w:r>
        <w:rPr>
          <w:b/>
        </w:rPr>
        <w:t xml:space="preserve">(1) </w:t>
      </w:r>
      <w:r>
        <w:rPr>
          <w:b/>
          <w:rtl/>
          <w:rFonts w:cs="Arial"/>
          <w:bCs/>
        </w:rPr>
        <w:t>‫لوحة المعلومات والتقارير‬</w:t>
      </w:r>
      <w:r>
        <w:t xml:space="preserve"> = Dashboard · Fixed reports · prompt-based Smart reports; </w:t>
      </w:r>
      <w:r>
        <w:rPr>
          <w:b/>
        </w:rPr>
        <w:t xml:space="preserve">(2) </w:t>
      </w:r>
      <w:r>
        <w:rPr>
          <w:b/>
          <w:rtl/>
          <w:rFonts w:cs="Arial"/>
          <w:bCs/>
        </w:rPr>
        <w:t>‫التخطيط المالي والاستراتيجي‬</w:t>
      </w:r>
      <w:r>
        <w:t xml:space="preserve"> = revenues, expenditures, strategic objectives, scenarios and follow-up. The operational modules (invoices, collection, exclusions, contracts, data sources) stay as supporting pages.</w:t>
      </w:r>
    </w:p>
    <w:p>
      <w:r>
        <w:t xml:space="preserve">This part </w:t>
      </w:r>
      <w:r>
        <w:rPr>
          <w:b/>
        </w:rPr>
        <w:t>supersedes the limitation notes</w:t>
      </w:r>
      <w:r>
        <w:t xml:space="preserve"> in the header, §8, §16 and §23 that said the screenshots and monthly reports had not been reviewed.</w:t>
      </w:r>
    </w:p>
    <w:p>
      <w:pPr>
        <w:pStyle w:val="Heading2"/>
      </w:pPr>
      <w:r>
        <w:t>26. Evidence update</w:t>
      </w:r>
    </w:p>
    <w:p>
      <w:pPr>
        <w:pStyle w:val="Heading3"/>
      </w:pPr>
      <w:r>
        <w:t>26.1 Screenshots reviewed (8 files)</w:t>
      </w:r>
    </w:p>
    <w:p>
      <w:r>
        <w:t xml:space="preserve">Reviewed in full: </w:t>
      </w:r>
      <w:r>
        <w:rPr>
          <w:rFonts w:ascii="Consolas" w:hAnsi="Consolas" w:cs="Consolas"/>
          <w:color w:val="B42318"/>
          <w:sz w:val="19"/>
        </w:rPr>
        <w:t>Screenshot 2026-10-09 at 1.19.04 / 1.19.05 / 1.19.08 AM</w:t>
      </w:r>
      <w:r>
        <w:t xml:space="preserve">, </w:t>
      </w:r>
      <w:r>
        <w:rPr>
          <w:rFonts w:ascii="Consolas" w:hAnsi="Consolas" w:cs="Consolas"/>
          <w:color w:val="B42318"/>
          <w:sz w:val="19"/>
        </w:rPr>
        <w:t>2.57.36 / 2.57.40 PM</w:t>
      </w:r>
      <w:r>
        <w:t xml:space="preserve">, </w:t>
      </w:r>
      <w:r>
        <w:rPr>
          <w:rFonts w:ascii="Consolas" w:hAnsi="Consolas" w:cs="Consolas"/>
          <w:color w:val="B42318"/>
          <w:sz w:val="19"/>
        </w:rPr>
        <w:t>3.21.05 / 3.21.10 / 3.21.27 PM</w:t>
      </w:r>
      <w:r>
        <w:t xml:space="preserve"> (Desktop). They are the screenshots taken on the day of the restructuring and audit briefs. About 60 older screenshots (27 Sep – 8 Oct) were </w:t>
      </w:r>
      <w:r>
        <w:rPr>
          <w:b/>
        </w:rPr>
        <w:t>not</w:t>
      </w:r>
      <w:r>
        <w:t xml:space="preserve"> opened: they predate these briefs; tell me if some of them were meant for this audit.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3365"/>
        <w:gridCol w:w="5829"/>
        <w:gridCol w:w="5829"/>
      </w:tblGrid>
      <w:tr>
        <w:trPr>
          <w:tblHeader w:val="true"/>
          <w:cantSplit/>
        </w:trPr>
        <w:tc>
          <w:tcPr>
            <w:tcW w:type="dxa" w:w="3365"/>
            <w:shd w:val="clear" w:color="auto" w:fill="1B8354"/>
          </w:tcPr>
          <w:p>
            <w:pPr>
              <w:spacing w:after="0" w:line="252" w:lineRule="auto"/>
            </w:pPr>
            <w:r>
              <w:rPr>
                <w:b/>
                <w:color w:val="FFFFFF"/>
                <w:sz w:val="17"/>
              </w:rPr>
              <w:t>Screenshot (URL, time)</w:t>
            </w:r>
          </w:p>
        </w:tc>
        <w:tc>
          <w:tcPr>
            <w:tcW w:type="dxa" w:w="5829"/>
            <w:shd w:val="clear" w:color="auto" w:fill="1B8354"/>
          </w:tcPr>
          <w:p>
            <w:pPr>
              <w:spacing w:after="0" w:line="252" w:lineRule="auto"/>
            </w:pPr>
            <w:r>
              <w:rPr>
                <w:b/>
                <w:color w:val="FFFFFF"/>
                <w:sz w:val="17"/>
              </w:rPr>
              <w:t>What it shows</w:t>
            </w:r>
          </w:p>
        </w:tc>
        <w:tc>
          <w:tcPr>
            <w:tcW w:type="dxa" w:w="5829"/>
            <w:shd w:val="clear" w:color="auto" w:fill="1B8354"/>
          </w:tcPr>
          <w:p>
            <w:pPr>
              <w:spacing w:after="0" w:line="252" w:lineRule="auto"/>
            </w:pPr>
            <w:r>
              <w:rPr>
                <w:b/>
                <w:color w:val="FFFFFF"/>
                <w:sz w:val="17"/>
              </w:rPr>
              <w:t>Effect on the audit</w:t>
            </w:r>
          </w:p>
        </w:tc>
      </w:tr>
      <w:tr>
        <w:trPr>
          <w:cantSplit/>
        </w:trPr>
        <w:tc>
          <w:tcPr>
            <w:tcW w:type="dxa" w:w="3365"/>
          </w:tcPr>
          <w:p>
            <w:pPr>
              <w:spacing w:after="0" w:line="252" w:lineRule="auto"/>
            </w:pPr>
            <w:r>
              <w:rPr>
                <w:rFonts w:ascii="Consolas" w:hAnsi="Consolas" w:cs="Consolas"/>
                <w:color w:val="B42318"/>
                <w:sz w:val="16"/>
              </w:rPr>
              <w:t>/reports</w:t>
            </w:r>
            <w:r>
              <w:rPr>
                <w:sz w:val="17"/>
              </w:rPr>
              <w:t xml:space="preserve">, </w:t>
            </w:r>
            <w:r>
              <w:rPr>
                <w:rFonts w:ascii="Consolas" w:hAnsi="Consolas" w:cs="Consolas"/>
                <w:color w:val="B42318"/>
                <w:sz w:val="16"/>
              </w:rPr>
              <w:t>/smart-reports</w:t>
            </w:r>
            <w:r>
              <w:rPr>
                <w:sz w:val="17"/>
              </w:rPr>
              <w:t xml:space="preserve"> (1:19 AM)</w:t>
            </w:r>
          </w:p>
        </w:tc>
        <w:tc>
          <w:tcPr>
            <w:tcW w:type="dxa" w:w="5829"/>
          </w:tcPr>
          <w:p>
            <w:pPr>
              <w:spacing w:after="0" w:line="252" w:lineRule="auto"/>
            </w:pPr>
            <w:r>
              <w:rPr>
                <w:sz w:val="17"/>
              </w:rPr>
              <w:t xml:space="preserve">the </w:t>
            </w:r>
            <w:r>
              <w:rPr>
                <w:b/>
                <w:sz w:val="17"/>
              </w:rPr>
              <w:t>previous</w:t>
            </w:r>
            <w:r>
              <w:rPr>
                <w:sz w:val="17"/>
              </w:rPr>
              <w:t xml:space="preserve"> interface: 14 top-level tabs (</w:t>
            </w:r>
            <w:r>
              <w:rPr>
                <w:sz w:val="17"/>
                <w:rtl/>
                <w:rFonts w:cs="Arial"/>
                <w:szCs w:val="17"/>
              </w:rPr>
              <w:t>‫التنفيذي، تحليل الإيرادات، سجل الفواتير، عدم التحصيل والاستبعادات، قائمة التحصيل، العقود والتنفيذ، جودة البيانات والمخاطر، غرفة التخطيط، المساعد الذكي، التقارير الذكية، مركز التقارير، اللوحة الاستراتيجية، مصادر البيانات، قاموس المقاييس)‬</w:t>
            </w:r>
            <w:r>
              <w:rPr>
                <w:sz w:val="17"/>
              </w:rPr>
              <w:t xml:space="preserve">; the report centre with 11 numbered sections; amounts in </w:t>
            </w:r>
            <w:r>
              <w:rPr>
                <w:b/>
                <w:sz w:val="17"/>
                <w:rtl/>
                <w:rFonts w:cs="Arial"/>
                <w:szCs w:val="17"/>
                <w:bCs/>
              </w:rPr>
              <w:t>‫«ألف مليون SAR»‬</w:t>
            </w:r>
            <w:r>
              <w:rPr>
                <w:sz w:val="17"/>
              </w:rPr>
              <w:t xml:space="preserve"> (e.g. "0.461 </w:t>
            </w:r>
            <w:r>
              <w:rPr>
                <w:sz w:val="17"/>
                <w:rtl/>
                <w:rFonts w:cs="Arial"/>
                <w:szCs w:val="17"/>
              </w:rPr>
              <w:t>‫ألف مليون‬</w:t>
            </w:r>
            <w:r>
              <w:rPr>
                <w:sz w:val="17"/>
              </w:rPr>
              <w:t xml:space="preserve"> SAR" for 461 million); a floating </w:t>
            </w:r>
            <w:r>
              <w:rPr>
                <w:sz w:val="17"/>
                <w:rtl/>
                <w:rFonts w:cs="Arial"/>
                <w:szCs w:val="17"/>
              </w:rPr>
              <w:t>‫«مهام التحليل»‬</w:t>
            </w:r>
            <w:r>
              <w:rPr>
                <w:sz w:val="17"/>
              </w:rPr>
              <w:t xml:space="preserve"> tray (count bubble) over the content; a floating </w:t>
            </w:r>
            <w:r>
              <w:rPr>
                <w:sz w:val="17"/>
                <w:rtl/>
                <w:rFonts w:cs="Arial"/>
                <w:szCs w:val="17"/>
              </w:rPr>
              <w:t>‫«اسأل المساعد»‬</w:t>
            </w:r>
            <w:r>
              <w:rPr>
                <w:sz w:val="17"/>
              </w:rPr>
              <w:t xml:space="preserve"> button</w:t>
            </w:r>
          </w:p>
        </w:tc>
        <w:tc>
          <w:tcPr>
            <w:tcW w:type="dxa" w:w="5829"/>
          </w:tcPr>
          <w:p>
            <w:pPr>
              <w:spacing w:after="0" w:line="252" w:lineRule="auto"/>
            </w:pPr>
            <w:r>
              <w:rPr>
                <w:sz w:val="17"/>
              </w:rPr>
              <w:t xml:space="preserve">confirms the </w:t>
            </w:r>
            <w:r>
              <w:rPr>
                <w:b/>
                <w:sz w:val="17"/>
              </w:rPr>
              <w:t>duplication baseline</w:t>
            </w:r>
            <w:r>
              <w:rPr>
                <w:sz w:val="17"/>
              </w:rPr>
              <w:t xml:space="preserve"> (F-21): the same KPI block and relations bar appeared on four pages. The new IA removed those four copies, but the </w:t>
            </w:r>
            <w:r>
              <w:rPr>
                <w:b/>
                <w:sz w:val="17"/>
              </w:rPr>
              <w:t>nine fixed reports still repeat a KPI strip</w:t>
            </w:r>
            <w:r>
              <w:rPr>
                <w:sz w:val="17"/>
              </w:rPr>
              <w:t xml:space="preserve"> and the </w:t>
            </w:r>
            <w:r>
              <w:rPr>
                <w:b/>
                <w:sz w:val="17"/>
              </w:rPr>
              <w:t>floating elements remain</w:t>
            </w:r>
            <w:r>
              <w:rPr>
                <w:sz w:val="17"/>
              </w:rPr>
              <w:t xml:space="preserve"> (assistant button, planning button, task tray — G-20). The retired unit </w:t>
            </w:r>
            <w:r>
              <w:rPr>
                <w:sz w:val="17"/>
                <w:rtl/>
                <w:rFonts w:cs="Arial"/>
                <w:szCs w:val="17"/>
              </w:rPr>
              <w:t>‫«ألف مليون»‬</w:t>
            </w:r>
            <w:r>
              <w:rPr>
                <w:sz w:val="17"/>
              </w:rPr>
              <w:t xml:space="preserve"> no longer appears (verified in §4.2).</w:t>
            </w:r>
          </w:p>
        </w:tc>
      </w:tr>
      <w:tr>
        <w:trPr>
          <w:cantSplit/>
        </w:trPr>
        <w:tc>
          <w:tcPr>
            <w:tcW w:type="dxa" w:w="3365"/>
            <w:shd w:val="clear" w:color="auto" w:fill="F9FAFB"/>
          </w:tcPr>
          <w:p>
            <w:pPr>
              <w:spacing w:after="0" w:line="252" w:lineRule="auto"/>
            </w:pPr>
            <w:r>
              <w:rPr>
                <w:rFonts w:ascii="Consolas" w:hAnsi="Consolas" w:cs="Consolas"/>
                <w:color w:val="B42318"/>
                <w:sz w:val="16"/>
              </w:rPr>
              <w:t>/decision-room</w:t>
            </w:r>
            <w:r>
              <w:rPr>
                <w:sz w:val="17"/>
              </w:rPr>
              <w:t xml:space="preserve"> (2:57 PM)</w:t>
            </w:r>
          </w:p>
        </w:tc>
        <w:tc>
          <w:tcPr>
            <w:tcW w:type="dxa" w:w="5829"/>
            <w:shd w:val="clear" w:color="auto" w:fill="F9FAFB"/>
          </w:tcPr>
          <w:p>
            <w:pPr>
              <w:spacing w:after="0" w:line="252" w:lineRule="auto"/>
            </w:pPr>
            <w:r>
              <w:rPr>
                <w:sz w:val="17"/>
              </w:rPr>
              <w:t xml:space="preserve">planning room with a red badge </w:t>
            </w:r>
            <w:r>
              <w:rPr>
                <w:b/>
                <w:sz w:val="17"/>
              </w:rPr>
              <w:t>«Failed to fetch»</w:t>
            </w:r>
            <w:r>
              <w:rPr>
                <w:sz w:val="17"/>
              </w:rPr>
              <w:t xml:space="preserve"> (raw English network error shown to the user), «SAR 0 … 0 %» expected receipts, a count bubble over the task tray</w:t>
            </w:r>
          </w:p>
        </w:tc>
        <w:tc>
          <w:tcPr>
            <w:tcW w:type="dxa" w:w="5829"/>
            <w:shd w:val="clear" w:color="auto" w:fill="F9FAFB"/>
          </w:tcPr>
          <w:p>
            <w:pPr>
              <w:spacing w:after="0" w:line="252" w:lineRule="auto"/>
            </w:pPr>
            <w:r>
              <w:rPr>
                <w:sz w:val="17"/>
              </w:rPr>
              <w:t xml:space="preserve">confirms the failure-state problem now handled by </w:t>
            </w:r>
            <w:r>
              <w:rPr>
                <w:rFonts w:ascii="Consolas" w:hAnsi="Consolas" w:cs="Consolas"/>
                <w:color w:val="B42318"/>
                <w:sz w:val="16"/>
              </w:rPr>
              <w:t>resilientFetch</w:t>
            </w:r>
            <w:r>
              <w:rPr>
                <w:sz w:val="17"/>
              </w:rPr>
              <w:t xml:space="preserve"> and </w:t>
            </w:r>
            <w:r>
              <w:rPr>
                <w:rFonts w:ascii="Consolas" w:hAnsi="Consolas" w:cs="Consolas"/>
                <w:color w:val="B42318"/>
                <w:sz w:val="16"/>
              </w:rPr>
              <w:t>AsyncBlock</w:t>
            </w:r>
            <w:r>
              <w:rPr>
                <w:sz w:val="17"/>
              </w:rPr>
              <w:t xml:space="preserve"> (F-12 covers the </w:t>
            </w:r>
            <w:r>
              <w:rPr>
                <w:b/>
                <w:sz w:val="17"/>
              </w:rPr>
              <w:t>remaining</w:t>
            </w:r>
            <w:r>
              <w:rPr>
                <w:sz w:val="17"/>
              </w:rPr>
              <w:t xml:space="preserve"> gap: stale figures and silent failure after the first load). The room no longer exists.</w:t>
            </w:r>
          </w:p>
        </w:tc>
      </w:tr>
      <w:tr>
        <w:trPr>
          <w:cantSplit/>
        </w:trPr>
        <w:tc>
          <w:tcPr>
            <w:tcW w:type="dxa" w:w="3365"/>
          </w:tcPr>
          <w:p>
            <w:pPr>
              <w:spacing w:after="0" w:line="252" w:lineRule="auto"/>
            </w:pPr>
            <w:r>
              <w:rPr>
                <w:rFonts w:ascii="Consolas" w:hAnsi="Consolas" w:cs="Consolas"/>
                <w:color w:val="B42318"/>
                <w:sz w:val="16"/>
              </w:rPr>
              <w:t>/what-if</w:t>
            </w:r>
            <w:r>
              <w:rPr>
                <w:sz w:val="17"/>
              </w:rPr>
              <w:t xml:space="preserve"> (2:57 PM)</w:t>
            </w:r>
          </w:p>
        </w:tc>
        <w:tc>
          <w:tcPr>
            <w:tcW w:type="dxa" w:w="5829"/>
          </w:tcPr>
          <w:p>
            <w:pPr>
              <w:spacing w:after="0" w:line="252" w:lineRule="auto"/>
            </w:pPr>
            <w:r>
              <w:rPr>
                <w:sz w:val="17"/>
                <w:rtl/>
                <w:rFonts w:cs="Arial"/>
                <w:szCs w:val="17"/>
              </w:rPr>
              <w:t>‫«اللوحة الاستراتيجية»‬</w:t>
            </w:r>
            <w:r>
              <w:rPr>
                <w:sz w:val="17"/>
              </w:rPr>
              <w:t xml:space="preserve"> with sliders (0–100 %) for volume, rate, litigation, uncollectible, a disclaimer paragraph</w:t>
            </w:r>
          </w:p>
        </w:tc>
        <w:tc>
          <w:tcPr>
            <w:tcW w:type="dxa" w:w="5829"/>
          </w:tcPr>
          <w:p>
            <w:pPr>
              <w:spacing w:after="0" w:line="252" w:lineRule="auto"/>
            </w:pPr>
            <w:r>
              <w:rPr>
                <w:sz w:val="17"/>
              </w:rPr>
              <w:t xml:space="preserve">scenario levers moved into Planning; the </w:t>
            </w:r>
            <w:r>
              <w:rPr>
                <w:b/>
                <w:sz w:val="17"/>
              </w:rPr>
              <w:t>long disclaimer paragraph</w:t>
            </w:r>
            <w:r>
              <w:rPr>
                <w:sz w:val="17"/>
              </w:rPr>
              <w:t xml:space="preserve"> pattern persists in new pages (C-04).</w:t>
            </w:r>
          </w:p>
        </w:tc>
      </w:tr>
      <w:tr>
        <w:trPr>
          <w:cantSplit/>
        </w:trPr>
        <w:tc>
          <w:tcPr>
            <w:tcW w:type="dxa" w:w="3365"/>
            <w:shd w:val="clear" w:color="auto" w:fill="F9FAFB"/>
          </w:tcPr>
          <w:p>
            <w:pPr>
              <w:spacing w:after="0" w:line="252" w:lineRule="auto"/>
            </w:pPr>
            <w:r>
              <w:rPr>
                <w:rFonts w:ascii="Consolas" w:hAnsi="Consolas" w:cs="Consolas"/>
                <w:color w:val="B42318"/>
                <w:sz w:val="16"/>
              </w:rPr>
              <w:t>/dashboard</w:t>
            </w:r>
            <w:r>
              <w:rPr>
                <w:sz w:val="17"/>
              </w:rPr>
              <w:t xml:space="preserve">, </w:t>
            </w:r>
            <w:r>
              <w:rPr>
                <w:rFonts w:ascii="Consolas" w:hAnsi="Consolas" w:cs="Consolas"/>
                <w:color w:val="B42318"/>
                <w:sz w:val="16"/>
              </w:rPr>
              <w:t>/executive</w:t>
            </w:r>
            <w:r>
              <w:rPr>
                <w:sz w:val="17"/>
              </w:rPr>
              <w:t xml:space="preserve">, </w:t>
            </w:r>
            <w:r>
              <w:rPr>
                <w:rFonts w:ascii="Consolas" w:hAnsi="Consolas" w:cs="Consolas"/>
                <w:color w:val="B42318"/>
                <w:sz w:val="16"/>
              </w:rPr>
              <w:t>/strategic</w:t>
            </w:r>
            <w:r>
              <w:rPr>
                <w:sz w:val="17"/>
              </w:rPr>
              <w:t xml:space="preserve"> (3:21 PM)</w:t>
            </w:r>
          </w:p>
        </w:tc>
        <w:tc>
          <w:tcPr>
            <w:tcW w:type="dxa" w:w="5829"/>
            <w:shd w:val="clear" w:color="auto" w:fill="F9FAFB"/>
          </w:tcPr>
          <w:p>
            <w:pPr>
              <w:spacing w:after="0" w:line="252" w:lineRule="auto"/>
            </w:pPr>
            <w:r>
              <w:rPr>
                <w:sz w:val="17"/>
              </w:rPr>
              <w:t>three pages repeating the same six KPI tiles (e.g. gross, net, collected, rate), the same equation bar and the same filter bar; the third labels the same delta «▼ -0.1 pp»</w:t>
            </w:r>
          </w:p>
        </w:tc>
        <w:tc>
          <w:tcPr>
            <w:tcW w:type="dxa" w:w="5829"/>
            <w:shd w:val="clear" w:color="auto" w:fill="F9FAFB"/>
          </w:tcPr>
          <w:p>
            <w:pPr>
              <w:spacing w:after="0" w:line="252" w:lineRule="auto"/>
            </w:pPr>
            <w:r>
              <w:rPr>
                <w:sz w:val="17"/>
              </w:rPr>
              <w:t xml:space="preserve">same as above. Note the filter state shown (this month, 9 invoices) is a </w:t>
            </w:r>
            <w:r>
              <w:rPr>
                <w:b/>
                <w:sz w:val="17"/>
              </w:rPr>
              <w:t>tiny sample</w:t>
            </w:r>
            <w:r>
              <w:rPr>
                <w:sz w:val="17"/>
              </w:rPr>
              <w:t xml:space="preserve"> with no caution on the tiles (H-).</w:t>
            </w:r>
          </w:p>
        </w:tc>
      </w:tr>
    </w:tbl>
    <w:p>
      <w:pPr>
        <w:spacing w:after="40"/>
      </w:pPr>
    </w:p>
    <w:p>
      <w:r>
        <w:rPr>
          <w:b/>
        </w:rPr>
        <w:t>Limitation that remains:</w:t>
      </w:r>
      <w:r>
        <w:t xml:space="preserve"> the screenshots show the old routes, so I cannot tell whether they were captured from a stale browser tab or from before the restructuring. They add </w:t>
      </w:r>
      <w:r>
        <w:rPr>
          <w:b/>
        </w:rPr>
        <w:t>no new defect of the restructured pages</w:t>
      </w:r>
      <w:r>
        <w:t>; they strengthen F-21, F-12, G-20 and C-04, and they are the "before" baseline for the visual comparison.</w:t>
      </w:r>
    </w:p>
    <w:p>
      <w:pPr>
        <w:pStyle w:val="Heading3"/>
      </w:pPr>
      <w:r>
        <w:t>26.2 Original monthly reports reviewed</w:t>
      </w:r>
    </w:p>
    <w:p>
      <w:r>
        <w:t xml:space="preserve">Reviewed directly (converted from the originals in </w:t>
      </w:r>
      <w:r>
        <w:rPr>
          <w:rFonts w:ascii="Consolas" w:hAnsi="Consolas" w:cs="Consolas"/>
          <w:color w:val="B42318"/>
          <w:sz w:val="19"/>
        </w:rPr>
        <w:t>Downloads</w:t>
      </w:r>
      <w:r>
        <w:t xml:space="preserve"> and read slide by slide): the </w:t>
      </w:r>
      <w:r>
        <w:rPr>
          <w:b/>
        </w:rPr>
        <w:t>July 2026 report (26 slides)</w:t>
      </w:r>
      <w:r>
        <w:t xml:space="preserve"> and the </w:t>
      </w:r>
      <w:r>
        <w:rPr>
          <w:b/>
        </w:rPr>
        <w:t>January, February and March 2026 reports (18–20 slides)</w:t>
      </w:r>
      <w:r>
        <w:t>. The earlier mapping (</w:t>
      </w:r>
      <w:r>
        <w:rPr>
          <w:rFonts w:ascii="Consolas" w:hAnsi="Consolas" w:cs="Consolas"/>
          <w:color w:val="B42318"/>
          <w:sz w:val="19"/>
        </w:rPr>
        <w:t>docs/monthly-reports-mapping-ar.md</w:t>
      </w:r>
      <w:r>
        <w:t xml:space="preserve">) covered January–March only. </w:t>
      </w:r>
      <w:r>
        <w:rPr>
          <w:b/>
        </w:rPr>
        <w:t>No ministry figures are reproduced in this document or in the product</w:t>
      </w:r>
      <w:r>
        <w:t>; only structure, labels and definitions are recorded.</w:t>
      </w:r>
    </w:p>
    <w:p>
      <w:r>
        <w:t>What the originals show, and what changes in the audit: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37"/>
        <w:gridCol w:w="6894"/>
        <w:gridCol w:w="6894"/>
      </w:tblGrid>
      <w:tr>
        <w:trPr>
          <w:tblHeader w:val="true"/>
          <w:cantSplit/>
        </w:trPr>
        <w:tc>
          <w:tcPr>
            <w:tcW w:type="dxa" w:w="1237"/>
            <w:shd w:val="clear" w:color="auto" w:fill="1B8354"/>
          </w:tcPr>
          <w:p>
            <w:pPr>
              <w:spacing w:after="0" w:line="252" w:lineRule="auto"/>
            </w:pPr>
            <w:r>
              <w:rPr>
                <w:b/>
                <w:color w:val="FFFFFF"/>
                <w:sz w:val="17"/>
              </w:rPr>
              <w:t>#</w:t>
            </w:r>
          </w:p>
        </w:tc>
        <w:tc>
          <w:tcPr>
            <w:tcW w:type="dxa" w:w="6894"/>
            <w:shd w:val="clear" w:color="auto" w:fill="1B8354"/>
          </w:tcPr>
          <w:p>
            <w:pPr>
              <w:spacing w:after="0" w:line="252" w:lineRule="auto"/>
            </w:pPr>
            <w:r>
              <w:rPr>
                <w:b/>
                <w:color w:val="FFFFFF"/>
                <w:sz w:val="17"/>
              </w:rPr>
              <w:t>Evidence in the reports</w:t>
            </w:r>
          </w:p>
        </w:tc>
        <w:tc>
          <w:tcPr>
            <w:tcW w:type="dxa" w:w="6894"/>
            <w:shd w:val="clear" w:color="auto" w:fill="1B8354"/>
          </w:tcPr>
          <w:p>
            <w:pPr>
              <w:spacing w:after="0" w:line="252" w:lineRule="auto"/>
            </w:pPr>
            <w:r>
              <w:rPr>
                <w:b/>
                <w:color w:val="FFFFFF"/>
                <w:sz w:val="17"/>
              </w:rPr>
              <w:t>Effect</w:t>
            </w:r>
          </w:p>
        </w:tc>
      </w:tr>
      <w:tr>
        <w:trPr>
          <w:cantSplit/>
        </w:trPr>
        <w:tc>
          <w:tcPr>
            <w:tcW w:type="dxa" w:w="1237"/>
          </w:tcPr>
          <w:p>
            <w:pPr>
              <w:spacing w:after="0" w:line="252" w:lineRule="auto"/>
            </w:pPr>
            <w:r>
              <w:rPr>
                <w:b/>
                <w:sz w:val="17"/>
              </w:rPr>
              <w:t>E-1</w:t>
            </w:r>
          </w:p>
        </w:tc>
        <w:tc>
          <w:tcPr>
            <w:tcW w:type="dxa" w:w="6894"/>
          </w:tcPr>
          <w:p>
            <w:pPr>
              <w:spacing w:after="0" w:line="252" w:lineRule="auto"/>
            </w:pPr>
            <w:r>
              <w:rPr>
                <w:b/>
                <w:sz w:val="17"/>
              </w:rPr>
              <w:t>Grace periods are applied and named in footnotes, and they differ:</w:t>
            </w:r>
            <w:r>
              <w:rPr>
                <w:sz w:val="17"/>
              </w:rPr>
              <w:t xml:space="preserve"> March, Amanah-vs-target slide: «</w:t>
            </w:r>
            <w:r>
              <w:rPr>
                <w:sz w:val="17"/>
                <w:rtl/>
                <w:rFonts w:cs="Arial"/>
                <w:szCs w:val="17"/>
              </w:rPr>
              <w:t>‫تم احتساب فترة سماح‬</w:t>
            </w:r>
            <w:r>
              <w:rPr>
                <w:sz w:val="17"/>
              </w:rPr>
              <w:t xml:space="preserve"> </w:t>
            </w:r>
            <w:r>
              <w:rPr>
                <w:b/>
                <w:sz w:val="17"/>
              </w:rPr>
              <w:t>15</w:t>
            </w:r>
            <w:r>
              <w:rPr>
                <w:sz w:val="17"/>
              </w:rPr>
              <w:t xml:space="preserve"> </w:t>
            </w:r>
            <w:r>
              <w:rPr>
                <w:sz w:val="17"/>
                <w:rtl/>
                <w:rFonts w:cs="Arial"/>
                <w:szCs w:val="17"/>
              </w:rPr>
              <w:t>‫يوماً‬</w:t>
            </w:r>
            <w:r>
              <w:rPr>
                <w:sz w:val="17"/>
              </w:rPr>
              <w:t>»; July, Amanah-vs-target slide: «</w:t>
            </w:r>
            <w:r>
              <w:rPr>
                <w:sz w:val="17"/>
                <w:rtl/>
                <w:rFonts w:cs="Arial"/>
                <w:szCs w:val="17"/>
              </w:rPr>
              <w:t>‫تم احتساب فترة سماح‬</w:t>
            </w:r>
            <w:r>
              <w:rPr>
                <w:sz w:val="17"/>
              </w:rPr>
              <w:t xml:space="preserve"> </w:t>
            </w:r>
            <w:r>
              <w:rPr>
                <w:b/>
                <w:sz w:val="17"/>
              </w:rPr>
              <w:t>35</w:t>
            </w:r>
            <w:r>
              <w:rPr>
                <w:sz w:val="17"/>
              </w:rPr>
              <w:t xml:space="preserve"> </w:t>
            </w:r>
            <w:r>
              <w:rPr>
                <w:sz w:val="17"/>
                <w:rtl/>
                <w:rFonts w:cs="Arial"/>
                <w:szCs w:val="17"/>
              </w:rPr>
              <w:t>‫يوم‬</w:t>
            </w:r>
            <w:r>
              <w:rPr>
                <w:sz w:val="17"/>
              </w:rPr>
              <w:t>»; July, enforcement slide: «</w:t>
            </w:r>
            <w:r>
              <w:rPr>
                <w:sz w:val="17"/>
                <w:rtl/>
                <w:rFonts w:cs="Arial"/>
                <w:szCs w:val="17"/>
              </w:rPr>
              <w:t>‫فترة السماح وفق نظام إيرادات الدولة‬</w:t>
            </w:r>
            <w:r>
              <w:rPr>
                <w:sz w:val="17"/>
              </w:rPr>
              <w:t xml:space="preserve"> (</w:t>
            </w:r>
            <w:r>
              <w:rPr>
                <w:b/>
                <w:sz w:val="17"/>
              </w:rPr>
              <w:t>60</w:t>
            </w:r>
            <w:r>
              <w:rPr>
                <w:sz w:val="17"/>
              </w:rPr>
              <w:t xml:space="preserve"> </w:t>
            </w:r>
            <w:r>
              <w:rPr>
                <w:sz w:val="17"/>
                <w:rtl/>
                <w:rFonts w:cs="Arial"/>
                <w:szCs w:val="17"/>
              </w:rPr>
              <w:t>‫يوماً) بالإضافة إلى فترة إشعار المطالبة بالأداء وفق نظام التنفيذ أمام ديوان المظالم‬</w:t>
            </w:r>
            <w:r>
              <w:rPr>
                <w:sz w:val="17"/>
              </w:rPr>
              <w:t xml:space="preserve"> (</w:t>
            </w:r>
            <w:r>
              <w:rPr>
                <w:b/>
                <w:sz w:val="17"/>
              </w:rPr>
              <w:t>30</w:t>
            </w:r>
            <w:r>
              <w:rPr>
                <w:sz w:val="17"/>
              </w:rPr>
              <w:t xml:space="preserve"> </w:t>
            </w:r>
            <w:r>
              <w:rPr>
                <w:sz w:val="17"/>
                <w:rtl/>
                <w:rFonts w:cs="Arial"/>
                <w:szCs w:val="17"/>
              </w:rPr>
              <w:t>‫يوماً)‬</w:t>
            </w:r>
            <w:r>
              <w:rPr>
                <w:sz w:val="17"/>
              </w:rPr>
              <w:t xml:space="preserve">». The platform defaults to </w:t>
            </w:r>
            <w:r>
              <w:rPr>
                <w:b/>
                <w:sz w:val="17"/>
                <w:rtl/>
                <w:rFonts w:cs="Arial"/>
                <w:szCs w:val="17"/>
                <w:bCs/>
              </w:rPr>
              <w:t>‫«أيام السماح: 0 (غير محسوم)»‬</w:t>
            </w:r>
            <w:r>
              <w:rPr>
                <w:sz w:val="17"/>
              </w:rPr>
              <w:t xml:space="preserve"> (</w:t>
            </w:r>
            <w:r>
              <w:rPr>
                <w:rFonts w:ascii="Consolas" w:hAnsi="Consolas" w:cs="Consolas"/>
                <w:color w:val="B42318"/>
                <w:sz w:val="16"/>
              </w:rPr>
              <w:t>ScopeBar</w:t>
            </w:r>
            <w:r>
              <w:rPr>
                <w:sz w:val="17"/>
              </w:rPr>
              <w:t xml:space="preserve">, </w:t>
            </w:r>
            <w:r>
              <w:rPr>
                <w:rFonts w:ascii="Consolas" w:hAnsi="Consolas" w:cs="Consolas"/>
                <w:color w:val="B42318"/>
                <w:sz w:val="16"/>
              </w:rPr>
              <w:t>cfg.graceDays</w:t>
            </w:r>
            <w:r>
              <w:rPr>
                <w:sz w:val="17"/>
              </w:rPr>
              <w:t>).</w:t>
            </w:r>
          </w:p>
        </w:tc>
        <w:tc>
          <w:tcPr>
            <w:tcW w:type="dxa" w:w="6894"/>
          </w:tcPr>
          <w:p>
            <w:pPr>
              <w:spacing w:after="0" w:line="252" w:lineRule="auto"/>
            </w:pPr>
            <w:r>
              <w:rPr>
                <w:b/>
                <w:sz w:val="17"/>
              </w:rPr>
              <w:t>New finding F-32</w:t>
            </w:r>
            <w:r>
              <w:rPr>
                <w:sz w:val="17"/>
              </w:rPr>
              <w:t xml:space="preserve"> and essential question </w:t>
            </w:r>
            <w:r>
              <w:rPr>
                <w:b/>
                <w:sz w:val="17"/>
              </w:rPr>
              <w:t>EQ2</w:t>
            </w:r>
            <w:r>
              <w:rPr>
                <w:sz w:val="17"/>
              </w:rPr>
              <w:t>. The earlier mapping said "grace unresolved"; the originals show a policy that varies by report and period.</w:t>
            </w:r>
          </w:p>
        </w:tc>
      </w:tr>
      <w:tr>
        <w:trPr>
          <w:cantSplit/>
        </w:trPr>
        <w:tc>
          <w:tcPr>
            <w:tcW w:type="dxa" w:w="1237"/>
            <w:shd w:val="clear" w:color="auto" w:fill="F9FAFB"/>
          </w:tcPr>
          <w:p>
            <w:pPr>
              <w:spacing w:after="0" w:line="252" w:lineRule="auto"/>
            </w:pPr>
            <w:r>
              <w:rPr>
                <w:b/>
                <w:sz w:val="17"/>
              </w:rPr>
              <w:t>E-2</w:t>
            </w:r>
          </w:p>
        </w:tc>
        <w:tc>
          <w:tcPr>
            <w:tcW w:type="dxa" w:w="6894"/>
            <w:shd w:val="clear" w:color="auto" w:fill="F9FAFB"/>
          </w:tcPr>
          <w:p>
            <w:pPr>
              <w:spacing w:after="0" w:line="252" w:lineRule="auto"/>
            </w:pPr>
            <w:r>
              <w:rPr>
                <w:b/>
                <w:sz w:val="17"/>
              </w:rPr>
              <w:t>Targets are present in the reports:</w:t>
            </w:r>
            <w:r>
              <w:rPr>
                <w:sz w:val="17"/>
              </w:rPr>
              <w:t xml:space="preserve"> the Amanah comparison slide shows a </w:t>
            </w:r>
            <w:r>
              <w:rPr>
                <w:b/>
                <w:sz w:val="17"/>
              </w:rPr>
              <w:t>single collection-rate target applied to every Amanah</w:t>
            </w:r>
            <w:r>
              <w:rPr>
                <w:sz w:val="17"/>
              </w:rPr>
              <w:t xml:space="preserve"> next to the actual ratio (map layout); the executive slide shows an annual appropriation/target per sector. The platform's demo target equals that displayed value.</w:t>
            </w:r>
          </w:p>
        </w:tc>
        <w:tc>
          <w:tcPr>
            <w:tcW w:type="dxa" w:w="6894"/>
            <w:shd w:val="clear" w:color="auto" w:fill="F9FAFB"/>
          </w:tcPr>
          <w:p>
            <w:pPr>
              <w:spacing w:after="0" w:line="252" w:lineRule="auto"/>
            </w:pPr>
            <w:r>
              <w:rPr>
                <w:sz w:val="17"/>
              </w:rPr>
              <w:t xml:space="preserve">The audit and UI say "no approved targets in the data". Reword: </w:t>
            </w:r>
            <w:r>
              <w:rPr>
                <w:b/>
                <w:sz w:val="17"/>
              </w:rPr>
              <w:t>targets appear in the monthly reports; their approval status, owner and version are not documented in the material provided</w:t>
            </w:r>
            <w:r>
              <w:rPr>
                <w:sz w:val="17"/>
              </w:rPr>
              <w:t xml:space="preserve"> (</w:t>
            </w:r>
            <w:r>
              <w:rPr>
                <w:b/>
                <w:sz w:val="17"/>
              </w:rPr>
              <w:t>F-34</w:t>
            </w:r>
            <w:r>
              <w:rPr>
                <w:sz w:val="17"/>
              </w:rPr>
              <w:t>, EQ6).</w:t>
            </w:r>
          </w:p>
        </w:tc>
      </w:tr>
      <w:tr>
        <w:trPr>
          <w:cantSplit/>
        </w:trPr>
        <w:tc>
          <w:tcPr>
            <w:tcW w:type="dxa" w:w="1237"/>
          </w:tcPr>
          <w:p>
            <w:pPr>
              <w:spacing w:after="0" w:line="252" w:lineRule="auto"/>
            </w:pPr>
            <w:r>
              <w:rPr>
                <w:b/>
                <w:sz w:val="17"/>
              </w:rPr>
              <w:t>E-3</w:t>
            </w:r>
          </w:p>
        </w:tc>
        <w:tc>
          <w:tcPr>
            <w:tcW w:type="dxa" w:w="6894"/>
          </w:tcPr>
          <w:p>
            <w:pPr>
              <w:spacing w:after="0" w:line="252" w:lineRule="auto"/>
            </w:pPr>
            <w:r>
              <w:rPr>
                <w:b/>
                <w:sz w:val="17"/>
              </w:rPr>
              <w:t>Operating-expenditure coverage is defined in the reports as collected-to-date ÷ the prorated original appropriation of chapters 1–3 to date</w:t>
            </w:r>
            <w:r>
              <w:rPr>
                <w:sz w:val="17"/>
              </w:rPr>
              <w:t xml:space="preserve">, per Amanah, with the annual appropriation as a separate column (checked arithmetically on two rows). The platform computes </w:t>
            </w:r>
            <w:r>
              <w:rPr>
                <w:b/>
                <w:sz w:val="17"/>
              </w:rPr>
              <w:t>receipts ÷ cash payments of chapters 1–3</w:t>
            </w:r>
            <w:r>
              <w:rPr>
                <w:sz w:val="17"/>
              </w:rPr>
              <w:t xml:space="preserve"> (synthetic) — a different denominator — and has no per-Amanah appropriation.</w:t>
            </w:r>
          </w:p>
        </w:tc>
        <w:tc>
          <w:tcPr>
            <w:tcW w:type="dxa" w:w="6894"/>
          </w:tcPr>
          <w:p>
            <w:pPr>
              <w:spacing w:after="0" w:line="252" w:lineRule="auto"/>
            </w:pPr>
            <w:r>
              <w:rPr>
                <w:b/>
                <w:sz w:val="17"/>
              </w:rPr>
              <w:t>New finding F-33</w:t>
            </w:r>
            <w:r>
              <w:rPr>
                <w:sz w:val="17"/>
              </w:rPr>
              <w:t xml:space="preserve"> and </w:t>
            </w:r>
            <w:r>
              <w:rPr>
                <w:b/>
                <w:sz w:val="17"/>
              </w:rPr>
              <w:t>EQ5</w:t>
            </w:r>
            <w:r>
              <w:rPr>
                <w:sz w:val="17"/>
              </w:rPr>
              <w:t>: the platform's "coverage" does not reproduce the reports' definition. The synthetic budget already holds the prorated budget, so the report's definition can be shown nationally without new data.</w:t>
            </w:r>
          </w:p>
        </w:tc>
      </w:tr>
      <w:tr>
        <w:trPr>
          <w:cantSplit/>
        </w:trPr>
        <w:tc>
          <w:tcPr>
            <w:tcW w:type="dxa" w:w="1237"/>
            <w:shd w:val="clear" w:color="auto" w:fill="F9FAFB"/>
          </w:tcPr>
          <w:p>
            <w:pPr>
              <w:spacing w:after="0" w:line="252" w:lineRule="auto"/>
            </w:pPr>
            <w:r>
              <w:rPr>
                <w:b/>
                <w:sz w:val="17"/>
              </w:rPr>
              <w:t>E-4</w:t>
            </w:r>
          </w:p>
        </w:tc>
        <w:tc>
          <w:tcPr>
            <w:tcW w:type="dxa" w:w="6894"/>
            <w:shd w:val="clear" w:color="auto" w:fill="F9FAFB"/>
          </w:tcPr>
          <w:p>
            <w:pPr>
              <w:spacing w:after="0" w:line="252" w:lineRule="auto"/>
            </w:pPr>
            <w:r>
              <w:rPr>
                <w:b/>
                <w:sz w:val="17"/>
              </w:rPr>
              <w:t>July adds three sections absent from Jan–Mar and from the platform:</w:t>
            </w:r>
            <w:r>
              <w:rPr>
                <w:sz w:val="17"/>
              </w:rPr>
              <w:t xml:space="preserve"> (a) </w:t>
            </w:r>
            <w:r>
              <w:rPr>
                <w:b/>
                <w:sz w:val="17"/>
              </w:rPr>
              <w:t>enforcement referral</w:t>
            </w:r>
            <w:r>
              <w:rPr>
                <w:sz w:val="17"/>
              </w:rPr>
              <w:t xml:space="preserve"> — portfolio, referable amount, non-referable amount, enforced-against, collected from enforcement and ratios, by Amanah, with sources (Sanad, Eefaa, Tahseel) and three footnotes; (b) </w:t>
            </w:r>
            <w:r>
              <w:rPr>
                <w:b/>
                <w:sz w:val="17"/>
              </w:rPr>
              <w:t>income-participation report</w:t>
            </w:r>
            <w:r>
              <w:rPr>
                <w:sz w:val="17"/>
              </w:rPr>
              <w:t xml:space="preserve"> — monthly counts per Amanah with future months left blank; (c) </w:t>
            </w:r>
            <w:r>
              <w:rPr>
                <w:b/>
                <w:sz w:val="17"/>
              </w:rPr>
              <w:t>e-invoice report</w:t>
            </w:r>
            <w:r>
              <w:rPr>
                <w:sz w:val="17"/>
              </w:rPr>
              <w:t xml:space="preserve"> — counts per Amanah by revenue source. Also quarterly collection bars (2026 vs 2025).</w:t>
            </w:r>
          </w:p>
        </w:tc>
        <w:tc>
          <w:tcPr>
            <w:tcW w:type="dxa" w:w="6894"/>
            <w:shd w:val="clear" w:color="auto" w:fill="F9FAFB"/>
          </w:tcPr>
          <w:p>
            <w:pPr>
              <w:spacing w:after="0" w:line="252" w:lineRule="auto"/>
            </w:pPr>
            <w:r>
              <w:rPr>
                <w:b/>
                <w:sz w:val="17"/>
              </w:rPr>
              <w:t>F-35 / B-12:</w:t>
            </w:r>
            <w:r>
              <w:rPr>
                <w:sz w:val="17"/>
              </w:rPr>
              <w:t xml:space="preserve"> the nine fixed reports do not cover (a)–(c). (a) is partly supportable (Sanad cases exist); (b)–(c) need data sources the demo does not hold.</w:t>
            </w:r>
          </w:p>
        </w:tc>
      </w:tr>
      <w:tr>
        <w:trPr>
          <w:cantSplit/>
        </w:trPr>
        <w:tc>
          <w:tcPr>
            <w:tcW w:type="dxa" w:w="1237"/>
          </w:tcPr>
          <w:p>
            <w:pPr>
              <w:spacing w:after="0" w:line="252" w:lineRule="auto"/>
            </w:pPr>
            <w:r>
              <w:rPr>
                <w:b/>
                <w:sz w:val="17"/>
              </w:rPr>
              <w:t>E-5</w:t>
            </w:r>
          </w:p>
        </w:tc>
        <w:tc>
          <w:tcPr>
            <w:tcW w:type="dxa" w:w="6894"/>
          </w:tcPr>
          <w:p>
            <w:pPr>
              <w:spacing w:after="0" w:line="252" w:lineRule="auto"/>
            </w:pPr>
            <w:r>
              <w:rPr>
                <w:b/>
                <w:sz w:val="17"/>
              </w:rPr>
              <w:t>Units and blanks:</w:t>
            </w:r>
            <w:r>
              <w:rPr>
                <w:sz w:val="17"/>
              </w:rPr>
              <w:t xml:space="preserve"> one unit per table (</w:t>
            </w:r>
            <w:r>
              <w:rPr>
                <w:sz w:val="17"/>
                <w:rtl/>
                <w:rFonts w:cs="Arial"/>
                <w:szCs w:val="17"/>
              </w:rPr>
              <w:t>‫«المبالغ بالمليون»‬</w:t>
            </w:r>
            <w:r>
              <w:rPr>
                <w:sz w:val="17"/>
              </w:rPr>
              <w:t xml:space="preserve"> / </w:t>
            </w:r>
            <w:r>
              <w:rPr>
                <w:sz w:val="17"/>
                <w:rtl/>
                <w:rFonts w:cs="Arial"/>
                <w:szCs w:val="17"/>
              </w:rPr>
              <w:t>‫«بالألف ريال»‬</w:t>
            </w:r>
            <w:r>
              <w:rPr>
                <w:sz w:val="17"/>
              </w:rPr>
              <w:t xml:space="preserve">) stated in a chip on each slide; future months are left </w:t>
            </w:r>
            <w:r>
              <w:rPr>
                <w:b/>
                <w:sz w:val="17"/>
              </w:rPr>
              <w:t>blank</w:t>
            </w:r>
            <w:r>
              <w:rPr>
                <w:sz w:val="17"/>
              </w:rPr>
              <w:t>, not zero.</w:t>
            </w:r>
          </w:p>
        </w:tc>
        <w:tc>
          <w:tcPr>
            <w:tcW w:type="dxa" w:w="6894"/>
          </w:tcPr>
          <w:p>
            <w:pPr>
              <w:spacing w:after="0" w:line="252" w:lineRule="auto"/>
            </w:pPr>
            <w:r>
              <w:rPr>
                <w:sz w:val="17"/>
              </w:rPr>
              <w:t>confirms the platform's one-unit rule and "unavailable ≠ zero" (no change).</w:t>
            </w:r>
          </w:p>
        </w:tc>
      </w:tr>
      <w:tr>
        <w:trPr>
          <w:cantSplit/>
        </w:trPr>
        <w:tc>
          <w:tcPr>
            <w:tcW w:type="dxa" w:w="1237"/>
            <w:shd w:val="clear" w:color="auto" w:fill="F9FAFB"/>
          </w:tcPr>
          <w:p>
            <w:pPr>
              <w:spacing w:after="0" w:line="252" w:lineRule="auto"/>
            </w:pPr>
            <w:r>
              <w:rPr>
                <w:b/>
                <w:sz w:val="17"/>
              </w:rPr>
              <w:t>E-6</w:t>
            </w:r>
          </w:p>
        </w:tc>
        <w:tc>
          <w:tcPr>
            <w:tcW w:type="dxa" w:w="6894"/>
            <w:shd w:val="clear" w:color="auto" w:fill="F9FAFB"/>
          </w:tcPr>
          <w:p>
            <w:pPr>
              <w:spacing w:after="0" w:line="252" w:lineRule="auto"/>
            </w:pPr>
            <w:r>
              <w:rPr>
                <w:b/>
                <w:sz w:val="17"/>
              </w:rPr>
              <w:t>Comparison style:</w:t>
            </w:r>
            <w:r>
              <w:rPr>
                <w:sz w:val="17"/>
              </w:rPr>
              <w:t xml:space="preserve"> cumulative year-to-month for 2026 and 2025 side by side, change columns in % for amounts and in points for ratios. The slides </w:t>
            </w:r>
            <w:r>
              <w:rPr>
                <w:b/>
                <w:sz w:val="17"/>
              </w:rPr>
              <w:t>do not state the date up to which collections were counted</w:t>
            </w:r>
            <w:r>
              <w:rPr>
                <w:sz w:val="17"/>
              </w:rPr>
              <w:t>.</w:t>
            </w:r>
          </w:p>
        </w:tc>
        <w:tc>
          <w:tcPr>
            <w:tcW w:type="dxa" w:w="6894"/>
            <w:shd w:val="clear" w:color="auto" w:fill="F9FAFB"/>
          </w:tcPr>
          <w:p>
            <w:pPr>
              <w:spacing w:after="0" w:line="252" w:lineRule="auto"/>
            </w:pPr>
            <w:r>
              <w:rPr>
                <w:sz w:val="17"/>
              </w:rPr>
              <w:t xml:space="preserve">the platform's comparison design is consistent in form. The </w:t>
            </w:r>
            <w:r>
              <w:rPr>
                <w:b/>
                <w:sz w:val="17"/>
              </w:rPr>
              <w:t>official as-of basis cannot be inferred</w:t>
            </w:r>
            <w:r>
              <w:rPr>
                <w:sz w:val="17"/>
              </w:rPr>
              <w:t xml:space="preserve"> from the reports → F-01's basis question stays a business decision (EQ1).</w:t>
            </w:r>
          </w:p>
        </w:tc>
      </w:tr>
      <w:tr>
        <w:trPr>
          <w:cantSplit/>
        </w:trPr>
        <w:tc>
          <w:tcPr>
            <w:tcW w:type="dxa" w:w="1237"/>
          </w:tcPr>
          <w:p>
            <w:pPr>
              <w:spacing w:after="0" w:line="252" w:lineRule="auto"/>
            </w:pPr>
            <w:r>
              <w:rPr>
                <w:b/>
                <w:sz w:val="17"/>
              </w:rPr>
              <w:t>E-7</w:t>
            </w:r>
          </w:p>
        </w:tc>
        <w:tc>
          <w:tcPr>
            <w:tcW w:type="dxa" w:w="6894"/>
          </w:tcPr>
          <w:p>
            <w:pPr>
              <w:spacing w:after="0" w:line="252" w:lineRule="auto"/>
            </w:pPr>
            <w:r>
              <w:rPr>
                <w:b/>
                <w:sz w:val="17"/>
              </w:rPr>
              <w:t>Branding:</w:t>
            </w:r>
            <w:r>
              <w:rPr>
                <w:sz w:val="17"/>
              </w:rPr>
              <w:t xml:space="preserve"> the reports carry the </w:t>
            </w:r>
            <w:r>
              <w:rPr>
                <w:b/>
                <w:sz w:val="17"/>
              </w:rPr>
              <w:t>MOMAH lockup</w:t>
            </w:r>
            <w:r>
              <w:rPr>
                <w:sz w:val="17"/>
              </w:rPr>
              <w:t xml:space="preserve"> (emblem + </w:t>
            </w:r>
            <w:r>
              <w:rPr>
                <w:sz w:val="17"/>
                <w:rtl/>
                <w:rFonts w:cs="Arial"/>
                <w:szCs w:val="17"/>
              </w:rPr>
              <w:t>‫«وزارة البلديات والإسكان / Ministry of Municipalities &amp; Housing»‬</w:t>
            </w:r>
            <w:r>
              <w:rPr>
                <w:sz w:val="17"/>
              </w:rPr>
              <w:t xml:space="preserve">): white on the teal cover/contents slides, coloured on white tiles. The July deck embeds a coloured </w:t>
            </w:r>
            <w:r>
              <w:rPr>
                <w:b/>
                <w:sz w:val="17"/>
              </w:rPr>
              <w:t>PNG 1058 × 325 px, transparent</w:t>
            </w:r>
            <w:r>
              <w:rPr>
                <w:sz w:val="17"/>
              </w:rPr>
              <w:t xml:space="preserve"> (</w:t>
            </w:r>
            <w:r>
              <w:rPr>
                <w:rFonts w:ascii="Consolas" w:hAnsi="Consolas" w:cs="Consolas"/>
                <w:color w:val="B42318"/>
                <w:sz w:val="16"/>
              </w:rPr>
              <w:t>ppt/media/image4.png</w:t>
            </w:r>
            <w:r>
              <w:rPr>
                <w:sz w:val="17"/>
              </w:rPr>
              <w:t xml:space="preserve">). The report template uses </w:t>
            </w:r>
            <w:r>
              <w:rPr>
                <w:b/>
                <w:sz w:val="17"/>
              </w:rPr>
              <w:t>teal/dark-green headers with a lime accent</w:t>
            </w:r>
            <w:r>
              <w:rPr>
                <w:sz w:val="17"/>
              </w:rPr>
              <w:t xml:space="preserve"> — not DGA SA 600.</w:t>
            </w:r>
          </w:p>
        </w:tc>
        <w:tc>
          <w:tcPr>
            <w:tcW w:type="dxa" w:w="6894"/>
          </w:tcPr>
          <w:p>
            <w:pPr>
              <w:spacing w:after="0" w:line="252" w:lineRule="auto"/>
            </w:pPr>
            <w:r>
              <w:rPr>
                <w:b/>
                <w:sz w:val="17"/>
              </w:rPr>
              <w:t>Candidate source</w:t>
            </w:r>
            <w:r>
              <w:rPr>
                <w:sz w:val="17"/>
              </w:rPr>
              <w:t xml:space="preserve"> for G-01 (not an official asset — raster, unknown version). It also opens </w:t>
            </w:r>
            <w:r>
              <w:rPr>
                <w:b/>
                <w:sz w:val="17"/>
              </w:rPr>
              <w:t>Q-asset-2:</w:t>
            </w:r>
            <w:r>
              <w:rPr>
                <w:sz w:val="17"/>
              </w:rPr>
              <w:t xml:space="preserve"> exports/reports follow the </w:t>
            </w:r>
            <w:r>
              <w:rPr>
                <w:i/>
                <w:sz w:val="17"/>
              </w:rPr>
              <w:t>ministry report template</w:t>
            </w:r>
            <w:r>
              <w:rPr>
                <w:sz w:val="17"/>
              </w:rPr>
              <w:t xml:space="preserve"> or the </w:t>
            </w:r>
            <w:r>
              <w:rPr>
                <w:i/>
                <w:sz w:val="17"/>
              </w:rPr>
              <w:t>DGA foundation</w:t>
            </w:r>
            <w:r>
              <w:rPr>
                <w:sz w:val="17"/>
              </w:rPr>
              <w:t>?</w:t>
            </w:r>
          </w:p>
        </w:tc>
      </w:tr>
      <w:tr>
        <w:trPr>
          <w:cantSplit/>
        </w:trPr>
        <w:tc>
          <w:tcPr>
            <w:tcW w:type="dxa" w:w="1237"/>
            <w:shd w:val="clear" w:color="auto" w:fill="F9FAFB"/>
          </w:tcPr>
          <w:p>
            <w:pPr>
              <w:spacing w:after="0" w:line="252" w:lineRule="auto"/>
            </w:pPr>
            <w:r>
              <w:rPr>
                <w:b/>
                <w:sz w:val="17"/>
              </w:rPr>
              <w:t>E-8</w:t>
            </w:r>
          </w:p>
        </w:tc>
        <w:tc>
          <w:tcPr>
            <w:tcW w:type="dxa" w:w="6894"/>
            <w:shd w:val="clear" w:color="auto" w:fill="F9FAFB"/>
          </w:tcPr>
          <w:p>
            <w:pPr>
              <w:spacing w:after="0" w:line="252" w:lineRule="auto"/>
            </w:pPr>
            <w:r>
              <w:rPr>
                <w:sz w:val="17"/>
              </w:rPr>
              <w:t>Tables label unit chips, totals rows and per-sector sub-totals (</w:t>
            </w:r>
            <w:r>
              <w:rPr>
                <w:sz w:val="17"/>
                <w:rtl/>
                <w:rFonts w:cs="Arial"/>
                <w:szCs w:val="17"/>
              </w:rPr>
              <w:t>‫«مجموع قطاع البلدي»‬</w:t>
            </w:r>
            <w:r>
              <w:rPr>
                <w:sz w:val="17"/>
                <w:rtl/>
                <w:rFonts w:cs="Arial"/>
                <w:szCs w:val="17"/>
              </w:rPr>
              <w:t>‫،‬</w:t>
            </w:r>
            <w:r>
              <w:rPr>
                <w:sz w:val="17"/>
              </w:rPr>
              <w:t xml:space="preserve"> </w:t>
            </w:r>
            <w:r>
              <w:rPr>
                <w:sz w:val="17"/>
                <w:rtl/>
                <w:rFonts w:cs="Arial"/>
                <w:szCs w:val="17"/>
              </w:rPr>
              <w:t>‫«الإسكان»‬</w:t>
            </w:r>
            <w:r>
              <w:rPr>
                <w:sz w:val="17"/>
                <w:rtl/>
                <w:rFonts w:cs="Arial"/>
                <w:szCs w:val="17"/>
              </w:rPr>
              <w:t>‫،‬</w:t>
            </w:r>
            <w:r>
              <w:rPr>
                <w:sz w:val="17"/>
              </w:rPr>
              <w:t xml:space="preserve"> </w:t>
            </w:r>
            <w:r>
              <w:rPr>
                <w:sz w:val="17"/>
                <w:rtl/>
                <w:rFonts w:cs="Arial"/>
                <w:szCs w:val="17"/>
              </w:rPr>
              <w:t>‫«الإجمالي»‬</w:t>
            </w:r>
            <w:r>
              <w:rPr>
                <w:sz w:val="17"/>
              </w:rPr>
              <w:t>); exclusions appendix columns = no contract, enforced-against (Sanad), enforced-against (Eefaa), incomplete, outside Eefaa, written-off records, open objections.</w:t>
            </w:r>
          </w:p>
        </w:tc>
        <w:tc>
          <w:tcPr>
            <w:tcW w:type="dxa" w:w="6894"/>
            <w:shd w:val="clear" w:color="auto" w:fill="F9FAFB"/>
          </w:tcPr>
          <w:p>
            <w:pPr>
              <w:spacing w:after="0" w:line="252" w:lineRule="auto"/>
            </w:pPr>
            <w:r>
              <w:rPr>
                <w:sz w:val="17"/>
              </w:rPr>
              <w:t>matches the platform's exclusion reasons (no change).</w:t>
            </w:r>
          </w:p>
        </w:tc>
      </w:tr>
    </w:tbl>
    <w:p>
      <w:pPr>
        <w:spacing w:after="40"/>
      </w:pPr>
    </w:p>
    <w:p>
      <w:pPr>
        <w:pStyle w:val="Heading3"/>
      </w:pPr>
      <w:r>
        <w:t>26.3 Plan modification — restoration status (read-only check)</w:t>
      </w:r>
    </w:p>
    <w:p>
      <w:r>
        <w:rPr>
          <w:b/>
        </w:rPr>
        <w:t>Not restored.</w:t>
      </w:r>
      <w:r>
        <w:t xml:space="preserve"> Verified now by reading the stored record and comparing it with the backup taken at the start of the audit (</w:t>
      </w:r>
      <w:r>
        <w:rPr>
          <w:rFonts w:ascii="Consolas" w:hAnsi="Consolas" w:cs="Consolas"/>
          <w:color w:val="B42318"/>
          <w:sz w:val="19"/>
        </w:rPr>
        <w:t>sessionStorage.__audit_bak</w:t>
      </w:r>
      <w:r>
        <w:t>, preview tab):</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3690"/>
        <w:gridCol w:w="11334"/>
      </w:tblGrid>
      <w:tr>
        <w:trPr>
          <w:tblHeader w:val="true"/>
          <w:cantSplit/>
        </w:trPr>
        <w:tc>
          <w:tcPr>
            <w:tcW w:type="dxa" w:w="3690"/>
            <w:shd w:val="clear" w:color="auto" w:fill="1B8354"/>
          </w:tcPr>
          <w:p>
            <w:pPr>
              <w:spacing w:after="0" w:line="252" w:lineRule="auto"/>
            </w:pPr>
            <w:r>
              <w:rPr>
                <w:b/>
                <w:color w:val="FFFFFF"/>
                <w:sz w:val="17"/>
              </w:rPr>
              <w:t>Item</w:t>
            </w:r>
          </w:p>
        </w:tc>
        <w:tc>
          <w:tcPr>
            <w:tcW w:type="dxa" w:w="11334"/>
            <w:shd w:val="clear" w:color="auto" w:fill="1B8354"/>
          </w:tcPr>
          <w:p>
            <w:pPr>
              <w:spacing w:after="0" w:line="252" w:lineRule="auto"/>
            </w:pPr>
            <w:r>
              <w:rPr>
                <w:b/>
                <w:color w:val="FFFFFF"/>
                <w:sz w:val="17"/>
              </w:rPr>
              <w:t>Value</w:t>
            </w:r>
          </w:p>
        </w:tc>
      </w:tr>
      <w:tr>
        <w:trPr>
          <w:cantSplit/>
        </w:trPr>
        <w:tc>
          <w:tcPr>
            <w:tcW w:type="dxa" w:w="3690"/>
          </w:tcPr>
          <w:p>
            <w:pPr>
              <w:spacing w:after="0" w:line="252" w:lineRule="auto"/>
            </w:pPr>
            <w:r>
              <w:rPr>
                <w:sz w:val="17"/>
              </w:rPr>
              <w:t>Store / key</w:t>
            </w:r>
          </w:p>
        </w:tc>
        <w:tc>
          <w:tcPr>
            <w:tcW w:type="dxa" w:w="11334"/>
          </w:tcPr>
          <w:p>
            <w:pPr>
              <w:spacing w:after="0" w:line="252" w:lineRule="auto"/>
            </w:pPr>
            <w:r>
              <w:rPr>
                <w:sz w:val="17"/>
              </w:rPr>
              <w:t xml:space="preserve">browser </w:t>
            </w:r>
            <w:r>
              <w:rPr>
                <w:rFonts w:ascii="Consolas" w:hAnsi="Consolas" w:cs="Consolas"/>
                <w:color w:val="B42318"/>
                <w:sz w:val="16"/>
              </w:rPr>
              <w:t>localStorage</w:t>
            </w:r>
            <w:r>
              <w:rPr>
                <w:sz w:val="17"/>
              </w:rPr>
              <w:t xml:space="preserve"> of the preview tab, key </w:t>
            </w:r>
            <w:r>
              <w:rPr>
                <w:rFonts w:ascii="Consolas" w:hAnsi="Consolas" w:cs="Consolas"/>
                <w:color w:val="B42318"/>
                <w:sz w:val="16"/>
              </w:rPr>
              <w:t>ib_plans_v1</w:t>
            </w:r>
          </w:p>
        </w:tc>
      </w:tr>
      <w:tr>
        <w:trPr>
          <w:cantSplit/>
        </w:trPr>
        <w:tc>
          <w:tcPr>
            <w:tcW w:type="dxa" w:w="3690"/>
            <w:shd w:val="clear" w:color="auto" w:fill="F9FAFB"/>
          </w:tcPr>
          <w:p>
            <w:pPr>
              <w:spacing w:after="0" w:line="252" w:lineRule="auto"/>
            </w:pPr>
            <w:r>
              <w:rPr>
                <w:sz w:val="17"/>
              </w:rPr>
              <w:t>Record</w:t>
            </w:r>
          </w:p>
        </w:tc>
        <w:tc>
          <w:tcPr>
            <w:tcW w:type="dxa" w:w="11334"/>
            <w:shd w:val="clear" w:color="auto" w:fill="F9FAFB"/>
          </w:tcPr>
          <w:p>
            <w:pPr>
              <w:spacing w:after="0" w:line="252" w:lineRule="auto"/>
            </w:pPr>
            <w:r>
              <w:rPr>
                <w:sz w:val="17"/>
              </w:rPr>
              <w:t xml:space="preserve">plan </w:t>
            </w:r>
            <w:r>
              <w:rPr>
                <w:b/>
                <w:sz w:val="17"/>
              </w:rPr>
              <w:t>`PLAN-MV0YG5BNEW`</w:t>
            </w:r>
            <w:r>
              <w:rPr>
                <w:sz w:val="17"/>
              </w:rPr>
              <w:t xml:space="preserve"> — </w:t>
            </w:r>
            <w:r>
              <w:rPr>
                <w:sz w:val="17"/>
                <w:rtl/>
                <w:rFonts w:cs="Arial"/>
                <w:szCs w:val="17"/>
              </w:rPr>
              <w:t>‫«خطة السنة المالية 2026 (مسودة)»‬</w:t>
            </w:r>
          </w:p>
        </w:tc>
      </w:tr>
      <w:tr>
        <w:trPr>
          <w:cantSplit/>
        </w:trPr>
        <w:tc>
          <w:tcPr>
            <w:tcW w:type="dxa" w:w="3690"/>
          </w:tcPr>
          <w:p>
            <w:pPr>
              <w:spacing w:after="0" w:line="252" w:lineRule="auto"/>
            </w:pPr>
            <w:r>
              <w:rPr>
                <w:sz w:val="17"/>
              </w:rPr>
              <w:t>Field changed</w:t>
            </w:r>
          </w:p>
        </w:tc>
        <w:tc>
          <w:tcPr>
            <w:tcW w:type="dxa" w:w="11334"/>
          </w:tcPr>
          <w:p>
            <w:pPr>
              <w:spacing w:after="0" w:line="252" w:lineRule="auto"/>
            </w:pPr>
            <w:r>
              <w:rPr>
                <w:rFonts w:ascii="Consolas" w:hAnsi="Consolas" w:cs="Consolas"/>
                <w:color w:val="B42318"/>
                <w:sz w:val="16"/>
              </w:rPr>
              <w:t>scenario.dRate</w:t>
            </w:r>
            <w:r>
              <w:rPr>
                <w:sz w:val="17"/>
              </w:rPr>
              <w:t xml:space="preserve"> (collection-rate lever, percentage points)</w:t>
            </w:r>
          </w:p>
        </w:tc>
      </w:tr>
      <w:tr>
        <w:trPr>
          <w:cantSplit/>
        </w:trPr>
        <w:tc>
          <w:tcPr>
            <w:tcW w:type="dxa" w:w="3690"/>
            <w:shd w:val="clear" w:color="auto" w:fill="F9FAFB"/>
          </w:tcPr>
          <w:p>
            <w:pPr>
              <w:spacing w:after="0" w:line="252" w:lineRule="auto"/>
            </w:pPr>
            <w:r>
              <w:rPr>
                <w:sz w:val="17"/>
              </w:rPr>
              <w:t>Original → current</w:t>
            </w:r>
          </w:p>
        </w:tc>
        <w:tc>
          <w:tcPr>
            <w:tcW w:type="dxa" w:w="11334"/>
            <w:shd w:val="clear" w:color="auto" w:fill="F9FAFB"/>
          </w:tcPr>
          <w:p>
            <w:pPr>
              <w:spacing w:after="0" w:line="252" w:lineRule="auto"/>
            </w:pPr>
            <w:r>
              <w:rPr>
                <w:b/>
                <w:sz w:val="17"/>
              </w:rPr>
              <w:t>3 → 8</w:t>
            </w:r>
          </w:p>
        </w:tc>
      </w:tr>
      <w:tr>
        <w:trPr>
          <w:cantSplit/>
        </w:trPr>
        <w:tc>
          <w:tcPr>
            <w:tcW w:type="dxa" w:w="3690"/>
          </w:tcPr>
          <w:p>
            <w:pPr>
              <w:spacing w:after="0" w:line="252" w:lineRule="auto"/>
            </w:pPr>
            <w:r>
              <w:rPr>
                <w:sz w:val="17"/>
              </w:rPr>
              <w:t>Everything else in the record</w:t>
            </w:r>
          </w:p>
        </w:tc>
        <w:tc>
          <w:tcPr>
            <w:tcW w:type="dxa" w:w="11334"/>
          </w:tcPr>
          <w:p>
            <w:pPr>
              <w:spacing w:after="0" w:line="252" w:lineRule="auto"/>
            </w:pPr>
            <w:r>
              <w:rPr>
                <w:sz w:val="17"/>
              </w:rPr>
              <w:t xml:space="preserve">identical to the backup (status </w:t>
            </w:r>
            <w:r>
              <w:rPr>
                <w:rFonts w:ascii="Consolas" w:hAnsi="Consolas" w:cs="Consolas"/>
                <w:color w:val="B42318"/>
                <w:sz w:val="16"/>
              </w:rPr>
              <w:t>approved</w:t>
            </w:r>
            <w:r>
              <w:rPr>
                <w:sz w:val="17"/>
              </w:rPr>
              <w:t xml:space="preserve">, version 1, </w:t>
            </w:r>
            <w:r>
              <w:rPr>
                <w:rFonts w:ascii="Consolas" w:hAnsi="Consolas" w:cs="Consolas"/>
                <w:color w:val="B42318"/>
                <w:sz w:val="16"/>
              </w:rPr>
              <w:t>approvedBy</w:t>
            </w:r>
            <w:r>
              <w:rPr>
                <w:sz w:val="17"/>
              </w:rPr>
              <w:t xml:space="preserve"> «李芳军», history 3 entries — </w:t>
            </w:r>
            <w:r>
              <w:rPr>
                <w:b/>
                <w:sz w:val="17"/>
              </w:rPr>
              <w:t>no history entry was written for the change</w:t>
            </w:r>
            <w:r>
              <w:rPr>
                <w:sz w:val="17"/>
              </w:rPr>
              <w:t xml:space="preserve">, the saved version 1 still holds </w:t>
            </w:r>
            <w:r>
              <w:rPr>
                <w:rFonts w:ascii="Consolas" w:hAnsi="Consolas" w:cs="Consolas"/>
                <w:color w:val="B42318"/>
                <w:sz w:val="16"/>
              </w:rPr>
              <w:t>dRate = 3</w:t>
            </w:r>
            <w:r>
              <w:rPr>
                <w:sz w:val="17"/>
              </w:rPr>
              <w:t>)</w:t>
            </w:r>
          </w:p>
        </w:tc>
      </w:tr>
      <w:tr>
        <w:trPr>
          <w:cantSplit/>
        </w:trPr>
        <w:tc>
          <w:tcPr>
            <w:tcW w:type="dxa" w:w="3690"/>
            <w:shd w:val="clear" w:color="auto" w:fill="F9FAFB"/>
          </w:tcPr>
          <w:p>
            <w:pPr>
              <w:spacing w:after="0" w:line="252" w:lineRule="auto"/>
            </w:pPr>
            <w:r>
              <w:rPr>
                <w:rFonts w:ascii="Consolas" w:hAnsi="Consolas" w:cs="Consolas"/>
                <w:color w:val="B42318"/>
                <w:sz w:val="16"/>
              </w:rPr>
              <w:t>ib_actions_v1</w:t>
            </w:r>
          </w:p>
        </w:tc>
        <w:tc>
          <w:tcPr>
            <w:tcW w:type="dxa" w:w="11334"/>
            <w:shd w:val="clear" w:color="auto" w:fill="F9FAFB"/>
          </w:tcPr>
          <w:p>
            <w:pPr>
              <w:spacing w:after="0" w:line="252" w:lineRule="auto"/>
            </w:pPr>
            <w:r>
              <w:rPr>
                <w:sz w:val="17"/>
              </w:rPr>
              <w:t>identical to the backup</w:t>
            </w:r>
          </w:p>
        </w:tc>
      </w:tr>
      <w:tr>
        <w:trPr>
          <w:cantSplit/>
        </w:trPr>
        <w:tc>
          <w:tcPr>
            <w:tcW w:type="dxa" w:w="3690"/>
          </w:tcPr>
          <w:p>
            <w:pPr>
              <w:spacing w:after="0" w:line="252" w:lineRule="auto"/>
            </w:pPr>
            <w:r>
              <w:rPr>
                <w:rFonts w:ascii="Consolas" w:hAnsi="Consolas" w:cs="Consolas"/>
                <w:color w:val="B42318"/>
                <w:sz w:val="16"/>
              </w:rPr>
              <w:t>ib_smart_convs_v1</w:t>
            </w:r>
          </w:p>
        </w:tc>
        <w:tc>
          <w:tcPr>
            <w:tcW w:type="dxa" w:w="11334"/>
          </w:tcPr>
          <w:p>
            <w:pPr>
              <w:spacing w:after="0" w:line="252" w:lineRule="auto"/>
            </w:pPr>
            <w:r>
              <w:rPr>
                <w:sz w:val="17"/>
              </w:rPr>
              <w:t xml:space="preserve">original conversation </w:t>
            </w:r>
            <w:r>
              <w:rPr>
                <w:rFonts w:ascii="Consolas" w:hAnsi="Consolas" w:cs="Consolas"/>
                <w:color w:val="B42318"/>
                <w:sz w:val="16"/>
              </w:rPr>
              <w:t>mv0yf555i7rh</w:t>
            </w:r>
            <w:r>
              <w:rPr>
                <w:sz w:val="17"/>
              </w:rPr>
              <w:t xml:space="preserve"> (</w:t>
            </w:r>
            <w:r>
              <w:rPr>
                <w:sz w:val="17"/>
                <w:rtl/>
                <w:rFonts w:cs="Arial"/>
                <w:szCs w:val="17"/>
              </w:rPr>
              <w:t>‫«قارن»‬</w:t>
            </w:r>
            <w:r>
              <w:rPr>
                <w:sz w:val="17"/>
              </w:rPr>
              <w:t xml:space="preserve">, 12 messages) unchanged; </w:t>
            </w:r>
            <w:r>
              <w:rPr>
                <w:b/>
                <w:sz w:val="17"/>
              </w:rPr>
              <w:t>5 test conversations added</w:t>
            </w:r>
            <w:r>
              <w:rPr>
                <w:sz w:val="17"/>
              </w:rPr>
              <w:t xml:space="preserve"> by me: </w:t>
            </w:r>
            <w:r>
              <w:rPr>
                <w:rFonts w:ascii="Consolas" w:hAnsi="Consolas" w:cs="Consolas"/>
                <w:color w:val="B42318"/>
                <w:sz w:val="16"/>
              </w:rPr>
              <w:t>mv12a30lccy4</w:t>
            </w:r>
            <w:r>
              <w:rPr>
                <w:sz w:val="17"/>
              </w:rPr>
              <w:t xml:space="preserve">, </w:t>
            </w:r>
            <w:r>
              <w:rPr>
                <w:rFonts w:ascii="Consolas" w:hAnsi="Consolas" w:cs="Consolas"/>
                <w:color w:val="B42318"/>
                <w:sz w:val="16"/>
              </w:rPr>
              <w:t>mv12amvb5m2c</w:t>
            </w:r>
            <w:r>
              <w:rPr>
                <w:sz w:val="17"/>
              </w:rPr>
              <w:t xml:space="preserve">, </w:t>
            </w:r>
            <w:r>
              <w:rPr>
                <w:rFonts w:ascii="Consolas" w:hAnsi="Consolas" w:cs="Consolas"/>
                <w:color w:val="B42318"/>
                <w:sz w:val="16"/>
              </w:rPr>
              <w:t>mv12jjvcrk00</w:t>
            </w:r>
            <w:r>
              <w:rPr>
                <w:sz w:val="17"/>
              </w:rPr>
              <w:t xml:space="preserve">, </w:t>
            </w:r>
            <w:r>
              <w:rPr>
                <w:rFonts w:ascii="Consolas" w:hAnsi="Consolas" w:cs="Consolas"/>
                <w:color w:val="B42318"/>
                <w:sz w:val="16"/>
              </w:rPr>
              <w:t>mv12rol4pq0u</w:t>
            </w:r>
            <w:r>
              <w:rPr>
                <w:sz w:val="17"/>
              </w:rPr>
              <w:t xml:space="preserve">, </w:t>
            </w:r>
            <w:r>
              <w:rPr>
                <w:rFonts w:ascii="Consolas" w:hAnsi="Consolas" w:cs="Consolas"/>
                <w:color w:val="B42318"/>
                <w:sz w:val="16"/>
              </w:rPr>
              <w:t>mv12tj8lvjzi</w:t>
            </w:r>
          </w:p>
        </w:tc>
      </w:tr>
      <w:tr>
        <w:trPr>
          <w:cantSplit/>
        </w:trPr>
        <w:tc>
          <w:tcPr>
            <w:tcW w:type="dxa" w:w="3690"/>
            <w:shd w:val="clear" w:color="auto" w:fill="F9FAFB"/>
          </w:tcPr>
          <w:p>
            <w:pPr>
              <w:spacing w:after="0" w:line="252" w:lineRule="auto"/>
            </w:pPr>
            <w:r>
              <w:rPr>
                <w:sz w:val="17"/>
              </w:rPr>
              <w:t>UI state</w:t>
            </w:r>
          </w:p>
        </w:tc>
        <w:tc>
          <w:tcPr>
            <w:tcW w:type="dxa" w:w="11334"/>
            <w:shd w:val="clear" w:color="auto" w:fill="F9FAFB"/>
          </w:tcPr>
          <w:p>
            <w:pPr>
              <w:spacing w:after="0" w:line="252" w:lineRule="auto"/>
            </w:pPr>
            <w:r>
              <w:rPr>
                <w:sz w:val="17"/>
              </w:rPr>
              <w:t>shared filters = year to date / all; language = Arabic</w:t>
            </w:r>
          </w:p>
        </w:tc>
      </w:tr>
    </w:tbl>
    <w:p>
      <w:pPr>
        <w:spacing w:after="40"/>
      </w:pPr>
    </w:p>
    <w:p>
      <w:r>
        <w:t>No data was changed in this review. The correction needs your approval (set the lever back to 3 and, if you wish, delete the five test conversations); the backup values are still in the tab.</w:t>
      </w:r>
    </w:p>
    <w:p>
      <w:pPr>
        <w:pStyle w:val="Heading3"/>
      </w:pPr>
      <w:r>
        <w:t>26.4 New findings from this evidence review</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185"/>
        <w:gridCol w:w="7476"/>
        <w:gridCol w:w="5178"/>
        <w:gridCol w:w="1185"/>
      </w:tblGrid>
      <w:tr>
        <w:trPr>
          <w:tblHeader w:val="true"/>
          <w:cantSplit/>
        </w:trPr>
        <w:tc>
          <w:tcPr>
            <w:tcW w:type="dxa" w:w="1185"/>
            <w:shd w:val="clear" w:color="auto" w:fill="1B8354"/>
          </w:tcPr>
          <w:p>
            <w:pPr>
              <w:spacing w:after="0" w:line="252" w:lineRule="auto"/>
            </w:pPr>
            <w:r>
              <w:rPr>
                <w:b/>
                <w:color w:val="FFFFFF"/>
                <w:sz w:val="17"/>
              </w:rPr>
              <w:t>ID</w:t>
            </w:r>
          </w:p>
        </w:tc>
        <w:tc>
          <w:tcPr>
            <w:tcW w:type="dxa" w:w="7476"/>
            <w:shd w:val="clear" w:color="auto" w:fill="1B8354"/>
          </w:tcPr>
          <w:p>
            <w:pPr>
              <w:spacing w:after="0" w:line="252" w:lineRule="auto"/>
            </w:pPr>
            <w:r>
              <w:rPr>
                <w:b/>
                <w:color w:val="FFFFFF"/>
                <w:sz w:val="17"/>
              </w:rPr>
              <w:t>Finding</w:t>
            </w:r>
          </w:p>
        </w:tc>
        <w:tc>
          <w:tcPr>
            <w:tcW w:type="dxa" w:w="5178"/>
            <w:shd w:val="clear" w:color="auto" w:fill="1B8354"/>
          </w:tcPr>
          <w:p>
            <w:pPr>
              <w:spacing w:after="0" w:line="252" w:lineRule="auto"/>
            </w:pPr>
            <w:r>
              <w:rPr>
                <w:b/>
                <w:color w:val="FFFFFF"/>
                <w:sz w:val="17"/>
              </w:rPr>
              <w:t>Evidence</w:t>
            </w:r>
          </w:p>
        </w:tc>
        <w:tc>
          <w:tcPr>
            <w:tcW w:type="dxa" w:w="1185"/>
            <w:shd w:val="clear" w:color="auto" w:fill="1B8354"/>
          </w:tcPr>
          <w:p>
            <w:pPr>
              <w:spacing w:after="0" w:line="252" w:lineRule="auto"/>
            </w:pPr>
            <w:r>
              <w:rPr>
                <w:b/>
                <w:color w:val="FFFFFF"/>
                <w:sz w:val="17"/>
              </w:rPr>
              <w:t>Sev.</w:t>
            </w:r>
          </w:p>
        </w:tc>
      </w:tr>
      <w:tr>
        <w:trPr>
          <w:cantSplit/>
        </w:trPr>
        <w:tc>
          <w:tcPr>
            <w:tcW w:type="dxa" w:w="1185"/>
          </w:tcPr>
          <w:p>
            <w:pPr>
              <w:spacing w:after="0" w:line="252" w:lineRule="auto"/>
            </w:pPr>
            <w:r>
              <w:rPr>
                <w:b/>
                <w:sz w:val="17"/>
              </w:rPr>
              <w:t>F-32</w:t>
            </w:r>
          </w:p>
        </w:tc>
        <w:tc>
          <w:tcPr>
            <w:tcW w:type="dxa" w:w="7476"/>
          </w:tcPr>
          <w:p>
            <w:pPr>
              <w:spacing w:after="0" w:line="252" w:lineRule="auto"/>
            </w:pPr>
            <w:r>
              <w:rPr>
                <w:b/>
                <w:sz w:val="17"/>
              </w:rPr>
              <w:t>Grace-period policy is missing from the platform.</w:t>
            </w:r>
            <w:r>
              <w:rPr>
                <w:sz w:val="17"/>
              </w:rPr>
              <w:t xml:space="preserve"> Reports apply 15 / 35 days (target comparison) and 60 + 30 days (enforcement referral); the platform uses 0 and says "unresolved". Overdue/aging, "collected vs due" ratios and referral eligibility depend on it.</w:t>
            </w:r>
          </w:p>
        </w:tc>
        <w:tc>
          <w:tcPr>
            <w:tcW w:type="dxa" w:w="5178"/>
          </w:tcPr>
          <w:p>
            <w:pPr>
              <w:spacing w:after="0" w:line="252" w:lineRule="auto"/>
            </w:pPr>
            <w:r>
              <w:rPr>
                <w:sz w:val="17"/>
              </w:rPr>
              <w:t xml:space="preserve">reports (E-1); </w:t>
            </w:r>
            <w:r>
              <w:rPr>
                <w:rFonts w:ascii="Consolas" w:hAnsi="Consolas" w:cs="Consolas"/>
                <w:color w:val="B42318"/>
                <w:sz w:val="16"/>
              </w:rPr>
              <w:t>cfg.graceDays</w:t>
            </w:r>
          </w:p>
        </w:tc>
        <w:tc>
          <w:tcPr>
            <w:tcW w:type="dxa" w:w="1185"/>
          </w:tcPr>
          <w:p>
            <w:pPr>
              <w:spacing w:after="0" w:line="252" w:lineRule="auto"/>
            </w:pPr>
            <w:r>
              <w:rPr>
                <w:sz w:val="17"/>
              </w:rPr>
              <w:t>P1</w:t>
            </w:r>
          </w:p>
        </w:tc>
      </w:tr>
      <w:tr>
        <w:trPr>
          <w:cantSplit/>
        </w:trPr>
        <w:tc>
          <w:tcPr>
            <w:tcW w:type="dxa" w:w="1185"/>
            <w:shd w:val="clear" w:color="auto" w:fill="F9FAFB"/>
          </w:tcPr>
          <w:p>
            <w:pPr>
              <w:spacing w:after="0" w:line="252" w:lineRule="auto"/>
            </w:pPr>
            <w:r>
              <w:rPr>
                <w:b/>
                <w:sz w:val="17"/>
              </w:rPr>
              <w:t>F-33</w:t>
            </w:r>
          </w:p>
        </w:tc>
        <w:tc>
          <w:tcPr>
            <w:tcW w:type="dxa" w:w="7476"/>
            <w:shd w:val="clear" w:color="auto" w:fill="F9FAFB"/>
          </w:tcPr>
          <w:p>
            <w:pPr>
              <w:spacing w:after="0" w:line="252" w:lineRule="auto"/>
            </w:pPr>
            <w:r>
              <w:rPr>
                <w:b/>
                <w:sz w:val="17"/>
              </w:rPr>
              <w:t>"Operating-expenditure coverage" is not the reports' metric</w:t>
            </w:r>
            <w:r>
              <w:rPr>
                <w:sz w:val="17"/>
              </w:rPr>
              <w:t xml:space="preserve"> (collected ÷ prorated appropriation, per Amanah) — the platform's is receipts ÷ cash payments, national only.</w:t>
            </w:r>
          </w:p>
        </w:tc>
        <w:tc>
          <w:tcPr>
            <w:tcW w:type="dxa" w:w="5178"/>
            <w:shd w:val="clear" w:color="auto" w:fill="F9FAFB"/>
          </w:tcPr>
          <w:p>
            <w:pPr>
              <w:spacing w:after="0" w:line="252" w:lineRule="auto"/>
            </w:pPr>
            <w:r>
              <w:rPr>
                <w:sz w:val="17"/>
              </w:rPr>
              <w:t xml:space="preserve">reports (E-3); </w:t>
            </w:r>
            <w:r>
              <w:rPr>
                <w:rFonts w:ascii="Consolas" w:hAnsi="Consolas" w:cs="Consolas"/>
                <w:color w:val="B42318"/>
                <w:sz w:val="16"/>
              </w:rPr>
              <w:t>syntheticFinance.operatingCoverage</w:t>
            </w:r>
          </w:p>
        </w:tc>
        <w:tc>
          <w:tcPr>
            <w:tcW w:type="dxa" w:w="1185"/>
            <w:shd w:val="clear" w:color="auto" w:fill="F9FAFB"/>
          </w:tcPr>
          <w:p>
            <w:pPr>
              <w:spacing w:after="0" w:line="252" w:lineRule="auto"/>
            </w:pPr>
            <w:r>
              <w:rPr>
                <w:sz w:val="17"/>
              </w:rPr>
              <w:t>P1</w:t>
            </w:r>
          </w:p>
        </w:tc>
      </w:tr>
      <w:tr>
        <w:trPr>
          <w:cantSplit/>
        </w:trPr>
        <w:tc>
          <w:tcPr>
            <w:tcW w:type="dxa" w:w="1185"/>
          </w:tcPr>
          <w:p>
            <w:pPr>
              <w:spacing w:after="0" w:line="252" w:lineRule="auto"/>
            </w:pPr>
            <w:r>
              <w:rPr>
                <w:b/>
                <w:sz w:val="17"/>
              </w:rPr>
              <w:t>F-34</w:t>
            </w:r>
          </w:p>
        </w:tc>
        <w:tc>
          <w:tcPr>
            <w:tcW w:type="dxa" w:w="7476"/>
          </w:tcPr>
          <w:p>
            <w:pPr>
              <w:spacing w:after="0" w:line="252" w:lineRule="auto"/>
            </w:pPr>
            <w:r>
              <w:rPr>
                <w:b/>
                <w:sz w:val="17"/>
              </w:rPr>
              <w:t>Target wording is inaccurate.</w:t>
            </w:r>
            <w:r>
              <w:rPr>
                <w:sz w:val="17"/>
              </w:rPr>
              <w:t xml:space="preserve"> UI and exports say targets are demo-only/not in the data; the reports display a collection target per Amanah and annual targets. Approval status unknown.</w:t>
            </w:r>
          </w:p>
        </w:tc>
        <w:tc>
          <w:tcPr>
            <w:tcW w:type="dxa" w:w="5178"/>
          </w:tcPr>
          <w:p>
            <w:pPr>
              <w:spacing w:after="0" w:line="252" w:lineRule="auto"/>
            </w:pPr>
            <w:r>
              <w:rPr>
                <w:sz w:val="17"/>
              </w:rPr>
              <w:t xml:space="preserve">reports (E-2); </w:t>
            </w:r>
            <w:r>
              <w:rPr>
                <w:rFonts w:ascii="Consolas" w:hAnsi="Consolas" w:cs="Consolas"/>
                <w:color w:val="B42318"/>
                <w:sz w:val="16"/>
              </w:rPr>
              <w:t>ObjectivesPanel</w:t>
            </w:r>
            <w:r>
              <w:rPr>
                <w:sz w:val="17"/>
              </w:rPr>
              <w:t xml:space="preserve">, </w:t>
            </w:r>
            <w:r>
              <w:rPr>
                <w:rFonts w:ascii="Consolas" w:hAnsi="Consolas" w:cs="Consolas"/>
                <w:color w:val="B42318"/>
                <w:sz w:val="16"/>
              </w:rPr>
              <w:t>PlanOutlook</w:t>
            </w:r>
            <w:r>
              <w:rPr>
                <w:sz w:val="17"/>
              </w:rPr>
              <w:t xml:space="preserve"> texts</w:t>
            </w:r>
          </w:p>
        </w:tc>
        <w:tc>
          <w:tcPr>
            <w:tcW w:type="dxa" w:w="1185"/>
          </w:tcPr>
          <w:p>
            <w:pPr>
              <w:spacing w:after="0" w:line="252" w:lineRule="auto"/>
            </w:pPr>
            <w:r>
              <w:rPr>
                <w:sz w:val="17"/>
              </w:rPr>
              <w:t>P2</w:t>
            </w:r>
          </w:p>
        </w:tc>
      </w:tr>
      <w:tr>
        <w:trPr>
          <w:cantSplit/>
        </w:trPr>
        <w:tc>
          <w:tcPr>
            <w:tcW w:type="dxa" w:w="1185"/>
            <w:shd w:val="clear" w:color="auto" w:fill="F9FAFB"/>
          </w:tcPr>
          <w:p>
            <w:pPr>
              <w:spacing w:after="0" w:line="252" w:lineRule="auto"/>
            </w:pPr>
            <w:r>
              <w:rPr>
                <w:b/>
                <w:sz w:val="17"/>
              </w:rPr>
              <w:t>F-35</w:t>
            </w:r>
          </w:p>
        </w:tc>
        <w:tc>
          <w:tcPr>
            <w:tcW w:type="dxa" w:w="7476"/>
            <w:shd w:val="clear" w:color="auto" w:fill="F9FAFB"/>
          </w:tcPr>
          <w:p>
            <w:pPr>
              <w:spacing w:after="0" w:line="252" w:lineRule="auto"/>
            </w:pPr>
            <w:r>
              <w:rPr>
                <w:b/>
                <w:sz w:val="17"/>
              </w:rPr>
              <w:t>Report parity gap:</w:t>
            </w:r>
            <w:r>
              <w:rPr>
                <w:sz w:val="17"/>
              </w:rPr>
              <w:t xml:space="preserve"> enforcement-referral, income-participation and e-invoice sections of the July report have no counterpart; the platform's fixed reports were mapped from Jan–Mar only.</w:t>
            </w:r>
          </w:p>
        </w:tc>
        <w:tc>
          <w:tcPr>
            <w:tcW w:type="dxa" w:w="5178"/>
            <w:shd w:val="clear" w:color="auto" w:fill="F9FAFB"/>
          </w:tcPr>
          <w:p>
            <w:pPr>
              <w:spacing w:after="0" w:line="252" w:lineRule="auto"/>
            </w:pPr>
            <w:r>
              <w:rPr>
                <w:sz w:val="17"/>
              </w:rPr>
              <w:t xml:space="preserve">reports (E-4); </w:t>
            </w:r>
            <w:r>
              <w:rPr>
                <w:rFonts w:ascii="Consolas" w:hAnsi="Consolas" w:cs="Consolas"/>
                <w:color w:val="B42318"/>
                <w:sz w:val="16"/>
              </w:rPr>
              <w:t>docs/monthly-reports-mapping-ar.md</w:t>
            </w:r>
          </w:p>
        </w:tc>
        <w:tc>
          <w:tcPr>
            <w:tcW w:type="dxa" w:w="1185"/>
            <w:shd w:val="clear" w:color="auto" w:fill="F9FAFB"/>
          </w:tcPr>
          <w:p>
            <w:pPr>
              <w:spacing w:after="0" w:line="252" w:lineRule="auto"/>
            </w:pPr>
            <w:r>
              <w:rPr>
                <w:sz w:val="17"/>
              </w:rPr>
              <w:t>P2</w:t>
            </w:r>
          </w:p>
        </w:tc>
      </w:tr>
    </w:tbl>
    <w:p>
      <w:pPr>
        <w:spacing w:after="40"/>
      </w:pPr>
    </w:p>
    <w:p>
      <w:pPr>
        <w:pStyle w:val="Heading2"/>
      </w:pPr>
      <w:r>
        <w:t>27. Consolidated backlog (by root cause)</w:t>
      </w:r>
    </w:p>
    <w:p>
      <w:r>
        <w:t xml:space="preserve">Every finding is grouped under the root cause that explains it, so each epic is </w:t>
      </w:r>
      <w:r>
        <w:rPr>
          <w:b/>
        </w:rPr>
        <w:t>one change set</w:t>
      </w:r>
      <w:r>
        <w:t xml:space="preserve">, not a list of symptoms. Type: </w:t>
      </w:r>
      <w:r>
        <w:rPr>
          <w:b/>
        </w:rPr>
        <w:t>A</w:t>
      </w:r>
      <w:r>
        <w:t xml:space="preserve"> = verified defect, can be corrected without a business decision · </w:t>
      </w:r>
      <w:r>
        <w:rPr>
          <w:b/>
        </w:rPr>
        <w:t>B</w:t>
      </w:r>
      <w:r>
        <w:t xml:space="preserve"> = needs a financial-definition or approval-policy decision · </w:t>
      </w:r>
      <w:r>
        <w:rPr>
          <w:b/>
        </w:rPr>
        <w:t>C</w:t>
      </w:r>
      <w:r>
        <w:t xml:space="preserve"> = depends on official logo assets or exact design specifications. "Phase" refers to §31.</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407"/>
        <w:gridCol w:w="3505"/>
        <w:gridCol w:w="3505"/>
        <w:gridCol w:w="3218"/>
        <w:gridCol w:w="1194"/>
        <w:gridCol w:w="1194"/>
      </w:tblGrid>
      <w:tr>
        <w:trPr>
          <w:tblHeader w:val="true"/>
          <w:cantSplit/>
        </w:trPr>
        <w:tc>
          <w:tcPr>
            <w:tcW w:type="dxa" w:w="2407"/>
            <w:shd w:val="clear" w:color="auto" w:fill="1B8354"/>
          </w:tcPr>
          <w:p>
            <w:pPr>
              <w:spacing w:after="0" w:line="252" w:lineRule="auto"/>
            </w:pPr>
            <w:r>
              <w:rPr>
                <w:b/>
                <w:color w:val="FFFFFF"/>
                <w:sz w:val="16"/>
              </w:rPr>
              <w:t>Epic</w:t>
            </w:r>
          </w:p>
        </w:tc>
        <w:tc>
          <w:tcPr>
            <w:tcW w:type="dxa" w:w="3505"/>
            <w:shd w:val="clear" w:color="auto" w:fill="1B8354"/>
          </w:tcPr>
          <w:p>
            <w:pPr>
              <w:spacing w:after="0" w:line="252" w:lineRule="auto"/>
            </w:pPr>
            <w:r>
              <w:rPr>
                <w:b/>
                <w:color w:val="FFFFFF"/>
                <w:sz w:val="16"/>
              </w:rPr>
              <w:t>Root cause</w:t>
            </w:r>
          </w:p>
        </w:tc>
        <w:tc>
          <w:tcPr>
            <w:tcW w:type="dxa" w:w="3505"/>
            <w:shd w:val="clear" w:color="auto" w:fill="1B8354"/>
          </w:tcPr>
          <w:p>
            <w:pPr>
              <w:spacing w:after="0" w:line="252" w:lineRule="auto"/>
            </w:pPr>
            <w:r>
              <w:rPr>
                <w:b/>
                <w:color w:val="FFFFFF"/>
                <w:sz w:val="16"/>
              </w:rPr>
              <w:t>Findings it closes</w:t>
            </w:r>
          </w:p>
        </w:tc>
        <w:tc>
          <w:tcPr>
            <w:tcW w:type="dxa" w:w="3218"/>
            <w:shd w:val="clear" w:color="auto" w:fill="1B8354"/>
          </w:tcPr>
          <w:p>
            <w:pPr>
              <w:spacing w:after="0" w:line="252" w:lineRule="auto"/>
            </w:pPr>
            <w:r>
              <w:rPr>
                <w:b/>
                <w:color w:val="FFFFFF"/>
                <w:sz w:val="16"/>
              </w:rPr>
              <w:t>Type</w:t>
            </w:r>
          </w:p>
        </w:tc>
        <w:tc>
          <w:tcPr>
            <w:tcW w:type="dxa" w:w="1194"/>
            <w:shd w:val="clear" w:color="auto" w:fill="1B8354"/>
          </w:tcPr>
          <w:p>
            <w:pPr>
              <w:spacing w:after="0" w:line="252" w:lineRule="auto"/>
            </w:pPr>
            <w:r>
              <w:rPr>
                <w:b/>
                <w:color w:val="FFFFFF"/>
                <w:sz w:val="16"/>
              </w:rPr>
              <w:t>Pri.</w:t>
            </w:r>
          </w:p>
        </w:tc>
        <w:tc>
          <w:tcPr>
            <w:tcW w:type="dxa" w:w="1194"/>
            <w:shd w:val="clear" w:color="auto" w:fill="1B8354"/>
          </w:tcPr>
          <w:p>
            <w:pPr>
              <w:spacing w:after="0" w:line="252" w:lineRule="auto"/>
            </w:pPr>
            <w:r>
              <w:rPr>
                <w:b/>
                <w:color w:val="FFFFFF"/>
                <w:sz w:val="16"/>
              </w:rPr>
              <w:t>Phase</w:t>
            </w:r>
          </w:p>
        </w:tc>
      </w:tr>
      <w:tr>
        <w:trPr>
          <w:cantSplit/>
        </w:trPr>
        <w:tc>
          <w:tcPr>
            <w:tcW w:type="dxa" w:w="2407"/>
          </w:tcPr>
          <w:p>
            <w:pPr>
              <w:spacing w:after="0" w:line="252" w:lineRule="auto"/>
            </w:pPr>
            <w:r>
              <w:rPr>
                <w:b/>
                <w:sz w:val="16"/>
              </w:rPr>
              <w:t>B-01 Shared measurement and period module</w:t>
            </w:r>
          </w:p>
        </w:tc>
        <w:tc>
          <w:tcPr>
            <w:tcW w:type="dxa" w:w="3505"/>
          </w:tcPr>
          <w:p>
            <w:pPr>
              <w:spacing w:after="0" w:line="252" w:lineRule="auto"/>
            </w:pPr>
            <w:r>
              <w:rPr>
                <w:sz w:val="16"/>
              </w:rPr>
              <w:t>the measurement date, period, comparison and scope are decided separately in each view; no loading/stale or configuration state is shared</w:t>
            </w:r>
          </w:p>
        </w:tc>
        <w:tc>
          <w:tcPr>
            <w:tcW w:type="dxa" w:w="3505"/>
          </w:tcPr>
          <w:p>
            <w:pPr>
              <w:spacing w:after="0" w:line="252" w:lineRule="auto"/>
            </w:pPr>
            <w:r>
              <w:rPr>
                <w:sz w:val="16"/>
              </w:rPr>
              <w:t>F-01, F-12, F-13, F-20, F-23, F-25, D-03, D-04, D-05, D-06, D-08, D-14, C-02 (naming of the two "uncollected"), H- (basis line), F-32 (grace as parameter)</w:t>
            </w:r>
          </w:p>
        </w:tc>
        <w:tc>
          <w:tcPr>
            <w:tcW w:type="dxa" w:w="3218"/>
          </w:tcPr>
          <w:p>
            <w:pPr>
              <w:spacing w:after="0" w:line="252" w:lineRule="auto"/>
            </w:pPr>
            <w:r>
              <w:rPr>
                <w:b/>
                <w:sz w:val="16"/>
              </w:rPr>
              <w:t>A</w:t>
            </w:r>
            <w:r>
              <w:rPr>
                <w:sz w:val="16"/>
              </w:rPr>
              <w:t xml:space="preserve"> (module, labels, states) + </w:t>
            </w:r>
            <w:r>
              <w:rPr>
                <w:b/>
                <w:sz w:val="16"/>
              </w:rPr>
              <w:t>B</w:t>
            </w:r>
            <w:r>
              <w:rPr>
                <w:sz w:val="16"/>
              </w:rPr>
              <w:t xml:space="preserve"> (default basis EQ1, grace values EQ2)</w:t>
            </w:r>
          </w:p>
        </w:tc>
        <w:tc>
          <w:tcPr>
            <w:tcW w:type="dxa" w:w="1194"/>
          </w:tcPr>
          <w:p>
            <w:pPr>
              <w:spacing w:after="0" w:line="252" w:lineRule="auto"/>
            </w:pPr>
            <w:r>
              <w:rPr>
                <w:sz w:val="16"/>
              </w:rPr>
              <w:t>P0</w:t>
            </w:r>
          </w:p>
        </w:tc>
        <w:tc>
          <w:tcPr>
            <w:tcW w:type="dxa" w:w="1194"/>
          </w:tcPr>
          <w:p>
            <w:pPr>
              <w:spacing w:after="0" w:line="252" w:lineRule="auto"/>
            </w:pPr>
            <w:r>
              <w:rPr>
                <w:sz w:val="16"/>
              </w:rPr>
              <w:t>0–1</w:t>
            </w:r>
          </w:p>
        </w:tc>
      </w:tr>
      <w:tr>
        <w:trPr>
          <w:cantSplit/>
        </w:trPr>
        <w:tc>
          <w:tcPr>
            <w:tcW w:type="dxa" w:w="2407"/>
            <w:shd w:val="clear" w:color="auto" w:fill="F9FAFB"/>
          </w:tcPr>
          <w:p>
            <w:pPr>
              <w:spacing w:after="0" w:line="252" w:lineRule="auto"/>
            </w:pPr>
            <w:r>
              <w:rPr>
                <w:b/>
                <w:sz w:val="16"/>
              </w:rPr>
              <w:t>B-02 Date control and validation</w:t>
            </w:r>
          </w:p>
        </w:tc>
        <w:tc>
          <w:tcPr>
            <w:tcW w:type="dxa" w:w="3505"/>
            <w:shd w:val="clear" w:color="auto" w:fill="F9FAFB"/>
          </w:tcPr>
          <w:p>
            <w:pPr>
              <w:spacing w:after="0" w:line="252" w:lineRule="auto"/>
            </w:pPr>
            <w:r>
              <w:rPr>
                <w:sz w:val="16"/>
              </w:rPr>
              <w:t>no validated date control; UTC used for display</w:t>
            </w:r>
          </w:p>
        </w:tc>
        <w:tc>
          <w:tcPr>
            <w:tcW w:type="dxa" w:w="3505"/>
            <w:shd w:val="clear" w:color="auto" w:fill="F9FAFB"/>
          </w:tcPr>
          <w:p>
            <w:pPr>
              <w:spacing w:after="0" w:line="252" w:lineRule="auto"/>
            </w:pPr>
            <w:r>
              <w:rPr>
                <w:sz w:val="16"/>
              </w:rPr>
              <w:t>D-01, D-02, D-07, D-09, D-10, D-11, D-12, D-15, G-12, G-15</w:t>
            </w:r>
          </w:p>
        </w:tc>
        <w:tc>
          <w:tcPr>
            <w:tcW w:type="dxa" w:w="3218"/>
            <w:shd w:val="clear" w:color="auto" w:fill="F9FAFB"/>
          </w:tcPr>
          <w:p>
            <w:pPr>
              <w:spacing w:after="0" w:line="252" w:lineRule="auto"/>
            </w:pPr>
            <w:r>
              <w:rPr>
                <w:b/>
                <w:sz w:val="16"/>
              </w:rPr>
              <w:t>A</w:t>
            </w:r>
            <w:r>
              <w:rPr>
                <w:sz w:val="16"/>
              </w:rPr>
              <w:t xml:space="preserve">; </w:t>
            </w:r>
            <w:r>
              <w:rPr>
                <w:b/>
                <w:sz w:val="16"/>
              </w:rPr>
              <w:t>C</w:t>
            </w:r>
            <w:r>
              <w:rPr>
                <w:sz w:val="16"/>
              </w:rPr>
              <w:t xml:space="preserve"> for the visual form of the DGA date picker/filter</w:t>
            </w:r>
          </w:p>
        </w:tc>
        <w:tc>
          <w:tcPr>
            <w:tcW w:type="dxa" w:w="1194"/>
            <w:shd w:val="clear" w:color="auto" w:fill="F9FAFB"/>
          </w:tcPr>
          <w:p>
            <w:pPr>
              <w:spacing w:after="0" w:line="252" w:lineRule="auto"/>
            </w:pPr>
            <w:r>
              <w:rPr>
                <w:sz w:val="16"/>
              </w:rPr>
              <w:t>P0</w:t>
            </w:r>
          </w:p>
        </w:tc>
        <w:tc>
          <w:tcPr>
            <w:tcW w:type="dxa" w:w="1194"/>
            <w:shd w:val="clear" w:color="auto" w:fill="F9FAFB"/>
          </w:tcPr>
          <w:p>
            <w:pPr>
              <w:spacing w:after="0" w:line="252" w:lineRule="auto"/>
            </w:pPr>
            <w:r>
              <w:rPr>
                <w:sz w:val="16"/>
              </w:rPr>
              <w:t>0–1</w:t>
            </w:r>
          </w:p>
        </w:tc>
      </w:tr>
      <w:tr>
        <w:trPr>
          <w:cantSplit/>
        </w:trPr>
        <w:tc>
          <w:tcPr>
            <w:tcW w:type="dxa" w:w="2407"/>
          </w:tcPr>
          <w:p>
            <w:pPr>
              <w:spacing w:after="0" w:line="252" w:lineRule="auto"/>
            </w:pPr>
            <w:r>
              <w:rPr>
                <w:b/>
                <w:sz w:val="16"/>
              </w:rPr>
              <w:t>B-03 Report-model contracts and export parity</w:t>
            </w:r>
          </w:p>
        </w:tc>
        <w:tc>
          <w:tcPr>
            <w:tcW w:type="dxa" w:w="3505"/>
          </w:tcPr>
          <w:p>
            <w:pPr>
              <w:spacing w:after="0" w:line="252" w:lineRule="auto"/>
            </w:pPr>
            <w:r>
              <w:rPr>
                <w:sz w:val="16"/>
              </w:rPr>
              <w:t>each block is fed ad-hoc shapes and placeholders; exports written separately from the screen</w:t>
            </w:r>
          </w:p>
        </w:tc>
        <w:tc>
          <w:tcPr>
            <w:tcW w:type="dxa" w:w="3505"/>
          </w:tcPr>
          <w:p>
            <w:pPr>
              <w:spacing w:after="0" w:line="252" w:lineRule="auto"/>
            </w:pPr>
            <w:r>
              <w:rPr>
                <w:sz w:val="16"/>
              </w:rPr>
              <w:t>F-02, F-03, F-09, F-10, F-11, F-21 (repeated KPI strip), F-22, C-01 (a–d, g), F-34 (wording)</w:t>
            </w:r>
          </w:p>
        </w:tc>
        <w:tc>
          <w:tcPr>
            <w:tcW w:type="dxa" w:w="3218"/>
          </w:tcPr>
          <w:p>
            <w:pPr>
              <w:spacing w:after="0" w:line="252" w:lineRule="auto"/>
            </w:pPr>
            <w:r>
              <w:rPr>
                <w:b/>
                <w:sz w:val="16"/>
              </w:rPr>
              <w:t>A</w:t>
            </w:r>
          </w:p>
        </w:tc>
        <w:tc>
          <w:tcPr>
            <w:tcW w:type="dxa" w:w="1194"/>
          </w:tcPr>
          <w:p>
            <w:pPr>
              <w:spacing w:after="0" w:line="252" w:lineRule="auto"/>
            </w:pPr>
            <w:r>
              <w:rPr>
                <w:sz w:val="16"/>
              </w:rPr>
              <w:t>P0</w:t>
            </w:r>
          </w:p>
        </w:tc>
        <w:tc>
          <w:tcPr>
            <w:tcW w:type="dxa" w:w="1194"/>
          </w:tcPr>
          <w:p>
            <w:pPr>
              <w:spacing w:after="0" w:line="252" w:lineRule="auto"/>
            </w:pPr>
            <w:r>
              <w:rPr>
                <w:sz w:val="16"/>
              </w:rPr>
              <w:t>0</w:t>
            </w:r>
          </w:p>
        </w:tc>
      </w:tr>
      <w:tr>
        <w:trPr>
          <w:cantSplit/>
        </w:trPr>
        <w:tc>
          <w:tcPr>
            <w:tcW w:type="dxa" w:w="2407"/>
            <w:shd w:val="clear" w:color="auto" w:fill="F9FAFB"/>
          </w:tcPr>
          <w:p>
            <w:pPr>
              <w:spacing w:after="0" w:line="252" w:lineRule="auto"/>
            </w:pPr>
            <w:r>
              <w:rPr>
                <w:b/>
                <w:sz w:val="16"/>
              </w:rPr>
              <w:t>B-04 Plan binding, versions and scenarios</w:t>
            </w:r>
          </w:p>
        </w:tc>
        <w:tc>
          <w:tcPr>
            <w:tcW w:type="dxa" w:w="3505"/>
            <w:shd w:val="clear" w:color="auto" w:fill="F9FAFB"/>
          </w:tcPr>
          <w:p>
            <w:pPr>
              <w:spacing w:after="0" w:line="252" w:lineRule="auto"/>
            </w:pPr>
            <w:r>
              <w:rPr>
                <w:sz w:val="16"/>
              </w:rPr>
              <w:t>planning reads the dashboard filter, not the saved plan; versions store only a summary</w:t>
            </w:r>
          </w:p>
        </w:tc>
        <w:tc>
          <w:tcPr>
            <w:tcW w:type="dxa" w:w="3505"/>
            <w:shd w:val="clear" w:color="auto" w:fill="F9FAFB"/>
          </w:tcPr>
          <w:p>
            <w:pPr>
              <w:spacing w:after="0" w:line="252" w:lineRule="auto"/>
            </w:pPr>
            <w:r>
              <w:rPr>
                <w:sz w:val="16"/>
              </w:rPr>
              <w:t>F-04, F-14, F-19 (plan part), F-24, F-26, D-13, F-33 (coverage in planning)</w:t>
            </w:r>
          </w:p>
        </w:tc>
        <w:tc>
          <w:tcPr>
            <w:tcW w:type="dxa" w:w="3218"/>
            <w:shd w:val="clear" w:color="auto" w:fill="F9FAFB"/>
          </w:tcPr>
          <w:p>
            <w:pPr>
              <w:spacing w:after="0" w:line="252" w:lineRule="auto"/>
            </w:pPr>
            <w:r>
              <w:rPr>
                <w:b/>
                <w:sz w:val="16"/>
              </w:rPr>
              <w:t>A</w:t>
            </w:r>
            <w:r>
              <w:rPr>
                <w:sz w:val="16"/>
              </w:rPr>
              <w:t xml:space="preserve"> (binding, banner, version content) + </w:t>
            </w:r>
            <w:r>
              <w:rPr>
                <w:b/>
                <w:sz w:val="16"/>
              </w:rPr>
              <w:t>B</w:t>
            </w:r>
            <w:r>
              <w:rPr>
                <w:sz w:val="16"/>
              </w:rPr>
              <w:t xml:space="preserve"> (EQ4, EQ5, EQ6)</w:t>
            </w:r>
          </w:p>
        </w:tc>
        <w:tc>
          <w:tcPr>
            <w:tcW w:type="dxa" w:w="1194"/>
            <w:shd w:val="clear" w:color="auto" w:fill="F9FAFB"/>
          </w:tcPr>
          <w:p>
            <w:pPr>
              <w:spacing w:after="0" w:line="252" w:lineRule="auto"/>
            </w:pPr>
            <w:r>
              <w:rPr>
                <w:sz w:val="16"/>
              </w:rPr>
              <w:t>P0</w:t>
            </w:r>
          </w:p>
        </w:tc>
        <w:tc>
          <w:tcPr>
            <w:tcW w:type="dxa" w:w="1194"/>
            <w:shd w:val="clear" w:color="auto" w:fill="F9FAFB"/>
          </w:tcPr>
          <w:p>
            <w:pPr>
              <w:spacing w:after="0" w:line="252" w:lineRule="auto"/>
            </w:pPr>
            <w:r>
              <w:rPr>
                <w:sz w:val="16"/>
              </w:rPr>
              <w:t>1–2</w:t>
            </w:r>
          </w:p>
        </w:tc>
      </w:tr>
      <w:tr>
        <w:trPr>
          <w:cantSplit/>
        </w:trPr>
        <w:tc>
          <w:tcPr>
            <w:tcW w:type="dxa" w:w="2407"/>
          </w:tcPr>
          <w:p>
            <w:pPr>
              <w:spacing w:after="0" w:line="252" w:lineRule="auto"/>
            </w:pPr>
            <w:r>
              <w:rPr>
                <w:b/>
                <w:sz w:val="16"/>
              </w:rPr>
              <w:t>B-05 Proposal → approval → revision workflow</w:t>
            </w:r>
          </w:p>
        </w:tc>
        <w:tc>
          <w:tcPr>
            <w:tcW w:type="dxa" w:w="3505"/>
          </w:tcPr>
          <w:p>
            <w:pPr>
              <w:spacing w:after="0" w:line="252" w:lineRule="auto"/>
            </w:pPr>
            <w:r>
              <w:rPr>
                <w:sz w:val="16"/>
              </w:rPr>
              <w:t>no state model for proposed/approved/revised; identity and roles not modelled</w:t>
            </w:r>
          </w:p>
        </w:tc>
        <w:tc>
          <w:tcPr>
            <w:tcW w:type="dxa" w:w="3505"/>
          </w:tcPr>
          <w:p>
            <w:pPr>
              <w:spacing w:after="0" w:line="252" w:lineRule="auto"/>
            </w:pPr>
            <w:r>
              <w:rPr>
                <w:sz w:val="16"/>
              </w:rPr>
              <w:t>F-06, F-07, F-15, F-30 (prompt dialogs), author-name defect</w:t>
            </w:r>
          </w:p>
        </w:tc>
        <w:tc>
          <w:tcPr>
            <w:tcW w:type="dxa" w:w="3218"/>
          </w:tcPr>
          <w:p>
            <w:pPr>
              <w:spacing w:after="0" w:line="252" w:lineRule="auto"/>
            </w:pPr>
            <w:r>
              <w:rPr>
                <w:b/>
                <w:sz w:val="16"/>
              </w:rPr>
              <w:t>A</w:t>
            </w:r>
            <w:r>
              <w:rPr>
                <w:sz w:val="16"/>
              </w:rPr>
              <w:t xml:space="preserve"> (guards: scenario → </w:t>
            </w:r>
            <w:r>
              <w:rPr>
                <w:i/>
                <w:sz w:val="16"/>
              </w:rPr>
              <w:t>proposed</w:t>
            </w:r>
            <w:r>
              <w:rPr>
                <w:sz w:val="16"/>
              </w:rPr>
              <w:t xml:space="preserve">, approved plans immutable-or-revision, scoped ids, name resolver) + </w:t>
            </w:r>
            <w:r>
              <w:rPr>
                <w:b/>
                <w:sz w:val="16"/>
              </w:rPr>
              <w:t>B</w:t>
            </w:r>
            <w:r>
              <w:rPr>
                <w:sz w:val="16"/>
              </w:rPr>
              <w:t xml:space="preserve"> (who approves — EQ4)</w:t>
            </w:r>
          </w:p>
        </w:tc>
        <w:tc>
          <w:tcPr>
            <w:tcW w:type="dxa" w:w="1194"/>
          </w:tcPr>
          <w:p>
            <w:pPr>
              <w:spacing w:after="0" w:line="252" w:lineRule="auto"/>
            </w:pPr>
            <w:r>
              <w:rPr>
                <w:sz w:val="16"/>
              </w:rPr>
              <w:t>P0 (guards) / P1</w:t>
            </w:r>
          </w:p>
        </w:tc>
        <w:tc>
          <w:tcPr>
            <w:tcW w:type="dxa" w:w="1194"/>
          </w:tcPr>
          <w:p>
            <w:pPr>
              <w:spacing w:after="0" w:line="252" w:lineRule="auto"/>
            </w:pPr>
            <w:r>
              <w:rPr>
                <w:sz w:val="16"/>
              </w:rPr>
              <w:t>0–2</w:t>
            </w:r>
          </w:p>
        </w:tc>
      </w:tr>
      <w:tr>
        <w:trPr>
          <w:cantSplit/>
        </w:trPr>
        <w:tc>
          <w:tcPr>
            <w:tcW w:type="dxa" w:w="2407"/>
            <w:shd w:val="clear" w:color="auto" w:fill="F9FAFB"/>
          </w:tcPr>
          <w:p>
            <w:pPr>
              <w:spacing w:after="0" w:line="252" w:lineRule="auto"/>
            </w:pPr>
            <w:r>
              <w:rPr>
                <w:b/>
                <w:sz w:val="16"/>
              </w:rPr>
              <w:t>B-06 Smart-report interpreter and conversation</w:t>
            </w:r>
          </w:p>
        </w:tc>
        <w:tc>
          <w:tcPr>
            <w:tcW w:type="dxa" w:w="3505"/>
            <w:shd w:val="clear" w:color="auto" w:fill="F9FAFB"/>
          </w:tcPr>
          <w:p>
            <w:pPr>
              <w:spacing w:after="0" w:line="252" w:lineRule="auto"/>
            </w:pPr>
            <w:r>
              <w:rPr>
                <w:sz w:val="16"/>
              </w:rPr>
              <w:t>keyword rules without a "recognised but not applied" check or confirmation; session state not persisted correctly</w:t>
            </w:r>
          </w:p>
        </w:tc>
        <w:tc>
          <w:tcPr>
            <w:tcW w:type="dxa" w:w="3505"/>
            <w:shd w:val="clear" w:color="auto" w:fill="F9FAFB"/>
          </w:tcPr>
          <w:p>
            <w:pPr>
              <w:spacing w:after="0" w:line="252" w:lineRule="auto"/>
            </w:pPr>
            <w:r>
              <w:rPr>
                <w:sz w:val="16"/>
              </w:rPr>
              <w:t>F-05, F-16, C-07, G-21 (AI states, indicator, confidence, feedback, escalation)</w:t>
            </w:r>
          </w:p>
        </w:tc>
        <w:tc>
          <w:tcPr>
            <w:tcW w:type="dxa" w:w="3218"/>
            <w:shd w:val="clear" w:color="auto" w:fill="F9FAFB"/>
          </w:tcPr>
          <w:p>
            <w:pPr>
              <w:spacing w:after="0" w:line="252" w:lineRule="auto"/>
            </w:pPr>
            <w:r>
              <w:rPr>
                <w:b/>
                <w:sz w:val="16"/>
              </w:rPr>
              <w:t>A</w:t>
            </w:r>
            <w:r>
              <w:rPr>
                <w:sz w:val="16"/>
              </w:rPr>
              <w:t xml:space="preserve"> (guards, fixes, UX) + </w:t>
            </w:r>
            <w:r>
              <w:rPr>
                <w:b/>
                <w:sz w:val="16"/>
              </w:rPr>
              <w:t>B</w:t>
            </w:r>
            <w:r>
              <w:rPr>
                <w:sz w:val="16"/>
              </w:rPr>
              <w:t xml:space="preserve"> (EQ8 scope/sync)</w:t>
            </w:r>
          </w:p>
        </w:tc>
        <w:tc>
          <w:tcPr>
            <w:tcW w:type="dxa" w:w="1194"/>
            <w:shd w:val="clear" w:color="auto" w:fill="F9FAFB"/>
          </w:tcPr>
          <w:p>
            <w:pPr>
              <w:spacing w:after="0" w:line="252" w:lineRule="auto"/>
            </w:pPr>
            <w:r>
              <w:rPr>
                <w:sz w:val="16"/>
              </w:rPr>
              <w:t>P0 / P1</w:t>
            </w:r>
          </w:p>
        </w:tc>
        <w:tc>
          <w:tcPr>
            <w:tcW w:type="dxa" w:w="1194"/>
            <w:shd w:val="clear" w:color="auto" w:fill="F9FAFB"/>
          </w:tcPr>
          <w:p>
            <w:pPr>
              <w:spacing w:after="0" w:line="252" w:lineRule="auto"/>
            </w:pPr>
            <w:r>
              <w:rPr>
                <w:sz w:val="16"/>
              </w:rPr>
              <w:t>0–2</w:t>
            </w:r>
          </w:p>
        </w:tc>
      </w:tr>
      <w:tr>
        <w:trPr>
          <w:cantSplit/>
        </w:trPr>
        <w:tc>
          <w:tcPr>
            <w:tcW w:type="dxa" w:w="2407"/>
          </w:tcPr>
          <w:p>
            <w:pPr>
              <w:spacing w:after="0" w:line="252" w:lineRule="auto"/>
            </w:pPr>
            <w:r>
              <w:rPr>
                <w:b/>
                <w:sz w:val="16"/>
              </w:rPr>
              <w:t>B-07 Exclusion approval semantics</w:t>
            </w:r>
          </w:p>
        </w:tc>
        <w:tc>
          <w:tcPr>
            <w:tcW w:type="dxa" w:w="3505"/>
          </w:tcPr>
          <w:p>
            <w:pPr>
              <w:spacing w:after="0" w:line="252" w:lineRule="auto"/>
            </w:pPr>
            <w:r>
              <w:rPr>
                <w:sz w:val="16"/>
              </w:rPr>
              <w:t xml:space="preserve">one word </w:t>
            </w:r>
            <w:r>
              <w:rPr>
                <w:sz w:val="16"/>
                <w:rtl/>
                <w:rFonts w:cs="Arial"/>
                <w:szCs w:val="16"/>
              </w:rPr>
              <w:t>‫«معتمد»‬</w:t>
            </w:r>
            <w:r>
              <w:rPr>
                <w:sz w:val="16"/>
              </w:rPr>
              <w:t xml:space="preserve"> used for rule approval and review approval</w:t>
            </w:r>
          </w:p>
        </w:tc>
        <w:tc>
          <w:tcPr>
            <w:tcW w:type="dxa" w:w="3505"/>
          </w:tcPr>
          <w:p>
            <w:pPr>
              <w:spacing w:after="0" w:line="252" w:lineRule="auto"/>
            </w:pPr>
            <w:r>
              <w:rPr>
                <w:sz w:val="16"/>
              </w:rPr>
              <w:t>F-08, C-01 (e, f)</w:t>
            </w:r>
          </w:p>
        </w:tc>
        <w:tc>
          <w:tcPr>
            <w:tcW w:type="dxa" w:w="3218"/>
          </w:tcPr>
          <w:p>
            <w:pPr>
              <w:spacing w:after="0" w:line="252" w:lineRule="auto"/>
            </w:pPr>
            <w:r>
              <w:rPr>
                <w:b/>
                <w:sz w:val="16"/>
              </w:rPr>
              <w:t>B</w:t>
            </w:r>
            <w:r>
              <w:rPr>
                <w:sz w:val="16"/>
              </w:rPr>
              <w:t xml:space="preserve"> (EQ3) — labels/band can ship before</w:t>
            </w:r>
          </w:p>
        </w:tc>
        <w:tc>
          <w:tcPr>
            <w:tcW w:type="dxa" w:w="1194"/>
          </w:tcPr>
          <w:p>
            <w:pPr>
              <w:spacing w:after="0" w:line="252" w:lineRule="auto"/>
            </w:pPr>
            <w:r>
              <w:rPr>
                <w:sz w:val="16"/>
              </w:rPr>
              <w:t>P1</w:t>
            </w:r>
          </w:p>
        </w:tc>
        <w:tc>
          <w:tcPr>
            <w:tcW w:type="dxa" w:w="1194"/>
          </w:tcPr>
          <w:p>
            <w:pPr>
              <w:spacing w:after="0" w:line="252" w:lineRule="auto"/>
            </w:pPr>
            <w:r>
              <w:rPr>
                <w:sz w:val="16"/>
              </w:rPr>
              <w:t>1</w:t>
            </w:r>
          </w:p>
        </w:tc>
      </w:tr>
      <w:tr>
        <w:trPr>
          <w:cantSplit/>
        </w:trPr>
        <w:tc>
          <w:tcPr>
            <w:tcW w:type="dxa" w:w="2407"/>
            <w:shd w:val="clear" w:color="auto" w:fill="F9FAFB"/>
          </w:tcPr>
          <w:p>
            <w:pPr>
              <w:spacing w:after="0" w:line="252" w:lineRule="auto"/>
            </w:pPr>
            <w:r>
              <w:rPr>
                <w:b/>
                <w:sz w:val="16"/>
              </w:rPr>
              <w:t>B-08 Content design and glossary</w:t>
            </w:r>
          </w:p>
        </w:tc>
        <w:tc>
          <w:tcPr>
            <w:tcW w:type="dxa" w:w="3505"/>
            <w:shd w:val="clear" w:color="auto" w:fill="F9FAFB"/>
          </w:tcPr>
          <w:p>
            <w:pPr>
              <w:spacing w:after="0" w:line="252" w:lineRule="auto"/>
            </w:pPr>
            <w:r>
              <w:rPr>
                <w:sz w:val="16"/>
              </w:rPr>
              <w:t>no content standard; disclaimers and codes pasted into screens</w:t>
            </w:r>
          </w:p>
        </w:tc>
        <w:tc>
          <w:tcPr>
            <w:tcW w:type="dxa" w:w="3505"/>
            <w:shd w:val="clear" w:color="auto" w:fill="F9FAFB"/>
          </w:tcPr>
          <w:p>
            <w:pPr>
              <w:spacing w:after="0" w:line="252" w:lineRule="auto"/>
            </w:pPr>
            <w:r>
              <w:rPr>
                <w:sz w:val="16"/>
              </w:rPr>
              <w:t>C-01…C-10, H-hierarchy rows, F-18 (hints), F-27, G-22 (login)</w:t>
            </w:r>
          </w:p>
        </w:tc>
        <w:tc>
          <w:tcPr>
            <w:tcW w:type="dxa" w:w="3218"/>
            <w:shd w:val="clear" w:color="auto" w:fill="F9FAFB"/>
          </w:tcPr>
          <w:p>
            <w:pPr>
              <w:spacing w:after="0" w:line="252" w:lineRule="auto"/>
            </w:pPr>
            <w:r>
              <w:rPr>
                <w:b/>
                <w:sz w:val="16"/>
              </w:rPr>
              <w:t>A</w:t>
            </w:r>
            <w:r>
              <w:rPr>
                <w:sz w:val="16"/>
              </w:rPr>
              <w:t xml:space="preserve"> (removal, restructure, glossary draft)</w:t>
            </w:r>
          </w:p>
        </w:tc>
        <w:tc>
          <w:tcPr>
            <w:tcW w:type="dxa" w:w="1194"/>
            <w:shd w:val="clear" w:color="auto" w:fill="F9FAFB"/>
          </w:tcPr>
          <w:p>
            <w:pPr>
              <w:spacing w:after="0" w:line="252" w:lineRule="auto"/>
            </w:pPr>
            <w:r>
              <w:rPr>
                <w:sz w:val="16"/>
              </w:rPr>
              <w:t>P1</w:t>
            </w:r>
          </w:p>
        </w:tc>
        <w:tc>
          <w:tcPr>
            <w:tcW w:type="dxa" w:w="1194"/>
            <w:shd w:val="clear" w:color="auto" w:fill="F9FAFB"/>
          </w:tcPr>
          <w:p>
            <w:pPr>
              <w:spacing w:after="0" w:line="252" w:lineRule="auto"/>
            </w:pPr>
            <w:r>
              <w:rPr>
                <w:sz w:val="16"/>
              </w:rPr>
              <w:t>1–2</w:t>
            </w:r>
          </w:p>
        </w:tc>
      </w:tr>
      <w:tr>
        <w:trPr>
          <w:cantSplit/>
        </w:trPr>
        <w:tc>
          <w:tcPr>
            <w:tcW w:type="dxa" w:w="2407"/>
          </w:tcPr>
          <w:p>
            <w:pPr>
              <w:spacing w:after="0" w:line="252" w:lineRule="auto"/>
            </w:pPr>
            <w:r>
              <w:rPr>
                <w:b/>
                <w:sz w:val="16"/>
              </w:rPr>
              <w:t>B-09 Accessibility quick wins</w:t>
            </w:r>
          </w:p>
        </w:tc>
        <w:tc>
          <w:tcPr>
            <w:tcW w:type="dxa" w:w="3505"/>
          </w:tcPr>
          <w:p>
            <w:pPr>
              <w:spacing w:after="0" w:line="252" w:lineRule="auto"/>
            </w:pPr>
            <w:r>
              <w:rPr>
                <w:sz w:val="16"/>
              </w:rPr>
              <w:t>contrast, focus, target size, headings not enforced</w:t>
            </w:r>
          </w:p>
        </w:tc>
        <w:tc>
          <w:tcPr>
            <w:tcW w:type="dxa" w:w="3505"/>
          </w:tcPr>
          <w:p>
            <w:pPr>
              <w:spacing w:after="0" w:line="252" w:lineRule="auto"/>
            </w:pPr>
            <w:r>
              <w:rPr>
                <w:sz w:val="16"/>
              </w:rPr>
              <w:t xml:space="preserve">G-06 (Sanad </w:t>
            </w:r>
            <w:r>
              <w:rPr>
                <w:sz w:val="16"/>
                <w:rtl/>
                <w:rFonts w:cs="Arial"/>
                <w:szCs w:val="16"/>
              </w:rPr>
              <w:t>‫«فتح»‬</w:t>
            </w:r>
            <w:r>
              <w:rPr>
                <w:sz w:val="16"/>
              </w:rPr>
              <w:t xml:space="preserve"> 1.15:1 first), G-07, G-08, G-17, G-19</w:t>
            </w:r>
          </w:p>
        </w:tc>
        <w:tc>
          <w:tcPr>
            <w:tcW w:type="dxa" w:w="3218"/>
          </w:tcPr>
          <w:p>
            <w:pPr>
              <w:spacing w:after="0" w:line="252" w:lineRule="auto"/>
            </w:pPr>
            <w:r>
              <w:rPr>
                <w:b/>
                <w:sz w:val="16"/>
              </w:rPr>
              <w:t>A</w:t>
            </w:r>
          </w:p>
        </w:tc>
        <w:tc>
          <w:tcPr>
            <w:tcW w:type="dxa" w:w="1194"/>
          </w:tcPr>
          <w:p>
            <w:pPr>
              <w:spacing w:after="0" w:line="252" w:lineRule="auto"/>
            </w:pPr>
            <w:r>
              <w:rPr>
                <w:b/>
                <w:sz w:val="16"/>
              </w:rPr>
              <w:t>P0</w:t>
            </w:r>
            <w:r>
              <w:rPr>
                <w:sz w:val="16"/>
              </w:rPr>
              <w:t xml:space="preserve"> (G-06) / P1</w:t>
            </w:r>
          </w:p>
        </w:tc>
        <w:tc>
          <w:tcPr>
            <w:tcW w:type="dxa" w:w="1194"/>
          </w:tcPr>
          <w:p>
            <w:pPr>
              <w:spacing w:after="0" w:line="252" w:lineRule="auto"/>
            </w:pPr>
            <w:r>
              <w:rPr>
                <w:sz w:val="16"/>
              </w:rPr>
              <w:t>0–1</w:t>
            </w:r>
          </w:p>
        </w:tc>
      </w:tr>
      <w:tr>
        <w:trPr>
          <w:cantSplit/>
        </w:trPr>
        <w:tc>
          <w:tcPr>
            <w:tcW w:type="dxa" w:w="2407"/>
            <w:shd w:val="clear" w:color="auto" w:fill="F9FAFB"/>
          </w:tcPr>
          <w:p>
            <w:pPr>
              <w:spacing w:after="0" w:line="252" w:lineRule="auto"/>
            </w:pPr>
            <w:r>
              <w:rPr>
                <w:b/>
                <w:sz w:val="16"/>
              </w:rPr>
              <w:t>B-10 Design-system foundation</w:t>
            </w:r>
          </w:p>
        </w:tc>
        <w:tc>
          <w:tcPr>
            <w:tcW w:type="dxa" w:w="3505"/>
            <w:shd w:val="clear" w:color="auto" w:fill="F9FAFB"/>
          </w:tcPr>
          <w:p>
            <w:pPr>
              <w:spacing w:after="0" w:line="252" w:lineRule="auto"/>
            </w:pPr>
            <w:r>
              <w:rPr>
                <w:sz w:val="16"/>
              </w:rPr>
              <w:t>tokens come from another prototype; no shared components</w:t>
            </w:r>
          </w:p>
        </w:tc>
        <w:tc>
          <w:tcPr>
            <w:tcW w:type="dxa" w:w="3505"/>
            <w:shd w:val="clear" w:color="auto" w:fill="F9FAFB"/>
          </w:tcPr>
          <w:p>
            <w:pPr>
              <w:spacing w:after="0" w:line="252" w:lineRule="auto"/>
            </w:pPr>
            <w:r>
              <w:rPr>
                <w:sz w:val="16"/>
              </w:rPr>
              <w:t>G-02, G-03, G-04, G-05, G-09, G-10, G-11, G-13, G-14, G-16, G-18, G-20, G-24 (lock light theme), G-26, F-28, F-29</w:t>
            </w:r>
          </w:p>
        </w:tc>
        <w:tc>
          <w:tcPr>
            <w:tcW w:type="dxa" w:w="3218"/>
            <w:shd w:val="clear" w:color="auto" w:fill="F9FAFB"/>
          </w:tcPr>
          <w:p>
            <w:pPr>
              <w:spacing w:after="0" w:line="252" w:lineRule="auto"/>
            </w:pPr>
            <w:r>
              <w:rPr>
                <w:b/>
                <w:sz w:val="16"/>
              </w:rPr>
              <w:t>A</w:t>
            </w:r>
            <w:r>
              <w:rPr>
                <w:sz w:val="16"/>
              </w:rPr>
              <w:t xml:space="preserve"> for tokens/fonts/scale/spacing/colour (DGA values are public and decided); </w:t>
            </w:r>
            <w:r>
              <w:rPr>
                <w:b/>
                <w:sz w:val="16"/>
              </w:rPr>
              <w:t>C</w:t>
            </w:r>
            <w:r>
              <w:rPr>
                <w:sz w:val="16"/>
              </w:rPr>
              <w:t xml:space="preserve"> for exact component dimensions (Figma), icon licence</w:t>
            </w:r>
          </w:p>
        </w:tc>
        <w:tc>
          <w:tcPr>
            <w:tcW w:type="dxa" w:w="1194"/>
            <w:shd w:val="clear" w:color="auto" w:fill="F9FAFB"/>
          </w:tcPr>
          <w:p>
            <w:pPr>
              <w:spacing w:after="0" w:line="252" w:lineRule="auto"/>
            </w:pPr>
            <w:r>
              <w:rPr>
                <w:sz w:val="16"/>
              </w:rPr>
              <w:t>P1</w:t>
            </w:r>
          </w:p>
        </w:tc>
        <w:tc>
          <w:tcPr>
            <w:tcW w:type="dxa" w:w="1194"/>
            <w:shd w:val="clear" w:color="auto" w:fill="F9FAFB"/>
          </w:tcPr>
          <w:p>
            <w:pPr>
              <w:spacing w:after="0" w:line="252" w:lineRule="auto"/>
            </w:pPr>
            <w:r>
              <w:rPr>
                <w:sz w:val="16"/>
              </w:rPr>
              <w:t>1–2</w:t>
            </w:r>
          </w:p>
        </w:tc>
      </w:tr>
      <w:tr>
        <w:trPr>
          <w:cantSplit/>
        </w:trPr>
        <w:tc>
          <w:tcPr>
            <w:tcW w:type="dxa" w:w="2407"/>
          </w:tcPr>
          <w:p>
            <w:pPr>
              <w:spacing w:after="0" w:line="252" w:lineRule="auto"/>
            </w:pPr>
            <w:r>
              <w:rPr>
                <w:b/>
                <w:sz w:val="16"/>
              </w:rPr>
              <w:t>B-11 Brand and identity</w:t>
            </w:r>
          </w:p>
        </w:tc>
        <w:tc>
          <w:tcPr>
            <w:tcW w:type="dxa" w:w="3505"/>
          </w:tcPr>
          <w:p>
            <w:pPr>
              <w:spacing w:after="0" w:line="252" w:lineRule="auto"/>
            </w:pPr>
            <w:r>
              <w:rPr>
                <w:sz w:val="16"/>
              </w:rPr>
              <w:t>no official logo asset or usage rules; export template undefined</w:t>
            </w:r>
          </w:p>
        </w:tc>
        <w:tc>
          <w:tcPr>
            <w:tcW w:type="dxa" w:w="3505"/>
          </w:tcPr>
          <w:p>
            <w:pPr>
              <w:spacing w:after="0" w:line="252" w:lineRule="auto"/>
            </w:pPr>
            <w:r>
              <w:rPr>
                <w:sz w:val="16"/>
              </w:rPr>
              <w:t>G-01, G-23, G-25</w:t>
            </w:r>
          </w:p>
        </w:tc>
        <w:tc>
          <w:tcPr>
            <w:tcW w:type="dxa" w:w="3218"/>
          </w:tcPr>
          <w:p>
            <w:pPr>
              <w:spacing w:after="0" w:line="252" w:lineRule="auto"/>
            </w:pPr>
            <w:r>
              <w:rPr>
                <w:b/>
                <w:sz w:val="16"/>
              </w:rPr>
              <w:t>C</w:t>
            </w:r>
          </w:p>
        </w:tc>
        <w:tc>
          <w:tcPr>
            <w:tcW w:type="dxa" w:w="1194"/>
          </w:tcPr>
          <w:p>
            <w:pPr>
              <w:spacing w:after="0" w:line="252" w:lineRule="auto"/>
            </w:pPr>
            <w:r>
              <w:rPr>
                <w:sz w:val="16"/>
              </w:rPr>
              <w:t>P1</w:t>
            </w:r>
          </w:p>
        </w:tc>
        <w:tc>
          <w:tcPr>
            <w:tcW w:type="dxa" w:w="1194"/>
          </w:tcPr>
          <w:p>
            <w:pPr>
              <w:spacing w:after="0" w:line="252" w:lineRule="auto"/>
            </w:pPr>
            <w:r>
              <w:rPr>
                <w:sz w:val="16"/>
              </w:rPr>
              <w:t>1 (slot) / 3 (final)</w:t>
            </w:r>
          </w:p>
        </w:tc>
      </w:tr>
      <w:tr>
        <w:trPr>
          <w:cantSplit/>
        </w:trPr>
        <w:tc>
          <w:tcPr>
            <w:tcW w:type="dxa" w:w="2407"/>
            <w:shd w:val="clear" w:color="auto" w:fill="F9FAFB"/>
          </w:tcPr>
          <w:p>
            <w:pPr>
              <w:spacing w:after="0" w:line="252" w:lineRule="auto"/>
            </w:pPr>
            <w:r>
              <w:rPr>
                <w:b/>
                <w:sz w:val="16"/>
              </w:rPr>
              <w:t>B-12 Navigation and IA residue</w:t>
            </w:r>
          </w:p>
        </w:tc>
        <w:tc>
          <w:tcPr>
            <w:tcW w:type="dxa" w:w="3505"/>
            <w:shd w:val="clear" w:color="auto" w:fill="F9FAFB"/>
          </w:tcPr>
          <w:p>
            <w:pPr>
              <w:spacing w:after="0" w:line="252" w:lineRule="auto"/>
            </w:pPr>
            <w:r>
              <w:rPr>
                <w:sz w:val="16"/>
              </w:rPr>
              <w:t>legacy links and entries not cleaned</w:t>
            </w:r>
          </w:p>
        </w:tc>
        <w:tc>
          <w:tcPr>
            <w:tcW w:type="dxa" w:w="3505"/>
            <w:shd w:val="clear" w:color="auto" w:fill="F9FAFB"/>
          </w:tcPr>
          <w:p>
            <w:pPr>
              <w:spacing w:after="0" w:line="252" w:lineRule="auto"/>
            </w:pPr>
            <w:r>
              <w:rPr>
                <w:sz w:val="16"/>
              </w:rPr>
              <w:t>F-17, F-18, F-31, G-18</w:t>
            </w:r>
          </w:p>
        </w:tc>
        <w:tc>
          <w:tcPr>
            <w:tcW w:type="dxa" w:w="3218"/>
            <w:shd w:val="clear" w:color="auto" w:fill="F9FAFB"/>
          </w:tcPr>
          <w:p>
            <w:pPr>
              <w:spacing w:after="0" w:line="252" w:lineRule="auto"/>
            </w:pPr>
            <w:r>
              <w:rPr>
                <w:b/>
                <w:sz w:val="16"/>
              </w:rPr>
              <w:t>A</w:t>
            </w:r>
          </w:p>
        </w:tc>
        <w:tc>
          <w:tcPr>
            <w:tcW w:type="dxa" w:w="1194"/>
            <w:shd w:val="clear" w:color="auto" w:fill="F9FAFB"/>
          </w:tcPr>
          <w:p>
            <w:pPr>
              <w:spacing w:after="0" w:line="252" w:lineRule="auto"/>
            </w:pPr>
            <w:r>
              <w:rPr>
                <w:sz w:val="16"/>
              </w:rPr>
              <w:t>P1</w:t>
            </w:r>
          </w:p>
        </w:tc>
        <w:tc>
          <w:tcPr>
            <w:tcW w:type="dxa" w:w="1194"/>
            <w:shd w:val="clear" w:color="auto" w:fill="F9FAFB"/>
          </w:tcPr>
          <w:p>
            <w:pPr>
              <w:spacing w:after="0" w:line="252" w:lineRule="auto"/>
            </w:pPr>
            <w:r>
              <w:rPr>
                <w:sz w:val="16"/>
              </w:rPr>
              <w:t>0–2</w:t>
            </w:r>
          </w:p>
        </w:tc>
      </w:tr>
      <w:tr>
        <w:trPr>
          <w:cantSplit/>
        </w:trPr>
        <w:tc>
          <w:tcPr>
            <w:tcW w:type="dxa" w:w="2407"/>
          </w:tcPr>
          <w:p>
            <w:pPr>
              <w:spacing w:after="0" w:line="252" w:lineRule="auto"/>
            </w:pPr>
            <w:r>
              <w:rPr>
                <w:b/>
                <w:sz w:val="16"/>
              </w:rPr>
              <w:t>B-13 Report parity with the ministry monthly report</w:t>
            </w:r>
          </w:p>
        </w:tc>
        <w:tc>
          <w:tcPr>
            <w:tcW w:type="dxa" w:w="3505"/>
          </w:tcPr>
          <w:p>
            <w:pPr>
              <w:spacing w:after="0" w:line="252" w:lineRule="auto"/>
            </w:pPr>
            <w:r>
              <w:rPr>
                <w:sz w:val="16"/>
              </w:rPr>
              <w:t>fixed reports mapped from Jan–Mar only; coverage and referral definitions differ</w:t>
            </w:r>
          </w:p>
        </w:tc>
        <w:tc>
          <w:tcPr>
            <w:tcW w:type="dxa" w:w="3505"/>
          </w:tcPr>
          <w:p>
            <w:pPr>
              <w:spacing w:after="0" w:line="252" w:lineRule="auto"/>
            </w:pPr>
            <w:r>
              <w:rPr>
                <w:sz w:val="16"/>
              </w:rPr>
              <w:t>F-33, F-35, E-4</w:t>
            </w:r>
          </w:p>
        </w:tc>
        <w:tc>
          <w:tcPr>
            <w:tcW w:type="dxa" w:w="3218"/>
          </w:tcPr>
          <w:p>
            <w:pPr>
              <w:spacing w:after="0" w:line="252" w:lineRule="auto"/>
            </w:pPr>
            <w:r>
              <w:rPr>
                <w:b/>
                <w:sz w:val="16"/>
              </w:rPr>
              <w:t>B</w:t>
            </w:r>
            <w:r>
              <w:rPr>
                <w:sz w:val="16"/>
              </w:rPr>
              <w:t xml:space="preserve"> (EQ5, EQ9)</w:t>
            </w:r>
          </w:p>
        </w:tc>
        <w:tc>
          <w:tcPr>
            <w:tcW w:type="dxa" w:w="1194"/>
          </w:tcPr>
          <w:p>
            <w:pPr>
              <w:spacing w:after="0" w:line="252" w:lineRule="auto"/>
            </w:pPr>
            <w:r>
              <w:rPr>
                <w:sz w:val="16"/>
              </w:rPr>
              <w:t>P2</w:t>
            </w:r>
          </w:p>
        </w:tc>
        <w:tc>
          <w:tcPr>
            <w:tcW w:type="dxa" w:w="1194"/>
          </w:tcPr>
          <w:p>
            <w:pPr>
              <w:spacing w:after="0" w:line="252" w:lineRule="auto"/>
            </w:pPr>
            <w:r>
              <w:rPr>
                <w:sz w:val="16"/>
              </w:rPr>
              <w:t>2–3</w:t>
            </w:r>
          </w:p>
        </w:tc>
      </w:tr>
      <w:tr>
        <w:trPr>
          <w:cantSplit/>
        </w:trPr>
        <w:tc>
          <w:tcPr>
            <w:tcW w:type="dxa" w:w="2407"/>
            <w:shd w:val="clear" w:color="auto" w:fill="F9FAFB"/>
          </w:tcPr>
          <w:p>
            <w:pPr>
              <w:spacing w:after="0" w:line="252" w:lineRule="auto"/>
            </w:pPr>
            <w:r>
              <w:rPr>
                <w:b/>
                <w:sz w:val="16"/>
              </w:rPr>
              <w:t>B-14 Persistence, roles and server store</w:t>
            </w:r>
          </w:p>
        </w:tc>
        <w:tc>
          <w:tcPr>
            <w:tcW w:type="dxa" w:w="3505"/>
            <w:shd w:val="clear" w:color="auto" w:fill="F9FAFB"/>
          </w:tcPr>
          <w:p>
            <w:pPr>
              <w:spacing w:after="0" w:line="252" w:lineRule="auto"/>
            </w:pPr>
            <w:r>
              <w:rPr>
                <w:sz w:val="16"/>
              </w:rPr>
              <w:t>everything is browser-local; one demo user</w:t>
            </w:r>
          </w:p>
        </w:tc>
        <w:tc>
          <w:tcPr>
            <w:tcW w:type="dxa" w:w="3505"/>
            <w:shd w:val="clear" w:color="auto" w:fill="F9FAFB"/>
          </w:tcPr>
          <w:p>
            <w:pPr>
              <w:spacing w:after="0" w:line="252" w:lineRule="auto"/>
            </w:pPr>
            <w:r>
              <w:rPr>
                <w:sz w:val="16"/>
              </w:rPr>
              <w:t>F-19</w:t>
            </w:r>
          </w:p>
        </w:tc>
        <w:tc>
          <w:tcPr>
            <w:tcW w:type="dxa" w:w="3218"/>
            <w:shd w:val="clear" w:color="auto" w:fill="F9FAFB"/>
          </w:tcPr>
          <w:p>
            <w:pPr>
              <w:spacing w:after="0" w:line="252" w:lineRule="auto"/>
            </w:pPr>
            <w:r>
              <w:rPr>
                <w:b/>
                <w:sz w:val="16"/>
              </w:rPr>
              <w:t>B</w:t>
            </w:r>
            <w:r>
              <w:rPr>
                <w:sz w:val="16"/>
              </w:rPr>
              <w:t xml:space="preserve"> (EQ10)</w:t>
            </w:r>
          </w:p>
        </w:tc>
        <w:tc>
          <w:tcPr>
            <w:tcW w:type="dxa" w:w="1194"/>
            <w:shd w:val="clear" w:color="auto" w:fill="F9FAFB"/>
          </w:tcPr>
          <w:p>
            <w:pPr>
              <w:spacing w:after="0" w:line="252" w:lineRule="auto"/>
            </w:pPr>
            <w:r>
              <w:rPr>
                <w:sz w:val="16"/>
              </w:rPr>
              <w:t>P2</w:t>
            </w:r>
          </w:p>
        </w:tc>
        <w:tc>
          <w:tcPr>
            <w:tcW w:type="dxa" w:w="1194"/>
            <w:shd w:val="clear" w:color="auto" w:fill="F9FAFB"/>
          </w:tcPr>
          <w:p>
            <w:pPr>
              <w:spacing w:after="0" w:line="252" w:lineRule="auto"/>
            </w:pPr>
            <w:r>
              <w:rPr>
                <w:sz w:val="16"/>
              </w:rPr>
              <w:t>4</w:t>
            </w:r>
          </w:p>
        </w:tc>
      </w:tr>
    </w:tbl>
    <w:p>
      <w:pPr>
        <w:spacing w:after="40"/>
      </w:pPr>
    </w:p>
    <w:p>
      <w:r>
        <w:rPr>
          <w:b/>
        </w:rPr>
        <w:t>Coverage check:</w:t>
      </w:r>
      <w:r>
        <w:t xml:space="preserve"> F-01…F-35, C-01…C-10, D-01…D-15, G-01…G-26 each appear in at least one epic; no finding is left as a stand-alone change.</w:t>
      </w:r>
    </w:p>
    <w:p>
      <w:pPr>
        <w:pStyle w:val="Heading2"/>
      </w:pPr>
      <w:r>
        <w:t>28. What can proceed — by dependency</w:t>
      </w:r>
    </w:p>
    <w:p>
      <w:pPr>
        <w:pStyle w:val="Heading3"/>
      </w:pPr>
      <w:r>
        <w:t xml:space="preserve">28.1 Group A — verified defects correctable </w:t>
      </w:r>
      <w:r>
        <w:rPr>
          <w:b/>
        </w:rPr>
        <w:t>without</w:t>
      </w:r>
      <w:r>
        <w:t xml:space="preserve"> a business decision</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8884"/>
        <w:gridCol w:w="2538"/>
        <w:gridCol w:w="3602"/>
      </w:tblGrid>
      <w:tr>
        <w:trPr>
          <w:tblHeader w:val="true"/>
          <w:cantSplit/>
        </w:trPr>
        <w:tc>
          <w:tcPr>
            <w:tcW w:type="dxa" w:w="8884"/>
            <w:shd w:val="clear" w:color="auto" w:fill="1B8354"/>
          </w:tcPr>
          <w:p>
            <w:pPr>
              <w:spacing w:after="0" w:line="252" w:lineRule="auto"/>
            </w:pPr>
            <w:r>
              <w:rPr>
                <w:b/>
                <w:color w:val="FFFFFF"/>
                <w:sz w:val="17"/>
              </w:rPr>
              <w:t>Item</w:t>
            </w:r>
          </w:p>
        </w:tc>
        <w:tc>
          <w:tcPr>
            <w:tcW w:type="dxa" w:w="2538"/>
            <w:shd w:val="clear" w:color="auto" w:fill="1B8354"/>
          </w:tcPr>
          <w:p>
            <w:pPr>
              <w:spacing w:after="0" w:line="252" w:lineRule="auto"/>
            </w:pPr>
            <w:r>
              <w:rPr>
                <w:b/>
                <w:color w:val="FFFFFF"/>
                <w:sz w:val="17"/>
              </w:rPr>
              <w:t>Findings</w:t>
            </w:r>
          </w:p>
        </w:tc>
        <w:tc>
          <w:tcPr>
            <w:tcW w:type="dxa" w:w="3602"/>
            <w:shd w:val="clear" w:color="auto" w:fill="1B8354"/>
          </w:tcPr>
          <w:p>
            <w:pPr>
              <w:spacing w:after="0" w:line="252" w:lineRule="auto"/>
            </w:pPr>
            <w:r>
              <w:rPr>
                <w:b/>
                <w:color w:val="FFFFFF"/>
                <w:sz w:val="17"/>
              </w:rPr>
              <w:t>Verified by</w:t>
            </w:r>
          </w:p>
        </w:tc>
      </w:tr>
      <w:tr>
        <w:trPr>
          <w:cantSplit/>
        </w:trPr>
        <w:tc>
          <w:tcPr>
            <w:tcW w:type="dxa" w:w="8884"/>
          </w:tcPr>
          <w:p>
            <w:pPr>
              <w:spacing w:after="0" w:line="252" w:lineRule="auto"/>
            </w:pPr>
            <w:r>
              <w:rPr>
                <w:sz w:val="17"/>
              </w:rPr>
              <w:t>Pass the full totals to the relations block; typed contract</w:t>
            </w:r>
          </w:p>
        </w:tc>
        <w:tc>
          <w:tcPr>
            <w:tcW w:type="dxa" w:w="2538"/>
          </w:tcPr>
          <w:p>
            <w:pPr>
              <w:spacing w:after="0" w:line="252" w:lineRule="auto"/>
            </w:pPr>
            <w:r>
              <w:rPr>
                <w:sz w:val="17"/>
              </w:rPr>
              <w:t>F-02</w:t>
            </w:r>
          </w:p>
        </w:tc>
        <w:tc>
          <w:tcPr>
            <w:tcW w:type="dxa" w:w="3602"/>
          </w:tcPr>
          <w:p>
            <w:pPr>
              <w:spacing w:after="0" w:line="252" w:lineRule="auto"/>
            </w:pPr>
            <w:r>
              <w:rPr>
                <w:sz w:val="17"/>
              </w:rPr>
              <w:t>Verified (UI + code)</w:t>
            </w:r>
          </w:p>
        </w:tc>
      </w:tr>
      <w:tr>
        <w:trPr>
          <w:cantSplit/>
        </w:trPr>
        <w:tc>
          <w:tcPr>
            <w:tcW w:type="dxa" w:w="8884"/>
            <w:shd w:val="clear" w:color="auto" w:fill="F9FAFB"/>
          </w:tcPr>
          <w:p>
            <w:pPr>
              <w:spacing w:after="0" w:line="252" w:lineRule="auto"/>
            </w:pPr>
            <w:r>
              <w:rPr>
                <w:sz w:val="17"/>
              </w:rPr>
              <w:t>Remove the false "no recommended interventions" (or feed it from the proposal source); remove other false statements</w:t>
            </w:r>
          </w:p>
        </w:tc>
        <w:tc>
          <w:tcPr>
            <w:tcW w:type="dxa" w:w="2538"/>
            <w:shd w:val="clear" w:color="auto" w:fill="F9FAFB"/>
          </w:tcPr>
          <w:p>
            <w:pPr>
              <w:spacing w:after="0" w:line="252" w:lineRule="auto"/>
            </w:pPr>
            <w:r>
              <w:rPr>
                <w:sz w:val="17"/>
              </w:rPr>
              <w:t>F-03, C-01</w:t>
            </w:r>
          </w:p>
        </w:tc>
        <w:tc>
          <w:tcPr>
            <w:tcW w:type="dxa" w:w="3602"/>
            <w:shd w:val="clear" w:color="auto" w:fill="F9FAFB"/>
          </w:tcPr>
          <w:p>
            <w:pPr>
              <w:spacing w:after="0" w:line="252" w:lineRule="auto"/>
            </w:pPr>
            <w:r>
              <w:rPr>
                <w:sz w:val="17"/>
              </w:rPr>
              <w:t>Verified (UI)</w:t>
            </w:r>
          </w:p>
        </w:tc>
      </w:tr>
      <w:tr>
        <w:trPr>
          <w:cantSplit/>
        </w:trPr>
        <w:tc>
          <w:tcPr>
            <w:tcW w:type="dxa" w:w="8884"/>
          </w:tcPr>
          <w:p>
            <w:pPr>
              <w:spacing w:after="0" w:line="252" w:lineRule="auto"/>
            </w:pPr>
            <w:r>
              <w:rPr>
                <w:sz w:val="17"/>
              </w:rPr>
              <w:t>Fix the English-first helper in proposals</w:t>
            </w:r>
          </w:p>
        </w:tc>
        <w:tc>
          <w:tcPr>
            <w:tcW w:type="dxa" w:w="2538"/>
          </w:tcPr>
          <w:p>
            <w:pPr>
              <w:spacing w:after="0" w:line="252" w:lineRule="auto"/>
            </w:pPr>
            <w:r>
              <w:rPr>
                <w:sz w:val="17"/>
              </w:rPr>
              <w:t>F-09</w:t>
            </w:r>
          </w:p>
        </w:tc>
        <w:tc>
          <w:tcPr>
            <w:tcW w:type="dxa" w:w="3602"/>
          </w:tcPr>
          <w:p>
            <w:pPr>
              <w:spacing w:after="0" w:line="252" w:lineRule="auto"/>
            </w:pPr>
            <w:r>
              <w:rPr>
                <w:sz w:val="17"/>
              </w:rPr>
              <w:t>Verified (code + UI)</w:t>
            </w:r>
          </w:p>
        </w:tc>
      </w:tr>
      <w:tr>
        <w:trPr>
          <w:cantSplit/>
        </w:trPr>
        <w:tc>
          <w:tcPr>
            <w:tcW w:type="dxa" w:w="8884"/>
            <w:shd w:val="clear" w:color="auto" w:fill="F9FAFB"/>
          </w:tcPr>
          <w:p>
            <w:pPr>
              <w:spacing w:after="0" w:line="252" w:lineRule="auto"/>
            </w:pPr>
            <w:r>
              <w:rPr>
                <w:sz w:val="17"/>
              </w:rPr>
              <w:t>PowerPoint pagination (no truncation, totals kept); Excel notes sheet, % in headers, sheet names; screen/export parity tests</w:t>
            </w:r>
          </w:p>
        </w:tc>
        <w:tc>
          <w:tcPr>
            <w:tcW w:type="dxa" w:w="2538"/>
            <w:shd w:val="clear" w:color="auto" w:fill="F9FAFB"/>
          </w:tcPr>
          <w:p>
            <w:pPr>
              <w:spacing w:after="0" w:line="252" w:lineRule="auto"/>
            </w:pPr>
            <w:r>
              <w:rPr>
                <w:sz w:val="17"/>
              </w:rPr>
              <w:t>F-10</w:t>
            </w:r>
          </w:p>
        </w:tc>
        <w:tc>
          <w:tcPr>
            <w:tcW w:type="dxa" w:w="3602"/>
            <w:shd w:val="clear" w:color="auto" w:fill="F9FAFB"/>
          </w:tcPr>
          <w:p>
            <w:pPr>
              <w:spacing w:after="0" w:line="252" w:lineRule="auto"/>
            </w:pPr>
            <w:r>
              <w:rPr>
                <w:sz w:val="17"/>
              </w:rPr>
              <w:t>Verified (parsed files)</w:t>
            </w:r>
          </w:p>
        </w:tc>
      </w:tr>
      <w:tr>
        <w:trPr>
          <w:cantSplit/>
        </w:trPr>
        <w:tc>
          <w:tcPr>
            <w:tcW w:type="dxa" w:w="8884"/>
          </w:tcPr>
          <w:p>
            <w:pPr>
              <w:spacing w:after="0" w:line="252" w:lineRule="auto"/>
            </w:pPr>
            <w:r>
              <w:rPr>
                <w:sz w:val="17"/>
              </w:rPr>
              <w:t>Smart reports: empty-state rule, no zeros, no raw keys in messages</w:t>
            </w:r>
          </w:p>
        </w:tc>
        <w:tc>
          <w:tcPr>
            <w:tcW w:type="dxa" w:w="2538"/>
          </w:tcPr>
          <w:p>
            <w:pPr>
              <w:spacing w:after="0" w:line="252" w:lineRule="auto"/>
            </w:pPr>
            <w:r>
              <w:rPr>
                <w:sz w:val="17"/>
              </w:rPr>
              <w:t>F-11</w:t>
            </w:r>
          </w:p>
        </w:tc>
        <w:tc>
          <w:tcPr>
            <w:tcW w:type="dxa" w:w="3602"/>
          </w:tcPr>
          <w:p>
            <w:pPr>
              <w:spacing w:after="0" w:line="252" w:lineRule="auto"/>
            </w:pPr>
            <w:r>
              <w:rPr>
                <w:sz w:val="17"/>
              </w:rPr>
              <w:t>Verified (UI)</w:t>
            </w:r>
          </w:p>
        </w:tc>
      </w:tr>
      <w:tr>
        <w:trPr>
          <w:cantSplit/>
        </w:trPr>
        <w:tc>
          <w:tcPr>
            <w:tcW w:type="dxa" w:w="8884"/>
            <w:shd w:val="clear" w:color="auto" w:fill="F9FAFB"/>
          </w:tcPr>
          <w:p>
            <w:pPr>
              <w:spacing w:after="0" w:line="252" w:lineRule="auto"/>
            </w:pPr>
            <w:r>
              <w:rPr>
                <w:sz w:val="17"/>
              </w:rPr>
              <w:t>Loading/stale/error state on Dashboard and fixed reports</w:t>
            </w:r>
          </w:p>
        </w:tc>
        <w:tc>
          <w:tcPr>
            <w:tcW w:type="dxa" w:w="2538"/>
            <w:shd w:val="clear" w:color="auto" w:fill="F9FAFB"/>
          </w:tcPr>
          <w:p>
            <w:pPr>
              <w:spacing w:after="0" w:line="252" w:lineRule="auto"/>
            </w:pPr>
            <w:r>
              <w:rPr>
                <w:sz w:val="17"/>
              </w:rPr>
              <w:t>F-12</w:t>
            </w:r>
          </w:p>
        </w:tc>
        <w:tc>
          <w:tcPr>
            <w:tcW w:type="dxa" w:w="3602"/>
            <w:shd w:val="clear" w:color="auto" w:fill="F9FAFB"/>
          </w:tcPr>
          <w:p>
            <w:pPr>
              <w:spacing w:after="0" w:line="252" w:lineRule="auto"/>
            </w:pPr>
            <w:r>
              <w:rPr>
                <w:sz w:val="17"/>
              </w:rPr>
              <w:t>Verified (sampling)</w:t>
            </w:r>
          </w:p>
        </w:tc>
      </w:tr>
      <w:tr>
        <w:trPr>
          <w:cantSplit/>
        </w:trPr>
        <w:tc>
          <w:tcPr>
            <w:tcW w:type="dxa" w:w="8884"/>
          </w:tcPr>
          <w:p>
            <w:pPr>
              <w:spacing w:after="0" w:line="252" w:lineRule="auto"/>
            </w:pPr>
            <w:r>
              <w:rPr>
                <w:rFonts w:ascii="Consolas" w:hAnsi="Consolas" w:cs="Consolas"/>
                <w:color w:val="B42318"/>
                <w:sz w:val="16"/>
              </w:rPr>
              <w:t>?src=</w:t>
            </w:r>
            <w:r>
              <w:rPr>
                <w:sz w:val="17"/>
              </w:rPr>
              <w:t xml:space="preserve"> becomes a visible removable filter; KPI strip uses the same scope</w:t>
            </w:r>
          </w:p>
        </w:tc>
        <w:tc>
          <w:tcPr>
            <w:tcW w:type="dxa" w:w="2538"/>
          </w:tcPr>
          <w:p>
            <w:pPr>
              <w:spacing w:after="0" w:line="252" w:lineRule="auto"/>
            </w:pPr>
            <w:r>
              <w:rPr>
                <w:sz w:val="17"/>
              </w:rPr>
              <w:t>F-13</w:t>
            </w:r>
          </w:p>
        </w:tc>
        <w:tc>
          <w:tcPr>
            <w:tcW w:type="dxa" w:w="3602"/>
          </w:tcPr>
          <w:p>
            <w:pPr>
              <w:spacing w:after="0" w:line="252" w:lineRule="auto"/>
            </w:pPr>
            <w:r>
              <w:rPr>
                <w:sz w:val="17"/>
              </w:rPr>
              <w:t>Verified (UI)</w:t>
            </w:r>
          </w:p>
        </w:tc>
      </w:tr>
      <w:tr>
        <w:trPr>
          <w:cantSplit/>
        </w:trPr>
        <w:tc>
          <w:tcPr>
            <w:tcW w:type="dxa" w:w="8884"/>
            <w:shd w:val="clear" w:color="auto" w:fill="F9FAFB"/>
          </w:tcPr>
          <w:p>
            <w:pPr>
              <w:spacing w:after="0" w:line="252" w:lineRule="auto"/>
            </w:pPr>
            <w:r>
              <w:rPr>
                <w:sz w:val="17"/>
              </w:rPr>
              <w:t>Planning renders plan, objectives and register even when the filter returns no invoices</w:t>
            </w:r>
          </w:p>
        </w:tc>
        <w:tc>
          <w:tcPr>
            <w:tcW w:type="dxa" w:w="2538"/>
            <w:shd w:val="clear" w:color="auto" w:fill="F9FAFB"/>
          </w:tcPr>
          <w:p>
            <w:pPr>
              <w:spacing w:after="0" w:line="252" w:lineRule="auto"/>
            </w:pPr>
            <w:r>
              <w:rPr>
                <w:sz w:val="17"/>
              </w:rPr>
              <w:t>F-14</w:t>
            </w:r>
          </w:p>
        </w:tc>
        <w:tc>
          <w:tcPr>
            <w:tcW w:type="dxa" w:w="3602"/>
            <w:shd w:val="clear" w:color="auto" w:fill="F9FAFB"/>
          </w:tcPr>
          <w:p>
            <w:pPr>
              <w:spacing w:after="0" w:line="252" w:lineRule="auto"/>
            </w:pPr>
            <w:r>
              <w:rPr>
                <w:sz w:val="17"/>
              </w:rPr>
              <w:t>Verified (UI)</w:t>
            </w:r>
          </w:p>
        </w:tc>
      </w:tr>
      <w:tr>
        <w:trPr>
          <w:cantSplit/>
        </w:trPr>
        <w:tc>
          <w:tcPr>
            <w:tcW w:type="dxa" w:w="8884"/>
          </w:tcPr>
          <w:p>
            <w:pPr>
              <w:spacing w:after="0" w:line="252" w:lineRule="auto"/>
            </w:pPr>
            <w:r>
              <w:rPr>
                <w:sz w:val="17"/>
              </w:rPr>
              <w:t>Proposal ids include scope and period</w:t>
            </w:r>
          </w:p>
        </w:tc>
        <w:tc>
          <w:tcPr>
            <w:tcW w:type="dxa" w:w="2538"/>
          </w:tcPr>
          <w:p>
            <w:pPr>
              <w:spacing w:after="0" w:line="252" w:lineRule="auto"/>
            </w:pPr>
            <w:r>
              <w:rPr>
                <w:sz w:val="17"/>
              </w:rPr>
              <w:t>F-15</w:t>
            </w:r>
          </w:p>
        </w:tc>
        <w:tc>
          <w:tcPr>
            <w:tcW w:type="dxa" w:w="3602"/>
          </w:tcPr>
          <w:p>
            <w:pPr>
              <w:spacing w:after="0" w:line="252" w:lineRule="auto"/>
            </w:pPr>
            <w:r>
              <w:rPr>
                <w:sz w:val="17"/>
              </w:rPr>
              <w:t>Verified (UI + code)</w:t>
            </w:r>
          </w:p>
        </w:tc>
      </w:tr>
      <w:tr>
        <w:trPr>
          <w:cantSplit/>
        </w:trPr>
        <w:tc>
          <w:tcPr>
            <w:tcW w:type="dxa" w:w="8884"/>
            <w:shd w:val="clear" w:color="auto" w:fill="F9FAFB"/>
          </w:tcPr>
          <w:p>
            <w:pPr>
              <w:spacing w:after="0" w:line="252" w:lineRule="auto"/>
            </w:pPr>
            <w:r>
              <w:rPr>
                <w:sz w:val="17"/>
              </w:rPr>
              <w:t xml:space="preserve">Smart UX: scroll to top, no </w:t>
            </w:r>
            <w:r>
              <w:rPr>
                <w:rFonts w:ascii="Consolas" w:hAnsi="Consolas" w:cs="Consolas"/>
                <w:color w:val="B42318"/>
                <w:sz w:val="16"/>
              </w:rPr>
              <w:t>?q=</w:t>
            </w:r>
            <w:r>
              <w:rPr>
                <w:sz w:val="17"/>
              </w:rPr>
              <w:t xml:space="preserve"> replay, correct clarification text, titles, "data as of" stamp, draft kept</w:t>
            </w:r>
          </w:p>
        </w:tc>
        <w:tc>
          <w:tcPr>
            <w:tcW w:type="dxa" w:w="2538"/>
            <w:shd w:val="clear" w:color="auto" w:fill="F9FAFB"/>
          </w:tcPr>
          <w:p>
            <w:pPr>
              <w:spacing w:after="0" w:line="252" w:lineRule="auto"/>
            </w:pPr>
            <w:r>
              <w:rPr>
                <w:sz w:val="17"/>
              </w:rPr>
              <w:t>F-16</w:t>
            </w:r>
          </w:p>
        </w:tc>
        <w:tc>
          <w:tcPr>
            <w:tcW w:type="dxa" w:w="3602"/>
            <w:shd w:val="clear" w:color="auto" w:fill="F9FAFB"/>
          </w:tcPr>
          <w:p>
            <w:pPr>
              <w:spacing w:after="0" w:line="252" w:lineRule="auto"/>
            </w:pPr>
            <w:r>
              <w:rPr>
                <w:sz w:val="17"/>
              </w:rPr>
              <w:t>Verified (UI)</w:t>
            </w:r>
          </w:p>
        </w:tc>
      </w:tr>
      <w:tr>
        <w:trPr>
          <w:cantSplit/>
        </w:trPr>
        <w:tc>
          <w:tcPr>
            <w:tcW w:type="dxa" w:w="8884"/>
          </w:tcPr>
          <w:p>
            <w:pPr>
              <w:spacing w:after="0" w:line="252" w:lineRule="auto"/>
            </w:pPr>
            <w:r>
              <w:rPr>
                <w:sz w:val="17"/>
              </w:rPr>
              <w:t xml:space="preserve">Broken link </w:t>
            </w:r>
            <w:r>
              <w:rPr>
                <w:sz w:val="17"/>
                <w:rtl/>
                <w:rFonts w:cs="Arial"/>
                <w:szCs w:val="17"/>
              </w:rPr>
              <w:t>‫«التنبؤ والمستهدف»‬</w:t>
            </w:r>
            <w:r>
              <w:rPr>
                <w:sz w:val="17"/>
              </w:rPr>
              <w:t>, unknown-route page, nav entries, page titles</w:t>
            </w:r>
          </w:p>
        </w:tc>
        <w:tc>
          <w:tcPr>
            <w:tcW w:type="dxa" w:w="2538"/>
          </w:tcPr>
          <w:p>
            <w:pPr>
              <w:spacing w:after="0" w:line="252" w:lineRule="auto"/>
            </w:pPr>
            <w:r>
              <w:rPr>
                <w:sz w:val="17"/>
              </w:rPr>
              <w:t>F-17, F-18 (part)</w:t>
            </w:r>
          </w:p>
        </w:tc>
        <w:tc>
          <w:tcPr>
            <w:tcW w:type="dxa" w:w="3602"/>
          </w:tcPr>
          <w:p>
            <w:pPr>
              <w:spacing w:after="0" w:line="252" w:lineRule="auto"/>
            </w:pPr>
            <w:r>
              <w:rPr>
                <w:sz w:val="17"/>
              </w:rPr>
              <w:t>Verified</w:t>
            </w:r>
          </w:p>
        </w:tc>
      </w:tr>
      <w:tr>
        <w:trPr>
          <w:cantSplit/>
        </w:trPr>
        <w:tc>
          <w:tcPr>
            <w:tcW w:type="dxa" w:w="8884"/>
            <w:shd w:val="clear" w:color="auto" w:fill="F9FAFB"/>
          </w:tcPr>
          <w:p>
            <w:pPr>
              <w:spacing w:after="0" w:line="252" w:lineRule="auto"/>
            </w:pPr>
            <w:r>
              <w:rPr>
                <w:sz w:val="17"/>
              </w:rPr>
              <w:t>Date validation (start ≤ end ≤ today, coverage start), Riyadh time formatting, reject future quarters, equal-length comparison rules</w:t>
            </w:r>
          </w:p>
        </w:tc>
        <w:tc>
          <w:tcPr>
            <w:tcW w:type="dxa" w:w="2538"/>
            <w:shd w:val="clear" w:color="auto" w:fill="F9FAFB"/>
          </w:tcPr>
          <w:p>
            <w:pPr>
              <w:spacing w:after="0" w:line="252" w:lineRule="auto"/>
            </w:pPr>
            <w:r>
              <w:rPr>
                <w:sz w:val="17"/>
              </w:rPr>
              <w:t>D-01, D-02, D-04, D-05, D-07</w:t>
            </w:r>
          </w:p>
        </w:tc>
        <w:tc>
          <w:tcPr>
            <w:tcW w:type="dxa" w:w="3602"/>
            <w:shd w:val="clear" w:color="auto" w:fill="F9FAFB"/>
          </w:tcPr>
          <w:p>
            <w:pPr>
              <w:spacing w:after="0" w:line="252" w:lineRule="auto"/>
            </w:pPr>
            <w:r>
              <w:rPr>
                <w:sz w:val="17"/>
              </w:rPr>
              <w:t>Verified (UI + function output)</w:t>
            </w:r>
          </w:p>
        </w:tc>
      </w:tr>
      <w:tr>
        <w:trPr>
          <w:cantSplit/>
        </w:trPr>
        <w:tc>
          <w:tcPr>
            <w:tcW w:type="dxa" w:w="8884"/>
          </w:tcPr>
          <w:p>
            <w:pPr>
              <w:spacing w:after="0" w:line="252" w:lineRule="auto"/>
            </w:pPr>
            <w:r>
              <w:rPr>
                <w:sz w:val="17"/>
              </w:rPr>
              <w:t xml:space="preserve">Scenario action created as </w:t>
            </w:r>
            <w:r>
              <w:rPr>
                <w:i/>
                <w:sz w:val="17"/>
              </w:rPr>
              <w:t>proposed</w:t>
            </w:r>
            <w:r>
              <w:rPr>
                <w:sz w:val="17"/>
              </w:rPr>
              <w:t xml:space="preserve">; approved plan edits create a draft revision (or are blocked); history on every edit; author name by language; remove </w:t>
            </w:r>
            <w:r>
              <w:rPr>
                <w:sz w:val="17"/>
                <w:rtl/>
                <w:rFonts w:cs="Arial"/>
                <w:szCs w:val="17"/>
              </w:rPr>
              <w:t>‫«(مسودة)»‬</w:t>
            </w:r>
            <w:r>
              <w:rPr>
                <w:sz w:val="17"/>
              </w:rPr>
              <w:t xml:space="preserve"> from approved names</w:t>
            </w:r>
          </w:p>
        </w:tc>
        <w:tc>
          <w:tcPr>
            <w:tcW w:type="dxa" w:w="2538"/>
          </w:tcPr>
          <w:p>
            <w:pPr>
              <w:spacing w:after="0" w:line="252" w:lineRule="auto"/>
            </w:pPr>
            <w:r>
              <w:rPr>
                <w:sz w:val="17"/>
              </w:rPr>
              <w:t>F-06 (guard), F-07 (guard)</w:t>
            </w:r>
          </w:p>
        </w:tc>
        <w:tc>
          <w:tcPr>
            <w:tcW w:type="dxa" w:w="3602"/>
          </w:tcPr>
          <w:p>
            <w:pPr>
              <w:spacing w:after="0" w:line="252" w:lineRule="auto"/>
            </w:pPr>
            <w:r>
              <w:rPr>
                <w:sz w:val="17"/>
              </w:rPr>
              <w:t>Verified (code + stored data)</w:t>
            </w:r>
          </w:p>
        </w:tc>
      </w:tr>
      <w:tr>
        <w:trPr>
          <w:cantSplit/>
        </w:trPr>
        <w:tc>
          <w:tcPr>
            <w:tcW w:type="dxa" w:w="8884"/>
            <w:shd w:val="clear" w:color="auto" w:fill="F9FAFB"/>
          </w:tcPr>
          <w:p>
            <w:pPr>
              <w:spacing w:after="0" w:line="252" w:lineRule="auto"/>
            </w:pPr>
            <w:r>
              <w:rPr>
                <w:sz w:val="17"/>
              </w:rPr>
              <w:t>Smart interpreter "recognised-but-not-applied" guard and the ten verified mis-readings</w:t>
            </w:r>
          </w:p>
        </w:tc>
        <w:tc>
          <w:tcPr>
            <w:tcW w:type="dxa" w:w="2538"/>
            <w:shd w:val="clear" w:color="auto" w:fill="F9FAFB"/>
          </w:tcPr>
          <w:p>
            <w:pPr>
              <w:spacing w:after="0" w:line="252" w:lineRule="auto"/>
            </w:pPr>
            <w:r>
              <w:rPr>
                <w:sz w:val="17"/>
              </w:rPr>
              <w:t>F-05</w:t>
            </w:r>
          </w:p>
        </w:tc>
        <w:tc>
          <w:tcPr>
            <w:tcW w:type="dxa" w:w="3602"/>
            <w:shd w:val="clear" w:color="auto" w:fill="F9FAFB"/>
          </w:tcPr>
          <w:p>
            <w:pPr>
              <w:spacing w:after="0" w:line="252" w:lineRule="auto"/>
            </w:pPr>
            <w:r>
              <w:rPr>
                <w:sz w:val="17"/>
              </w:rPr>
              <w:t>Verified (function output + UI)</w:t>
            </w:r>
          </w:p>
        </w:tc>
      </w:tr>
      <w:tr>
        <w:trPr>
          <w:cantSplit/>
        </w:trPr>
        <w:tc>
          <w:tcPr>
            <w:tcW w:type="dxa" w:w="8884"/>
          </w:tcPr>
          <w:p>
            <w:pPr>
              <w:spacing w:after="0" w:line="252" w:lineRule="auto"/>
            </w:pPr>
            <w:r>
              <w:rPr>
                <w:sz w:val="17"/>
              </w:rPr>
              <w:t xml:space="preserve">Sanad </w:t>
            </w:r>
            <w:r>
              <w:rPr>
                <w:sz w:val="17"/>
                <w:rtl/>
                <w:rFonts w:cs="Arial"/>
                <w:szCs w:val="17"/>
              </w:rPr>
              <w:t>‫«فتح»‬</w:t>
            </w:r>
            <w:r>
              <w:rPr>
                <w:sz w:val="17"/>
              </w:rPr>
              <w:t xml:space="preserve"> contrast, danger/success text tokens, focus ring, target size, </w:t>
            </w:r>
            <w:r>
              <w:rPr>
                <w:rFonts w:ascii="Consolas" w:hAnsi="Consolas" w:cs="Consolas"/>
                <w:color w:val="B42318"/>
                <w:sz w:val="16"/>
              </w:rPr>
              <w:t>h1</w:t>
            </w:r>
            <w:r>
              <w:rPr>
                <w:sz w:val="17"/>
              </w:rPr>
              <w:t xml:space="preserve"> and landmarks</w:t>
            </w:r>
          </w:p>
        </w:tc>
        <w:tc>
          <w:tcPr>
            <w:tcW w:type="dxa" w:w="2538"/>
          </w:tcPr>
          <w:p>
            <w:pPr>
              <w:spacing w:after="0" w:line="252" w:lineRule="auto"/>
            </w:pPr>
            <w:r>
              <w:rPr>
                <w:sz w:val="17"/>
              </w:rPr>
              <w:t>G-06, G-07, G-08, G-17</w:t>
            </w:r>
          </w:p>
        </w:tc>
        <w:tc>
          <w:tcPr>
            <w:tcW w:type="dxa" w:w="3602"/>
          </w:tcPr>
          <w:p>
            <w:pPr>
              <w:spacing w:after="0" w:line="252" w:lineRule="auto"/>
            </w:pPr>
            <w:r>
              <w:rPr>
                <w:sz w:val="17"/>
              </w:rPr>
              <w:t>Verified (UI + script)</w:t>
            </w:r>
          </w:p>
        </w:tc>
      </w:tr>
      <w:tr>
        <w:trPr>
          <w:cantSplit/>
        </w:trPr>
        <w:tc>
          <w:tcPr>
            <w:tcW w:type="dxa" w:w="8884"/>
            <w:shd w:val="clear" w:color="auto" w:fill="F9FAFB"/>
          </w:tcPr>
          <w:p>
            <w:pPr>
              <w:spacing w:after="0" w:line="252" w:lineRule="auto"/>
            </w:pPr>
            <w:r>
              <w:rPr>
                <w:sz w:val="17"/>
              </w:rPr>
              <w:t>Tokens, one font family (decided), type scale, spacing, DGA palette only (decided), light theme lock (decided), icon component</w:t>
            </w:r>
          </w:p>
        </w:tc>
        <w:tc>
          <w:tcPr>
            <w:tcW w:type="dxa" w:w="2538"/>
            <w:shd w:val="clear" w:color="auto" w:fill="F9FAFB"/>
          </w:tcPr>
          <w:p>
            <w:pPr>
              <w:spacing w:after="0" w:line="252" w:lineRule="auto"/>
            </w:pPr>
            <w:r>
              <w:rPr>
                <w:sz w:val="17"/>
              </w:rPr>
              <w:t>G-02–G-05, G-09–G-11, G-24</w:t>
            </w:r>
          </w:p>
        </w:tc>
        <w:tc>
          <w:tcPr>
            <w:tcW w:type="dxa" w:w="3602"/>
            <w:shd w:val="clear" w:color="auto" w:fill="F9FAFB"/>
          </w:tcPr>
          <w:p>
            <w:pPr>
              <w:spacing w:after="0" w:line="252" w:lineRule="auto"/>
            </w:pPr>
            <w:r>
              <w:rPr>
                <w:sz w:val="17"/>
              </w:rPr>
              <w:t>specified by DGA + your decisions</w:t>
            </w:r>
          </w:p>
        </w:tc>
      </w:tr>
      <w:tr>
        <w:trPr>
          <w:cantSplit/>
        </w:trPr>
        <w:tc>
          <w:tcPr>
            <w:tcW w:type="dxa" w:w="8884"/>
          </w:tcPr>
          <w:p>
            <w:pPr>
              <w:spacing w:after="0" w:line="252" w:lineRule="auto"/>
            </w:pPr>
            <w:r>
              <w:rPr>
                <w:sz w:val="17"/>
              </w:rPr>
              <w:t>Content: remove codes/keys/ids/jargon, one disclaimer, expandable details, hierarchy order</w:t>
            </w:r>
          </w:p>
        </w:tc>
        <w:tc>
          <w:tcPr>
            <w:tcW w:type="dxa" w:w="2538"/>
          </w:tcPr>
          <w:p>
            <w:pPr>
              <w:spacing w:after="0" w:line="252" w:lineRule="auto"/>
            </w:pPr>
            <w:r>
              <w:rPr>
                <w:sz w:val="17"/>
              </w:rPr>
              <w:t>C-02…C-10, H-</w:t>
            </w:r>
          </w:p>
        </w:tc>
        <w:tc>
          <w:tcPr>
            <w:tcW w:type="dxa" w:w="3602"/>
          </w:tcPr>
          <w:p>
            <w:pPr>
              <w:spacing w:after="0" w:line="252" w:lineRule="auto"/>
            </w:pPr>
            <w:r>
              <w:rPr>
                <w:sz w:val="17"/>
              </w:rPr>
              <w:t>Verified (UI)</w:t>
            </w:r>
          </w:p>
        </w:tc>
      </w:tr>
      <w:tr>
        <w:trPr>
          <w:cantSplit/>
        </w:trPr>
        <w:tc>
          <w:tcPr>
            <w:tcW w:type="dxa" w:w="8884"/>
            <w:shd w:val="clear" w:color="auto" w:fill="F9FAFB"/>
          </w:tcPr>
          <w:p>
            <w:pPr>
              <w:spacing w:after="0" w:line="252" w:lineRule="auto"/>
            </w:pPr>
            <w:r>
              <w:rPr>
                <w:sz w:val="17"/>
              </w:rPr>
              <w:t xml:space="preserve">English Amanah names in Arabic tables, </w:t>
            </w:r>
            <w:r>
              <w:rPr>
                <w:rFonts w:ascii="Consolas" w:hAnsi="Consolas" w:cs="Consolas"/>
                <w:color w:val="B42318"/>
                <w:sz w:val="16"/>
              </w:rPr>
              <w:t>bdi</w:t>
            </w:r>
            <w:r>
              <w:rPr>
                <w:sz w:val="17"/>
              </w:rPr>
              <w:t xml:space="preserve"> for embedded numbers</w:t>
            </w:r>
          </w:p>
        </w:tc>
        <w:tc>
          <w:tcPr>
            <w:tcW w:type="dxa" w:w="2538"/>
            <w:shd w:val="clear" w:color="auto" w:fill="F9FAFB"/>
          </w:tcPr>
          <w:p>
            <w:pPr>
              <w:spacing w:after="0" w:line="252" w:lineRule="auto"/>
            </w:pPr>
            <w:r>
              <w:rPr>
                <w:sz w:val="17"/>
              </w:rPr>
              <w:t>G-20</w:t>
            </w:r>
          </w:p>
        </w:tc>
        <w:tc>
          <w:tcPr>
            <w:tcW w:type="dxa" w:w="3602"/>
            <w:shd w:val="clear" w:color="auto" w:fill="F9FAFB"/>
          </w:tcPr>
          <w:p>
            <w:pPr>
              <w:spacing w:after="0" w:line="252" w:lineRule="auto"/>
            </w:pPr>
            <w:r>
              <w:rPr>
                <w:sz w:val="17"/>
              </w:rPr>
              <w:t>Verified (UI)</w:t>
            </w:r>
          </w:p>
        </w:tc>
      </w:tr>
      <w:tr>
        <w:trPr>
          <w:cantSplit/>
        </w:trPr>
        <w:tc>
          <w:tcPr>
            <w:tcW w:type="dxa" w:w="8884"/>
          </w:tcPr>
          <w:p>
            <w:pPr>
              <w:spacing w:after="0" w:line="252" w:lineRule="auto"/>
            </w:pPr>
            <w:r>
              <w:rPr>
                <w:sz w:val="17"/>
              </w:rPr>
              <w:t>Municipality duplicate-row labels</w:t>
            </w:r>
          </w:p>
        </w:tc>
        <w:tc>
          <w:tcPr>
            <w:tcW w:type="dxa" w:w="2538"/>
          </w:tcPr>
          <w:p>
            <w:pPr>
              <w:spacing w:after="0" w:line="252" w:lineRule="auto"/>
            </w:pPr>
            <w:r>
              <w:rPr>
                <w:sz w:val="17"/>
              </w:rPr>
              <w:t>F-22</w:t>
            </w:r>
          </w:p>
        </w:tc>
        <w:tc>
          <w:tcPr>
            <w:tcW w:type="dxa" w:w="3602"/>
          </w:tcPr>
          <w:p>
            <w:pPr>
              <w:spacing w:after="0" w:line="252" w:lineRule="auto"/>
            </w:pPr>
            <w:r>
              <w:rPr>
                <w:sz w:val="17"/>
              </w:rPr>
              <w:t>Verified (UI)</w:t>
            </w:r>
          </w:p>
        </w:tc>
      </w:tr>
    </w:tbl>
    <w:p>
      <w:pPr>
        <w:spacing w:after="40"/>
      </w:pPr>
    </w:p>
    <w:p>
      <w:pPr>
        <w:pStyle w:val="Heading3"/>
      </w:pPr>
      <w:r>
        <w:t>28.2 Group B — requires a financial definition or approval-policy decision</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3791"/>
        <w:gridCol w:w="4232"/>
        <w:gridCol w:w="7001"/>
      </w:tblGrid>
      <w:tr>
        <w:trPr>
          <w:tblHeader w:val="true"/>
          <w:cantSplit/>
        </w:trPr>
        <w:tc>
          <w:tcPr>
            <w:tcW w:type="dxa" w:w="3791"/>
            <w:shd w:val="clear" w:color="auto" w:fill="1B8354"/>
          </w:tcPr>
          <w:p>
            <w:pPr>
              <w:spacing w:after="0" w:line="252" w:lineRule="auto"/>
            </w:pPr>
            <w:r>
              <w:rPr>
                <w:b/>
                <w:color w:val="FFFFFF"/>
                <w:sz w:val="17"/>
              </w:rPr>
              <w:t>Decision</w:t>
            </w:r>
          </w:p>
        </w:tc>
        <w:tc>
          <w:tcPr>
            <w:tcW w:type="dxa" w:w="4232"/>
            <w:shd w:val="clear" w:color="auto" w:fill="1B8354"/>
          </w:tcPr>
          <w:p>
            <w:pPr>
              <w:spacing w:after="0" w:line="252" w:lineRule="auto"/>
            </w:pPr>
            <w:r>
              <w:rPr>
                <w:b/>
                <w:color w:val="FFFFFF"/>
                <w:sz w:val="17"/>
              </w:rPr>
              <w:t>Blocks only</w:t>
            </w:r>
          </w:p>
        </w:tc>
        <w:tc>
          <w:tcPr>
            <w:tcW w:type="dxa" w:w="7001"/>
            <w:shd w:val="clear" w:color="auto" w:fill="1B8354"/>
          </w:tcPr>
          <w:p>
            <w:pPr>
              <w:spacing w:after="0" w:line="252" w:lineRule="auto"/>
            </w:pPr>
            <w:r>
              <w:rPr>
                <w:b/>
                <w:color w:val="FFFFFF"/>
                <w:sz w:val="17"/>
              </w:rPr>
              <w:t>Everything else proceeds with a labelled default</w:t>
            </w:r>
          </w:p>
        </w:tc>
      </w:tr>
      <w:tr>
        <w:trPr>
          <w:cantSplit/>
        </w:trPr>
        <w:tc>
          <w:tcPr>
            <w:tcW w:type="dxa" w:w="3791"/>
          </w:tcPr>
          <w:p>
            <w:pPr>
              <w:spacing w:after="0" w:line="252" w:lineRule="auto"/>
            </w:pPr>
            <w:r>
              <w:rPr>
                <w:b/>
                <w:sz w:val="17"/>
              </w:rPr>
              <w:t>EQ1</w:t>
            </w:r>
            <w:r>
              <w:rPr>
                <w:sz w:val="17"/>
              </w:rPr>
              <w:t xml:space="preserve"> as-of basis for closed periods</w:t>
            </w:r>
          </w:p>
        </w:tc>
        <w:tc>
          <w:tcPr>
            <w:tcW w:type="dxa" w:w="4232"/>
          </w:tcPr>
          <w:p>
            <w:pPr>
              <w:spacing w:after="0" w:line="252" w:lineRule="auto"/>
            </w:pPr>
            <w:r>
              <w:rPr>
                <w:sz w:val="17"/>
              </w:rPr>
              <w:t xml:space="preserve">the </w:t>
            </w:r>
            <w:r>
              <w:rPr>
                <w:i/>
                <w:sz w:val="17"/>
              </w:rPr>
              <w:t>default</w:t>
            </w:r>
            <w:r>
              <w:rPr>
                <w:sz w:val="17"/>
              </w:rPr>
              <w:t xml:space="preserve"> shown in the headline</w:t>
            </w:r>
          </w:p>
        </w:tc>
        <w:tc>
          <w:tcPr>
            <w:tcW w:type="dxa" w:w="7001"/>
          </w:tcPr>
          <w:p>
            <w:pPr>
              <w:spacing w:after="0" w:line="252" w:lineRule="auto"/>
            </w:pPr>
            <w:r>
              <w:rPr>
                <w:sz w:val="17"/>
              </w:rPr>
              <w:t>the module, the switch, the visible basis line</w:t>
            </w:r>
          </w:p>
        </w:tc>
      </w:tr>
      <w:tr>
        <w:trPr>
          <w:cantSplit/>
        </w:trPr>
        <w:tc>
          <w:tcPr>
            <w:tcW w:type="dxa" w:w="3791"/>
            <w:shd w:val="clear" w:color="auto" w:fill="F9FAFB"/>
          </w:tcPr>
          <w:p>
            <w:pPr>
              <w:spacing w:after="0" w:line="252" w:lineRule="auto"/>
            </w:pPr>
            <w:r>
              <w:rPr>
                <w:b/>
                <w:sz w:val="17"/>
              </w:rPr>
              <w:t>EQ2</w:t>
            </w:r>
            <w:r>
              <w:rPr>
                <w:sz w:val="17"/>
              </w:rPr>
              <w:t xml:space="preserve"> grace-period policy</w:t>
            </w:r>
          </w:p>
        </w:tc>
        <w:tc>
          <w:tcPr>
            <w:tcW w:type="dxa" w:w="4232"/>
            <w:shd w:val="clear" w:color="auto" w:fill="F9FAFB"/>
          </w:tcPr>
          <w:p>
            <w:pPr>
              <w:spacing w:after="0" w:line="252" w:lineRule="auto"/>
            </w:pPr>
            <w:r>
              <w:rPr>
                <w:sz w:val="17"/>
              </w:rPr>
              <w:t>the numbers of overdue/aging and ratios after grace</w:t>
            </w:r>
          </w:p>
        </w:tc>
        <w:tc>
          <w:tcPr>
            <w:tcW w:type="dxa" w:w="7001"/>
            <w:shd w:val="clear" w:color="auto" w:fill="F9FAFB"/>
          </w:tcPr>
          <w:p>
            <w:pPr>
              <w:spacing w:after="0" w:line="252" w:lineRule="auto"/>
            </w:pPr>
            <w:r>
              <w:rPr>
                <w:sz w:val="17"/>
              </w:rPr>
              <w:t xml:space="preserve">a grace parameter shown on every figure; value 0 is displayed as </w:t>
            </w:r>
            <w:r>
              <w:rPr>
                <w:sz w:val="17"/>
                <w:rtl/>
                <w:rFonts w:cs="Arial"/>
                <w:szCs w:val="17"/>
              </w:rPr>
              <w:t>‫«بدون فترة سماح»‬</w:t>
            </w:r>
            <w:r>
              <w:rPr>
                <w:sz w:val="17"/>
              </w:rPr>
              <w:t xml:space="preserve"> until decided</w:t>
            </w:r>
          </w:p>
        </w:tc>
      </w:tr>
      <w:tr>
        <w:trPr>
          <w:cantSplit/>
        </w:trPr>
        <w:tc>
          <w:tcPr>
            <w:tcW w:type="dxa" w:w="3791"/>
          </w:tcPr>
          <w:p>
            <w:pPr>
              <w:spacing w:after="0" w:line="252" w:lineRule="auto"/>
            </w:pPr>
            <w:r>
              <w:rPr>
                <w:b/>
                <w:sz w:val="17"/>
              </w:rPr>
              <w:t>EQ3</w:t>
            </w:r>
            <w:r>
              <w:rPr>
                <w:sz w:val="17"/>
              </w:rPr>
              <w:t xml:space="preserve"> meaning of "approved" exclusions</w:t>
            </w:r>
          </w:p>
        </w:tc>
        <w:tc>
          <w:tcPr>
            <w:tcW w:type="dxa" w:w="4232"/>
          </w:tcPr>
          <w:p>
            <w:pPr>
              <w:spacing w:after="0" w:line="252" w:lineRule="auto"/>
            </w:pPr>
            <w:r>
              <w:rPr>
                <w:sz w:val="17"/>
              </w:rPr>
              <w:t>whether unapproved-rule exclusions reduce headline net</w:t>
            </w:r>
          </w:p>
        </w:tc>
        <w:tc>
          <w:tcPr>
            <w:tcW w:type="dxa" w:w="7001"/>
          </w:tcPr>
          <w:p>
            <w:pPr>
              <w:spacing w:after="0" w:line="252" w:lineRule="auto"/>
            </w:pPr>
            <w:r>
              <w:rPr>
                <w:sz w:val="17"/>
              </w:rPr>
              <w:t xml:space="preserve">relabel + separate band </w:t>
            </w:r>
            <w:r>
              <w:rPr>
                <w:sz w:val="17"/>
                <w:rtl/>
                <w:rFonts w:cs="Arial"/>
                <w:szCs w:val="17"/>
              </w:rPr>
              <w:t>‫«منها بقواعد غير معتمدة»‬</w:t>
            </w:r>
          </w:p>
        </w:tc>
      </w:tr>
      <w:tr>
        <w:trPr>
          <w:cantSplit/>
        </w:trPr>
        <w:tc>
          <w:tcPr>
            <w:tcW w:type="dxa" w:w="3791"/>
            <w:shd w:val="clear" w:color="auto" w:fill="F9FAFB"/>
          </w:tcPr>
          <w:p>
            <w:pPr>
              <w:spacing w:after="0" w:line="252" w:lineRule="auto"/>
            </w:pPr>
            <w:r>
              <w:rPr>
                <w:b/>
                <w:sz w:val="17"/>
              </w:rPr>
              <w:t>EQ4</w:t>
            </w:r>
            <w:r>
              <w:rPr>
                <w:sz w:val="17"/>
              </w:rPr>
              <w:t xml:space="preserve"> plan anchoring and approval authority</w:t>
            </w:r>
          </w:p>
        </w:tc>
        <w:tc>
          <w:tcPr>
            <w:tcW w:type="dxa" w:w="4232"/>
            <w:shd w:val="clear" w:color="auto" w:fill="F9FAFB"/>
          </w:tcPr>
          <w:p>
            <w:pPr>
              <w:spacing w:after="0" w:line="252" w:lineRule="auto"/>
            </w:pPr>
            <w:r>
              <w:rPr>
                <w:sz w:val="17"/>
              </w:rPr>
              <w:t>role model</w:t>
            </w:r>
          </w:p>
        </w:tc>
        <w:tc>
          <w:tcPr>
            <w:tcW w:type="dxa" w:w="7001"/>
            <w:shd w:val="clear" w:color="auto" w:fill="F9FAFB"/>
          </w:tcPr>
          <w:p>
            <w:pPr>
              <w:spacing w:after="0" w:line="252" w:lineRule="auto"/>
            </w:pPr>
            <w:r>
              <w:rPr>
                <w:sz w:val="17"/>
              </w:rPr>
              <w:t>binding to plan scope, banner, versions, proposed ≠ approved</w:t>
            </w:r>
          </w:p>
        </w:tc>
      </w:tr>
      <w:tr>
        <w:trPr>
          <w:cantSplit/>
        </w:trPr>
        <w:tc>
          <w:tcPr>
            <w:tcW w:type="dxa" w:w="3791"/>
          </w:tcPr>
          <w:p>
            <w:pPr>
              <w:spacing w:after="0" w:line="252" w:lineRule="auto"/>
            </w:pPr>
            <w:r>
              <w:rPr>
                <w:b/>
                <w:sz w:val="17"/>
              </w:rPr>
              <w:t>EQ5</w:t>
            </w:r>
            <w:r>
              <w:rPr>
                <w:sz w:val="17"/>
              </w:rPr>
              <w:t xml:space="preserve"> coverage definition</w:t>
            </w:r>
          </w:p>
        </w:tc>
        <w:tc>
          <w:tcPr>
            <w:tcW w:type="dxa" w:w="4232"/>
          </w:tcPr>
          <w:p>
            <w:pPr>
              <w:spacing w:after="0" w:line="252" w:lineRule="auto"/>
            </w:pPr>
            <w:r>
              <w:rPr>
                <w:sz w:val="17"/>
              </w:rPr>
              <w:t>the primary coverage tile</w:t>
            </w:r>
          </w:p>
        </w:tc>
        <w:tc>
          <w:tcPr>
            <w:tcW w:type="dxa" w:w="7001"/>
          </w:tcPr>
          <w:p>
            <w:pPr>
              <w:spacing w:after="0" w:line="252" w:lineRule="auto"/>
            </w:pPr>
            <w:r>
              <w:rPr>
                <w:sz w:val="17"/>
              </w:rPr>
              <w:t>both definitions available, labelled</w:t>
            </w:r>
          </w:p>
        </w:tc>
      </w:tr>
      <w:tr>
        <w:trPr>
          <w:cantSplit/>
        </w:trPr>
        <w:tc>
          <w:tcPr>
            <w:tcW w:type="dxa" w:w="3791"/>
            <w:shd w:val="clear" w:color="auto" w:fill="F9FAFB"/>
          </w:tcPr>
          <w:p>
            <w:pPr>
              <w:spacing w:after="0" w:line="252" w:lineRule="auto"/>
            </w:pPr>
            <w:r>
              <w:rPr>
                <w:b/>
                <w:sz w:val="17"/>
              </w:rPr>
              <w:t>EQ6</w:t>
            </w:r>
            <w:r>
              <w:rPr>
                <w:sz w:val="17"/>
              </w:rPr>
              <w:t xml:space="preserve"> fiscal year and targets</w:t>
            </w:r>
          </w:p>
        </w:tc>
        <w:tc>
          <w:tcPr>
            <w:tcW w:type="dxa" w:w="4232"/>
            <w:shd w:val="clear" w:color="auto" w:fill="F9FAFB"/>
          </w:tcPr>
          <w:p>
            <w:pPr>
              <w:spacing w:after="0" w:line="252" w:lineRule="auto"/>
            </w:pPr>
            <w:r>
              <w:rPr>
                <w:sz w:val="17"/>
              </w:rPr>
              <w:t>target ownership/approval fields</w:t>
            </w:r>
          </w:p>
        </w:tc>
        <w:tc>
          <w:tcPr>
            <w:tcW w:type="dxa" w:w="7001"/>
            <w:shd w:val="clear" w:color="auto" w:fill="F9FAFB"/>
          </w:tcPr>
          <w:p>
            <w:pPr>
              <w:spacing w:after="0" w:line="252" w:lineRule="auto"/>
            </w:pPr>
            <w:r>
              <w:rPr>
                <w:sz w:val="17"/>
              </w:rPr>
              <w:t>targets stored with source and "approval: unknown"</w:t>
            </w:r>
          </w:p>
        </w:tc>
      </w:tr>
      <w:tr>
        <w:trPr>
          <w:cantSplit/>
        </w:trPr>
        <w:tc>
          <w:tcPr>
            <w:tcW w:type="dxa" w:w="3791"/>
          </w:tcPr>
          <w:p>
            <w:pPr>
              <w:spacing w:after="0" w:line="252" w:lineRule="auto"/>
            </w:pPr>
            <w:r>
              <w:rPr>
                <w:b/>
                <w:sz w:val="17"/>
              </w:rPr>
              <w:t>EQ7</w:t>
            </w:r>
            <w:r>
              <w:rPr>
                <w:sz w:val="17"/>
              </w:rPr>
              <w:t xml:space="preserve"> presets / </w:t>
            </w:r>
            <w:r>
              <w:rPr>
                <w:sz w:val="17"/>
                <w:rtl/>
                <w:rFonts w:cs="Arial"/>
                <w:szCs w:val="17"/>
              </w:rPr>
              <w:t>‫«آخر 3 أشهر»‬</w:t>
            </w:r>
          </w:p>
        </w:tc>
        <w:tc>
          <w:tcPr>
            <w:tcW w:type="dxa" w:w="4232"/>
          </w:tcPr>
          <w:p>
            <w:pPr>
              <w:spacing w:after="0" w:line="252" w:lineRule="auto"/>
            </w:pPr>
            <w:r>
              <w:rPr>
                <w:sz w:val="17"/>
              </w:rPr>
              <w:t>the label of one preset</w:t>
            </w:r>
          </w:p>
        </w:tc>
        <w:tc>
          <w:tcPr>
            <w:tcW w:type="dxa" w:w="7001"/>
          </w:tcPr>
          <w:p>
            <w:pPr>
              <w:spacing w:after="0" w:line="252" w:lineRule="auto"/>
            </w:pPr>
            <w:r>
              <w:rPr>
                <w:sz w:val="17"/>
              </w:rPr>
              <w:t>preset registry (table-driven)</w:t>
            </w:r>
          </w:p>
        </w:tc>
      </w:tr>
      <w:tr>
        <w:trPr>
          <w:cantSplit/>
        </w:trPr>
        <w:tc>
          <w:tcPr>
            <w:tcW w:type="dxa" w:w="3791"/>
            <w:shd w:val="clear" w:color="auto" w:fill="F9FAFB"/>
          </w:tcPr>
          <w:p>
            <w:pPr>
              <w:spacing w:after="0" w:line="252" w:lineRule="auto"/>
            </w:pPr>
            <w:r>
              <w:rPr>
                <w:b/>
                <w:sz w:val="17"/>
              </w:rPr>
              <w:t>EQ8</w:t>
            </w:r>
            <w:r>
              <w:rPr>
                <w:sz w:val="17"/>
              </w:rPr>
              <w:t xml:space="preserve"> Smart-report scope and sync</w:t>
            </w:r>
          </w:p>
        </w:tc>
        <w:tc>
          <w:tcPr>
            <w:tcW w:type="dxa" w:w="4232"/>
            <w:shd w:val="clear" w:color="auto" w:fill="F9FAFB"/>
          </w:tcPr>
          <w:p>
            <w:pPr>
              <w:spacing w:after="0" w:line="252" w:lineRule="auto"/>
            </w:pPr>
            <w:r>
              <w:rPr>
                <w:sz w:val="17"/>
              </w:rPr>
              <w:t>sync default</w:t>
            </w:r>
          </w:p>
        </w:tc>
        <w:tc>
          <w:tcPr>
            <w:tcW w:type="dxa" w:w="7001"/>
            <w:shd w:val="clear" w:color="auto" w:fill="F9FAFB"/>
          </w:tcPr>
          <w:p>
            <w:pPr>
              <w:spacing w:after="0" w:line="252" w:lineRule="auto"/>
            </w:pPr>
            <w:r>
              <w:rPr>
                <w:sz w:val="17"/>
              </w:rPr>
              <w:t>explicit control; budget requests redirected</w:t>
            </w:r>
          </w:p>
        </w:tc>
      </w:tr>
      <w:tr>
        <w:trPr>
          <w:cantSplit/>
        </w:trPr>
        <w:tc>
          <w:tcPr>
            <w:tcW w:type="dxa" w:w="3791"/>
          </w:tcPr>
          <w:p>
            <w:pPr>
              <w:spacing w:after="0" w:line="252" w:lineRule="auto"/>
            </w:pPr>
            <w:r>
              <w:rPr>
                <w:b/>
                <w:sz w:val="17"/>
              </w:rPr>
              <w:t>EQ9</w:t>
            </w:r>
            <w:r>
              <w:rPr>
                <w:sz w:val="17"/>
              </w:rPr>
              <w:t xml:space="preserve"> which July sections to add</w:t>
            </w:r>
          </w:p>
        </w:tc>
        <w:tc>
          <w:tcPr>
            <w:tcW w:type="dxa" w:w="4232"/>
          </w:tcPr>
          <w:p>
            <w:pPr>
              <w:spacing w:after="0" w:line="252" w:lineRule="auto"/>
            </w:pPr>
            <w:r>
              <w:rPr>
                <w:sz w:val="17"/>
              </w:rPr>
              <w:t>B-13 only</w:t>
            </w:r>
          </w:p>
        </w:tc>
        <w:tc>
          <w:tcPr>
            <w:tcW w:type="dxa" w:w="7001"/>
          </w:tcPr>
          <w:p>
            <w:pPr>
              <w:spacing w:after="0" w:line="252" w:lineRule="auto"/>
            </w:pPr>
            <w:r>
              <w:rPr>
                <w:sz w:val="17"/>
              </w:rPr>
              <w:t>none of the others</w:t>
            </w:r>
          </w:p>
        </w:tc>
      </w:tr>
      <w:tr>
        <w:trPr>
          <w:cantSplit/>
        </w:trPr>
        <w:tc>
          <w:tcPr>
            <w:tcW w:type="dxa" w:w="3791"/>
            <w:shd w:val="clear" w:color="auto" w:fill="F9FAFB"/>
          </w:tcPr>
          <w:p>
            <w:pPr>
              <w:spacing w:after="0" w:line="252" w:lineRule="auto"/>
            </w:pPr>
            <w:r>
              <w:rPr>
                <w:b/>
                <w:sz w:val="17"/>
              </w:rPr>
              <w:t>EQ10</w:t>
            </w:r>
            <w:r>
              <w:rPr>
                <w:sz w:val="17"/>
              </w:rPr>
              <w:t xml:space="preserve"> persistence</w:t>
            </w:r>
          </w:p>
        </w:tc>
        <w:tc>
          <w:tcPr>
            <w:tcW w:type="dxa" w:w="4232"/>
            <w:shd w:val="clear" w:color="auto" w:fill="F9FAFB"/>
          </w:tcPr>
          <w:p>
            <w:pPr>
              <w:spacing w:after="0" w:line="252" w:lineRule="auto"/>
            </w:pPr>
            <w:r>
              <w:rPr>
                <w:sz w:val="17"/>
              </w:rPr>
              <w:t>B-14 only</w:t>
            </w:r>
          </w:p>
        </w:tc>
        <w:tc>
          <w:tcPr>
            <w:tcW w:type="dxa" w:w="7001"/>
            <w:shd w:val="clear" w:color="auto" w:fill="F9FAFB"/>
          </w:tcPr>
          <w:p>
            <w:pPr>
              <w:spacing w:after="0" w:line="252" w:lineRule="auto"/>
            </w:pPr>
            <w:r>
              <w:rPr>
                <w:sz w:val="17"/>
              </w:rPr>
              <w:t>local storage with an export/import of plans</w:t>
            </w:r>
          </w:p>
        </w:tc>
      </w:tr>
    </w:tbl>
    <w:p>
      <w:pPr>
        <w:spacing w:after="40"/>
      </w:pPr>
    </w:p>
    <w:p>
      <w:pPr>
        <w:pStyle w:val="Heading3"/>
      </w:pPr>
      <w:r>
        <w:t>28.3 Group C — depends on official assets or exact specifications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6575"/>
        <w:gridCol w:w="4285"/>
        <w:gridCol w:w="4164"/>
      </w:tblGrid>
      <w:tr>
        <w:trPr>
          <w:tblHeader w:val="true"/>
          <w:cantSplit/>
        </w:trPr>
        <w:tc>
          <w:tcPr>
            <w:tcW w:type="dxa" w:w="6575"/>
            <w:shd w:val="clear" w:color="auto" w:fill="1B8354"/>
          </w:tcPr>
          <w:p>
            <w:pPr>
              <w:spacing w:after="0" w:line="252" w:lineRule="auto"/>
            </w:pPr>
            <w:r>
              <w:rPr>
                <w:b/>
                <w:color w:val="FFFFFF"/>
                <w:sz w:val="17"/>
              </w:rPr>
              <w:t>Needed</w:t>
            </w:r>
          </w:p>
        </w:tc>
        <w:tc>
          <w:tcPr>
            <w:tcW w:type="dxa" w:w="4285"/>
            <w:shd w:val="clear" w:color="auto" w:fill="1B8354"/>
          </w:tcPr>
          <w:p>
            <w:pPr>
              <w:spacing w:after="0" w:line="252" w:lineRule="auto"/>
            </w:pPr>
            <w:r>
              <w:rPr>
                <w:b/>
                <w:color w:val="FFFFFF"/>
                <w:sz w:val="17"/>
              </w:rPr>
              <w:t>Blocks</w:t>
            </w:r>
          </w:p>
        </w:tc>
        <w:tc>
          <w:tcPr>
            <w:tcW w:type="dxa" w:w="4164"/>
            <w:shd w:val="clear" w:color="auto" w:fill="1B8354"/>
          </w:tcPr>
          <w:p>
            <w:pPr>
              <w:spacing w:after="0" w:line="252" w:lineRule="auto"/>
            </w:pPr>
            <w:r>
              <w:rPr>
                <w:b/>
                <w:color w:val="FFFFFF"/>
                <w:sz w:val="17"/>
              </w:rPr>
              <w:t>Proceeds meanwhile</w:t>
            </w:r>
          </w:p>
        </w:tc>
      </w:tr>
      <w:tr>
        <w:trPr>
          <w:cantSplit/>
        </w:trPr>
        <w:tc>
          <w:tcPr>
            <w:tcW w:type="dxa" w:w="6575"/>
          </w:tcPr>
          <w:p>
            <w:pPr>
              <w:spacing w:after="0" w:line="252" w:lineRule="auto"/>
            </w:pPr>
            <w:r>
              <w:rPr>
                <w:sz w:val="17"/>
              </w:rPr>
              <w:t xml:space="preserve">Official </w:t>
            </w:r>
            <w:r>
              <w:rPr>
                <w:b/>
                <w:sz w:val="17"/>
              </w:rPr>
              <w:t>MOMAH logo</w:t>
            </w:r>
            <w:r>
              <w:rPr>
                <w:sz w:val="17"/>
              </w:rPr>
              <w:t xml:space="preserve"> files (vector, versions) and usage rules; confirmation whether the PNG found in the July deck may be used</w:t>
            </w:r>
          </w:p>
        </w:tc>
        <w:tc>
          <w:tcPr>
            <w:tcW w:type="dxa" w:w="4285"/>
          </w:tcPr>
          <w:p>
            <w:pPr>
              <w:spacing w:after="0" w:line="252" w:lineRule="auto"/>
            </w:pPr>
            <w:r>
              <w:rPr>
                <w:sz w:val="17"/>
              </w:rPr>
              <w:t>final header, login, favicon, exports</w:t>
            </w:r>
          </w:p>
        </w:tc>
        <w:tc>
          <w:tcPr>
            <w:tcW w:type="dxa" w:w="4164"/>
          </w:tcPr>
          <w:p>
            <w:pPr>
              <w:spacing w:after="0" w:line="252" w:lineRule="auto"/>
            </w:pPr>
            <w:r>
              <w:rPr>
                <w:sz w:val="17"/>
              </w:rPr>
              <w:t>a logo slot with the product name (unchanged)</w:t>
            </w:r>
          </w:p>
        </w:tc>
      </w:tr>
      <w:tr>
        <w:trPr>
          <w:cantSplit/>
        </w:trPr>
        <w:tc>
          <w:tcPr>
            <w:tcW w:type="dxa" w:w="6575"/>
            <w:shd w:val="clear" w:color="auto" w:fill="F9FAFB"/>
          </w:tcPr>
          <w:p>
            <w:pPr>
              <w:spacing w:after="0" w:line="252" w:lineRule="auto"/>
            </w:pPr>
            <w:r>
              <w:rPr>
                <w:sz w:val="17"/>
              </w:rPr>
              <w:t xml:space="preserve">DGA </w:t>
            </w:r>
            <w:r>
              <w:rPr>
                <w:b/>
                <w:sz w:val="17"/>
              </w:rPr>
              <w:t>Figma Components Library / Foundations</w:t>
            </w:r>
            <w:r>
              <w:rPr>
                <w:sz w:val="17"/>
              </w:rPr>
              <w:t xml:space="preserve"> values (heights, radii, states), elevation, chart colours (lavender/gold hex), Info 50 value</w:t>
            </w:r>
          </w:p>
        </w:tc>
        <w:tc>
          <w:tcPr>
            <w:tcW w:type="dxa" w:w="4285"/>
            <w:shd w:val="clear" w:color="auto" w:fill="F9FAFB"/>
          </w:tcPr>
          <w:p>
            <w:pPr>
              <w:spacing w:after="0" w:line="252" w:lineRule="auto"/>
            </w:pPr>
            <w:r>
              <w:rPr>
                <w:sz w:val="17"/>
              </w:rPr>
              <w:t>pixel-level match of date picker, filter, KPI card, table</w:t>
            </w:r>
          </w:p>
        </w:tc>
        <w:tc>
          <w:tcPr>
            <w:tcW w:type="dxa" w:w="4164"/>
            <w:shd w:val="clear" w:color="auto" w:fill="F9FAFB"/>
          </w:tcPr>
          <w:p>
            <w:pPr>
              <w:spacing w:after="0" w:line="252" w:lineRule="auto"/>
            </w:pPr>
            <w:r>
              <w:rPr>
                <w:sz w:val="17"/>
              </w:rPr>
              <w:t>tokens from the published DGA pages and the deck</w:t>
            </w:r>
          </w:p>
        </w:tc>
      </w:tr>
      <w:tr>
        <w:trPr>
          <w:cantSplit/>
        </w:trPr>
        <w:tc>
          <w:tcPr>
            <w:tcW w:type="dxa" w:w="6575"/>
          </w:tcPr>
          <w:p>
            <w:pPr>
              <w:spacing w:after="0" w:line="252" w:lineRule="auto"/>
            </w:pPr>
            <w:r>
              <w:rPr>
                <w:b/>
                <w:sz w:val="17"/>
              </w:rPr>
              <w:t>Hugeicons licence</w:t>
            </w:r>
            <w:r>
              <w:rPr>
                <w:sz w:val="17"/>
              </w:rPr>
              <w:t xml:space="preserve"> (or Pro purchase)</w:t>
            </w:r>
          </w:p>
        </w:tc>
        <w:tc>
          <w:tcPr>
            <w:tcW w:type="dxa" w:w="4285"/>
          </w:tcPr>
          <w:p>
            <w:pPr>
              <w:spacing w:after="0" w:line="252" w:lineRule="auto"/>
            </w:pPr>
            <w:r>
              <w:rPr>
                <w:sz w:val="17"/>
              </w:rPr>
              <w:t>shipping the icon set</w:t>
            </w:r>
          </w:p>
        </w:tc>
        <w:tc>
          <w:tcPr>
            <w:tcW w:type="dxa" w:w="4164"/>
          </w:tcPr>
          <w:p>
            <w:pPr>
              <w:spacing w:after="0" w:line="252" w:lineRule="auto"/>
            </w:pPr>
            <w:r>
              <w:rPr>
                <w:sz w:val="17"/>
              </w:rPr>
              <w:t>the icon component with placeholders</w:t>
            </w:r>
          </w:p>
        </w:tc>
      </w:tr>
      <w:tr>
        <w:trPr>
          <w:cantSplit/>
        </w:trPr>
        <w:tc>
          <w:tcPr>
            <w:tcW w:type="dxa" w:w="6575"/>
            <w:shd w:val="clear" w:color="auto" w:fill="F9FAFB"/>
          </w:tcPr>
          <w:p>
            <w:pPr>
              <w:spacing w:after="0" w:line="252" w:lineRule="auto"/>
            </w:pPr>
            <w:r>
              <w:rPr>
                <w:b/>
                <w:sz w:val="17"/>
              </w:rPr>
              <w:t>Export template</w:t>
            </w:r>
            <w:r>
              <w:rPr>
                <w:sz w:val="17"/>
              </w:rPr>
              <w:t xml:space="preserve"> decision: ministry report template (teal) vs DGA foundation (green), and who supplies it</w:t>
            </w:r>
          </w:p>
        </w:tc>
        <w:tc>
          <w:tcPr>
            <w:tcW w:type="dxa" w:w="4285"/>
            <w:shd w:val="clear" w:color="auto" w:fill="F9FAFB"/>
          </w:tcPr>
          <w:p>
            <w:pPr>
              <w:spacing w:after="0" w:line="252" w:lineRule="auto"/>
            </w:pPr>
            <w:r>
              <w:rPr>
                <w:sz w:val="17"/>
              </w:rPr>
              <w:t>final Word/PowerPoint/Excel look</w:t>
            </w:r>
          </w:p>
        </w:tc>
        <w:tc>
          <w:tcPr>
            <w:tcW w:type="dxa" w:w="4164"/>
            <w:shd w:val="clear" w:color="auto" w:fill="F9FAFB"/>
          </w:tcPr>
          <w:p>
            <w:pPr>
              <w:spacing w:after="0" w:line="252" w:lineRule="auto"/>
            </w:pPr>
            <w:r>
              <w:rPr>
                <w:sz w:val="17"/>
              </w:rPr>
              <w:t>text-only header; parity fixes (Group A)</w:t>
            </w:r>
          </w:p>
        </w:tc>
      </w:tr>
      <w:tr>
        <w:trPr>
          <w:cantSplit/>
        </w:trPr>
        <w:tc>
          <w:tcPr>
            <w:tcW w:type="dxa" w:w="6575"/>
          </w:tcPr>
          <w:p>
            <w:pPr>
              <w:spacing w:after="0" w:line="252" w:lineRule="auto"/>
            </w:pPr>
            <w:r>
              <w:rPr>
                <w:sz w:val="17"/>
              </w:rPr>
              <w:t>Remaining deck slides 3–20 and 32–46</w:t>
            </w:r>
          </w:p>
        </w:tc>
        <w:tc>
          <w:tcPr>
            <w:tcW w:type="dxa" w:w="4285"/>
          </w:tcPr>
          <w:p>
            <w:pPr>
              <w:spacing w:after="0" w:line="252" w:lineRule="auto"/>
            </w:pPr>
            <w:r>
              <w:rPr>
                <w:sz w:val="17"/>
              </w:rPr>
              <w:t>none known</w:t>
            </w:r>
          </w:p>
        </w:tc>
        <w:tc>
          <w:tcPr>
            <w:tcW w:type="dxa" w:w="4164"/>
          </w:tcPr>
          <w:p>
            <w:pPr>
              <w:spacing w:after="0" w:line="252" w:lineRule="auto"/>
            </w:pPr>
            <w:r>
              <w:rPr>
                <w:sz w:val="17"/>
              </w:rPr>
              <w:t>–</w:t>
            </w:r>
          </w:p>
        </w:tc>
      </w:tr>
    </w:tbl>
    <w:p>
      <w:pPr>
        <w:spacing w:after="40"/>
      </w:pPr>
    </w:p>
    <w:p>
      <w:pPr>
        <w:pStyle w:val="Heading2"/>
      </w:pPr>
      <w:r>
        <w:t>29. Essential unresolved business questions (Q1–Q18 reduced to ten)</w:t>
      </w:r>
    </w:p>
    <w:p>
      <w:r>
        <w:t xml:space="preserve">Each question: </w:t>
      </w:r>
      <w:r>
        <w:rPr>
          <w:b/>
        </w:rPr>
        <w:t>affects</w:t>
      </w:r>
      <w:r>
        <w:t xml:space="preserve"> · </w:t>
      </w:r>
      <w:r>
        <w:rPr>
          <w:b/>
        </w:rPr>
        <w:t>recommended option</w:t>
      </w:r>
      <w:r>
        <w:t xml:space="preserve"> · </w:t>
      </w:r>
      <w:r>
        <w:rPr>
          <w:b/>
        </w:rPr>
        <w:t>what proceeds independently</w:t>
      </w:r>
      <w:r>
        <w: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65"/>
        <w:gridCol w:w="3524"/>
        <w:gridCol w:w="3524"/>
        <w:gridCol w:w="3524"/>
        <w:gridCol w:w="3187"/>
      </w:tblGrid>
      <w:tr>
        <w:trPr>
          <w:tblHeader w:val="true"/>
          <w:cantSplit/>
        </w:trPr>
        <w:tc>
          <w:tcPr>
            <w:tcW w:type="dxa" w:w="1265"/>
            <w:shd w:val="clear" w:color="auto" w:fill="1B8354"/>
          </w:tcPr>
          <w:p>
            <w:pPr>
              <w:spacing w:after="0" w:line="252" w:lineRule="auto"/>
            </w:pPr>
            <w:r>
              <w:rPr>
                <w:b/>
                <w:color w:val="FFFFFF"/>
                <w:sz w:val="17"/>
              </w:rPr>
              <w:t>ID</w:t>
            </w:r>
          </w:p>
        </w:tc>
        <w:tc>
          <w:tcPr>
            <w:tcW w:type="dxa" w:w="3524"/>
            <w:shd w:val="clear" w:color="auto" w:fill="1B8354"/>
          </w:tcPr>
          <w:p>
            <w:pPr>
              <w:spacing w:after="0" w:line="252" w:lineRule="auto"/>
            </w:pPr>
            <w:r>
              <w:rPr>
                <w:b/>
                <w:color w:val="FFFFFF"/>
                <w:sz w:val="17"/>
              </w:rPr>
              <w:t>Question</w:t>
            </w:r>
          </w:p>
        </w:tc>
        <w:tc>
          <w:tcPr>
            <w:tcW w:type="dxa" w:w="3524"/>
            <w:shd w:val="clear" w:color="auto" w:fill="1B8354"/>
          </w:tcPr>
          <w:p>
            <w:pPr>
              <w:spacing w:after="0" w:line="252" w:lineRule="auto"/>
            </w:pPr>
            <w:r>
              <w:rPr>
                <w:b/>
                <w:color w:val="FFFFFF"/>
                <w:sz w:val="17"/>
              </w:rPr>
              <w:t>Affected calculation / journey</w:t>
            </w:r>
          </w:p>
        </w:tc>
        <w:tc>
          <w:tcPr>
            <w:tcW w:type="dxa" w:w="3524"/>
            <w:shd w:val="clear" w:color="auto" w:fill="1B8354"/>
          </w:tcPr>
          <w:p>
            <w:pPr>
              <w:spacing w:after="0" w:line="252" w:lineRule="auto"/>
            </w:pPr>
            <w:r>
              <w:rPr>
                <w:b/>
                <w:color w:val="FFFFFF"/>
                <w:sz w:val="17"/>
              </w:rPr>
              <w:t>Recommendation</w:t>
            </w:r>
          </w:p>
        </w:tc>
        <w:tc>
          <w:tcPr>
            <w:tcW w:type="dxa" w:w="3187"/>
            <w:shd w:val="clear" w:color="auto" w:fill="1B8354"/>
          </w:tcPr>
          <w:p>
            <w:pPr>
              <w:spacing w:after="0" w:line="252" w:lineRule="auto"/>
            </w:pPr>
            <w:r>
              <w:rPr>
                <w:b/>
                <w:color w:val="FFFFFF"/>
                <w:sz w:val="17"/>
              </w:rPr>
              <w:t>Proceeds independently</w:t>
            </w:r>
          </w:p>
        </w:tc>
      </w:tr>
      <w:tr>
        <w:trPr>
          <w:cantSplit/>
        </w:trPr>
        <w:tc>
          <w:tcPr>
            <w:tcW w:type="dxa" w:w="1265"/>
          </w:tcPr>
          <w:p>
            <w:pPr>
              <w:spacing w:after="0" w:line="252" w:lineRule="auto"/>
            </w:pPr>
            <w:r>
              <w:rPr>
                <w:b/>
                <w:sz w:val="17"/>
              </w:rPr>
              <w:t>EQ1</w:t>
            </w:r>
            <w:r>
              <w:rPr>
                <w:sz w:val="17"/>
              </w:rPr>
              <w:t xml:space="preserve"> (Q1, Q15)</w:t>
            </w:r>
          </w:p>
        </w:tc>
        <w:tc>
          <w:tcPr>
            <w:tcW w:type="dxa" w:w="3524"/>
          </w:tcPr>
          <w:p>
            <w:pPr>
              <w:spacing w:after="0" w:line="252" w:lineRule="auto"/>
            </w:pPr>
            <w:r>
              <w:rPr>
                <w:sz w:val="17"/>
              </w:rPr>
              <w:t xml:space="preserve">For a </w:t>
            </w:r>
            <w:r>
              <w:rPr>
                <w:b/>
                <w:sz w:val="17"/>
              </w:rPr>
              <w:t>closed</w:t>
            </w:r>
            <w:r>
              <w:rPr>
                <w:sz w:val="17"/>
              </w:rPr>
              <w:t xml:space="preserve"> period (e.g. last month), are collections counted </w:t>
            </w:r>
            <w:r>
              <w:rPr>
                <w:b/>
                <w:sz w:val="17"/>
              </w:rPr>
              <w:t>to the period end</w:t>
            </w:r>
            <w:r>
              <w:rPr>
                <w:sz w:val="17"/>
              </w:rPr>
              <w:t xml:space="preserve"> or </w:t>
            </w:r>
            <w:r>
              <w:rPr>
                <w:b/>
                <w:sz w:val="17"/>
              </w:rPr>
              <w:t>to today</w:t>
            </w:r>
            <w:r>
              <w:rPr>
                <w:sz w:val="17"/>
              </w:rPr>
              <w:t>? And which one does the comparison use?</w:t>
            </w:r>
          </w:p>
        </w:tc>
        <w:tc>
          <w:tcPr>
            <w:tcW w:type="dxa" w:w="3524"/>
          </w:tcPr>
          <w:p>
            <w:pPr>
              <w:spacing w:after="0" w:line="252" w:lineRule="auto"/>
            </w:pPr>
            <w:r>
              <w:rPr>
                <w:sz w:val="17"/>
              </w:rPr>
              <w:t>collected, uncollected, rate and delta on Dashboard, fixed reports, Smart reports, Planning baseline (F-01, D-06)</w:t>
            </w:r>
          </w:p>
        </w:tc>
        <w:tc>
          <w:tcPr>
            <w:tcW w:type="dxa" w:w="3524"/>
          </w:tcPr>
          <w:p>
            <w:pPr>
              <w:spacing w:after="0" w:line="252" w:lineRule="auto"/>
            </w:pPr>
            <w:r>
              <w:rPr>
                <w:b/>
                <w:sz w:val="17"/>
              </w:rPr>
              <w:t>Period end</w:t>
            </w:r>
            <w:r>
              <w:rPr>
                <w:sz w:val="17"/>
              </w:rPr>
              <w:t xml:space="preserve"> as the headline and comparison (like-for-like) with </w:t>
            </w:r>
            <w:r>
              <w:rPr>
                <w:b/>
                <w:sz w:val="17"/>
              </w:rPr>
              <w:t>"to today" as a second labelled figure</w:t>
            </w:r>
            <w:r>
              <w:rPr>
                <w:sz w:val="17"/>
              </w:rPr>
              <w:t>; open periods count to today. The monthly reports do not state their basis, so it cannot be copied from them.</w:t>
            </w:r>
          </w:p>
        </w:tc>
        <w:tc>
          <w:tcPr>
            <w:tcW w:type="dxa" w:w="3187"/>
          </w:tcPr>
          <w:p>
            <w:pPr>
              <w:spacing w:after="0" w:line="252" w:lineRule="auto"/>
            </w:pPr>
            <w:r>
              <w:rPr>
                <w:sz w:val="17"/>
              </w:rPr>
              <w:t>build the shared module and the visible basis switch; keep today's behaviour behind a flag until you decide</w:t>
            </w:r>
          </w:p>
        </w:tc>
      </w:tr>
      <w:tr>
        <w:trPr>
          <w:cantSplit/>
        </w:trPr>
        <w:tc>
          <w:tcPr>
            <w:tcW w:type="dxa" w:w="1265"/>
            <w:shd w:val="clear" w:color="auto" w:fill="F9FAFB"/>
          </w:tcPr>
          <w:p>
            <w:pPr>
              <w:spacing w:after="0" w:line="252" w:lineRule="auto"/>
            </w:pPr>
            <w:r>
              <w:rPr>
                <w:b/>
                <w:sz w:val="17"/>
              </w:rPr>
              <w:t>EQ2</w:t>
            </w:r>
            <w:r>
              <w:rPr>
                <w:sz w:val="17"/>
              </w:rPr>
              <w:t xml:space="preserve"> (new)</w:t>
            </w:r>
          </w:p>
        </w:tc>
        <w:tc>
          <w:tcPr>
            <w:tcW w:type="dxa" w:w="3524"/>
            <w:shd w:val="clear" w:color="auto" w:fill="F9FAFB"/>
          </w:tcPr>
          <w:p>
            <w:pPr>
              <w:spacing w:after="0" w:line="252" w:lineRule="auto"/>
            </w:pPr>
            <w:r>
              <w:rPr>
                <w:sz w:val="17"/>
              </w:rPr>
              <w:t xml:space="preserve">Which </w:t>
            </w:r>
            <w:r>
              <w:rPr>
                <w:b/>
                <w:sz w:val="17"/>
              </w:rPr>
              <w:t>grace period</w:t>
            </w:r>
            <w:r>
              <w:rPr>
                <w:sz w:val="17"/>
              </w:rPr>
              <w:t xml:space="preserve"> applies to (a) collection-rate-vs-target comparison (reports show 15 days in March, 35 in July), (b) overdue/aging, (c) enforcement-referral eligibility (reports state 60 + 30 days)?</w:t>
            </w:r>
          </w:p>
        </w:tc>
        <w:tc>
          <w:tcPr>
            <w:tcW w:type="dxa" w:w="3524"/>
            <w:shd w:val="clear" w:color="auto" w:fill="F9FAFB"/>
          </w:tcPr>
          <w:p>
            <w:pPr>
              <w:spacing w:after="0" w:line="252" w:lineRule="auto"/>
            </w:pPr>
            <w:r>
              <w:rPr>
                <w:sz w:val="17"/>
              </w:rPr>
              <w:t>overdue and aging classification, ratios after grace, referral share (F-32)</w:t>
            </w:r>
          </w:p>
        </w:tc>
        <w:tc>
          <w:tcPr>
            <w:tcW w:type="dxa" w:w="3524"/>
            <w:shd w:val="clear" w:color="auto" w:fill="F9FAFB"/>
          </w:tcPr>
          <w:p>
            <w:pPr>
              <w:spacing w:after="0" w:line="252" w:lineRule="auto"/>
            </w:pPr>
            <w:r>
              <w:rPr>
                <w:sz w:val="17"/>
              </w:rPr>
              <w:t xml:space="preserve">one named parameter per use, each shown on the figure; value and effective dates from the official policy; until then show </w:t>
            </w:r>
            <w:r>
              <w:rPr>
                <w:sz w:val="17"/>
                <w:rtl/>
                <w:rFonts w:cs="Arial"/>
                <w:szCs w:val="17"/>
              </w:rPr>
              <w:t>‫«بدون فترة سماح»‬</w:t>
            </w:r>
          </w:p>
        </w:tc>
        <w:tc>
          <w:tcPr>
            <w:tcW w:type="dxa" w:w="3187"/>
            <w:shd w:val="clear" w:color="auto" w:fill="F9FAFB"/>
          </w:tcPr>
          <w:p>
            <w:pPr>
              <w:spacing w:after="0" w:line="252" w:lineRule="auto"/>
            </w:pPr>
            <w:r>
              <w:rPr>
                <w:sz w:val="17"/>
              </w:rPr>
              <w:t>parameterise and display; no silent default</w:t>
            </w:r>
          </w:p>
        </w:tc>
      </w:tr>
      <w:tr>
        <w:trPr>
          <w:cantSplit/>
        </w:trPr>
        <w:tc>
          <w:tcPr>
            <w:tcW w:type="dxa" w:w="1265"/>
          </w:tcPr>
          <w:p>
            <w:pPr>
              <w:spacing w:after="0" w:line="252" w:lineRule="auto"/>
            </w:pPr>
            <w:r>
              <w:rPr>
                <w:b/>
                <w:sz w:val="17"/>
              </w:rPr>
              <w:t>EQ3</w:t>
            </w:r>
            <w:r>
              <w:rPr>
                <w:sz w:val="17"/>
              </w:rPr>
              <w:t xml:space="preserve"> (Q5)</w:t>
            </w:r>
          </w:p>
        </w:tc>
        <w:tc>
          <w:tcPr>
            <w:tcW w:type="dxa" w:w="3524"/>
          </w:tcPr>
          <w:p>
            <w:pPr>
              <w:spacing w:after="0" w:line="252" w:lineRule="auto"/>
            </w:pPr>
            <w:r>
              <w:rPr>
                <w:sz w:val="17"/>
              </w:rPr>
              <w:t xml:space="preserve">Should exclusions that rest on </w:t>
            </w:r>
            <w:r>
              <w:rPr>
                <w:b/>
                <w:sz w:val="17"/>
              </w:rPr>
              <w:t>unapproved rule definitions</w:t>
            </w:r>
            <w:r>
              <w:rPr>
                <w:sz w:val="17"/>
              </w:rPr>
              <w:t xml:space="preserve"> reduce the headline </w:t>
            </w:r>
            <w:r>
              <w:rPr>
                <w:b/>
                <w:sz w:val="17"/>
              </w:rPr>
              <w:t>net billed</w:t>
            </w:r>
            <w:r>
              <w:rPr>
                <w:sz w:val="17"/>
              </w:rPr>
              <w:t xml:space="preserve"> and rate?</w:t>
            </w:r>
          </w:p>
        </w:tc>
        <w:tc>
          <w:tcPr>
            <w:tcW w:type="dxa" w:w="3524"/>
          </w:tcPr>
          <w:p>
            <w:pPr>
              <w:spacing w:after="0" w:line="252" w:lineRule="auto"/>
            </w:pPr>
            <w:r>
              <w:rPr>
                <w:sz w:val="17"/>
              </w:rPr>
              <w:t>net billed, collection rate, exclusion rate, status labels (F-08)</w:t>
            </w:r>
          </w:p>
        </w:tc>
        <w:tc>
          <w:tcPr>
            <w:tcW w:type="dxa" w:w="3524"/>
          </w:tcPr>
          <w:p>
            <w:pPr>
              <w:spacing w:after="0" w:line="252" w:lineRule="auto"/>
            </w:pPr>
            <w:r>
              <w:rPr>
                <w:sz w:val="17"/>
              </w:rPr>
              <w:t xml:space="preserve">keep the current calculation but show a visible band </w:t>
            </w:r>
            <w:r>
              <w:rPr>
                <w:b/>
                <w:sz w:val="17"/>
                <w:rtl/>
                <w:rFonts w:cs="Arial"/>
                <w:szCs w:val="17"/>
                <w:bCs/>
              </w:rPr>
              <w:t>‫«منها استبعادات بقواعد غير معتمدة»‬</w:t>
            </w:r>
            <w:r>
              <w:rPr>
                <w:sz w:val="17"/>
              </w:rPr>
              <w:t xml:space="preserve"> and rename labels; decide treatment once the rules are approved</w:t>
            </w:r>
          </w:p>
        </w:tc>
        <w:tc>
          <w:tcPr>
            <w:tcW w:type="dxa" w:w="3187"/>
          </w:tcPr>
          <w:p>
            <w:pPr>
              <w:spacing w:after="0" w:line="252" w:lineRule="auto"/>
            </w:pPr>
            <w:r>
              <w:rPr>
                <w:sz w:val="17"/>
              </w:rPr>
              <w:t>relabel and band</w:t>
            </w:r>
          </w:p>
        </w:tc>
      </w:tr>
      <w:tr>
        <w:trPr>
          <w:cantSplit/>
        </w:trPr>
        <w:tc>
          <w:tcPr>
            <w:tcW w:type="dxa" w:w="1265"/>
            <w:shd w:val="clear" w:color="auto" w:fill="F9FAFB"/>
          </w:tcPr>
          <w:p>
            <w:pPr>
              <w:spacing w:after="0" w:line="252" w:lineRule="auto"/>
            </w:pPr>
            <w:r>
              <w:rPr>
                <w:b/>
                <w:sz w:val="17"/>
              </w:rPr>
              <w:t>EQ4</w:t>
            </w:r>
            <w:r>
              <w:rPr>
                <w:sz w:val="17"/>
              </w:rPr>
              <w:t xml:space="preserve"> (Q3, Q4)</w:t>
            </w:r>
          </w:p>
        </w:tc>
        <w:tc>
          <w:tcPr>
            <w:tcW w:type="dxa" w:w="3524"/>
            <w:shd w:val="clear" w:color="auto" w:fill="F9FAFB"/>
          </w:tcPr>
          <w:p>
            <w:pPr>
              <w:spacing w:after="0" w:line="252" w:lineRule="auto"/>
            </w:pPr>
            <w:r>
              <w:rPr>
                <w:sz w:val="17"/>
              </w:rPr>
              <w:t xml:space="preserve">Do planning figures always use the </w:t>
            </w:r>
            <w:r>
              <w:rPr>
                <w:b/>
                <w:sz w:val="17"/>
              </w:rPr>
              <w:t>saved plan's period and scope</w:t>
            </w:r>
            <w:r>
              <w:rPr>
                <w:sz w:val="17"/>
              </w:rPr>
              <w:t xml:space="preserve"> (not the dashboard filter), and </w:t>
            </w:r>
            <w:r>
              <w:rPr>
                <w:b/>
                <w:sz w:val="17"/>
              </w:rPr>
              <w:t>who may approve</w:t>
            </w:r>
            <w:r>
              <w:rPr>
                <w:sz w:val="17"/>
              </w:rPr>
              <w:t xml:space="preserve"> plans, objectives and actions (can the proposer approve)?</w:t>
            </w:r>
          </w:p>
        </w:tc>
        <w:tc>
          <w:tcPr>
            <w:tcW w:type="dxa" w:w="3524"/>
            <w:shd w:val="clear" w:color="auto" w:fill="F9FAFB"/>
          </w:tcPr>
          <w:p>
            <w:pPr>
              <w:spacing w:after="0" w:line="252" w:lineRule="auto"/>
            </w:pPr>
            <w:r>
              <w:rPr>
                <w:sz w:val="17"/>
              </w:rPr>
              <w:t>planning results, saved versions, register, approvals (F-04, F-06, F-07)</w:t>
            </w:r>
          </w:p>
        </w:tc>
        <w:tc>
          <w:tcPr>
            <w:tcW w:type="dxa" w:w="3524"/>
            <w:shd w:val="clear" w:color="auto" w:fill="F9FAFB"/>
          </w:tcPr>
          <w:p>
            <w:pPr>
              <w:spacing w:after="0" w:line="252" w:lineRule="auto"/>
            </w:pPr>
            <w:r>
              <w:rPr>
                <w:b/>
                <w:sz w:val="17"/>
              </w:rPr>
              <w:t>Yes</w:t>
            </w:r>
            <w:r>
              <w:rPr>
                <w:sz w:val="17"/>
              </w:rPr>
              <w:t xml:space="preserve"> to plan-anchored figures with a banner when the filter differs; </w:t>
            </w:r>
            <w:r>
              <w:rPr>
                <w:b/>
                <w:sz w:val="17"/>
              </w:rPr>
              <w:t>proposer ≠ approver</w:t>
            </w:r>
            <w:r>
              <w:rPr>
                <w:sz w:val="17"/>
              </w:rPr>
              <w:t>, two roles (reviewer, approver) configurable</w:t>
            </w:r>
          </w:p>
        </w:tc>
        <w:tc>
          <w:tcPr>
            <w:tcW w:type="dxa" w:w="3187"/>
            <w:shd w:val="clear" w:color="auto" w:fill="F9FAFB"/>
          </w:tcPr>
          <w:p>
            <w:pPr>
              <w:spacing w:after="0" w:line="252" w:lineRule="auto"/>
            </w:pPr>
            <w:r>
              <w:rPr>
                <w:sz w:val="17"/>
              </w:rPr>
              <w:t>binding, versions, proposed/approved states, audit trail</w:t>
            </w:r>
          </w:p>
        </w:tc>
      </w:tr>
      <w:tr>
        <w:trPr>
          <w:cantSplit/>
        </w:trPr>
        <w:tc>
          <w:tcPr>
            <w:tcW w:type="dxa" w:w="1265"/>
          </w:tcPr>
          <w:p>
            <w:pPr>
              <w:spacing w:after="0" w:line="252" w:lineRule="auto"/>
            </w:pPr>
            <w:r>
              <w:rPr>
                <w:b/>
                <w:sz w:val="17"/>
              </w:rPr>
              <w:t>EQ5</w:t>
            </w:r>
            <w:r>
              <w:rPr>
                <w:sz w:val="17"/>
              </w:rPr>
              <w:t xml:space="preserve"> (new)</w:t>
            </w:r>
          </w:p>
        </w:tc>
        <w:tc>
          <w:tcPr>
            <w:tcW w:type="dxa" w:w="3524"/>
          </w:tcPr>
          <w:p>
            <w:pPr>
              <w:spacing w:after="0" w:line="252" w:lineRule="auto"/>
            </w:pPr>
            <w:r>
              <w:rPr>
                <w:sz w:val="17"/>
              </w:rPr>
              <w:t xml:space="preserve">Which definition of </w:t>
            </w:r>
            <w:r>
              <w:rPr>
                <w:b/>
                <w:sz w:val="17"/>
              </w:rPr>
              <w:t>operating-expenditure coverage</w:t>
            </w:r>
            <w:r>
              <w:rPr>
                <w:sz w:val="17"/>
              </w:rPr>
              <w:t xml:space="preserve"> is official: collected ÷ prorated appropriation of chapters 1–3 (as in the reports) or receipts ÷ payments?</w:t>
            </w:r>
          </w:p>
        </w:tc>
        <w:tc>
          <w:tcPr>
            <w:tcW w:type="dxa" w:w="3524"/>
          </w:tcPr>
          <w:p>
            <w:pPr>
              <w:spacing w:after="0" w:line="252" w:lineRule="auto"/>
            </w:pPr>
            <w:r>
              <w:rPr>
                <w:sz w:val="17"/>
              </w:rPr>
              <w:t>budget card, budget report, planning variance and funding (F-33)</w:t>
            </w:r>
          </w:p>
        </w:tc>
        <w:tc>
          <w:tcPr>
            <w:tcW w:type="dxa" w:w="3524"/>
          </w:tcPr>
          <w:p>
            <w:pPr>
              <w:spacing w:after="0" w:line="252" w:lineRule="auto"/>
            </w:pPr>
            <w:r>
              <w:rPr>
                <w:b/>
                <w:sz w:val="17"/>
              </w:rPr>
              <w:t>the reports' definition</w:t>
            </w:r>
            <w:r>
              <w:rPr>
                <w:sz w:val="17"/>
              </w:rPr>
              <w:t xml:space="preserve"> as primary (labelled, national until per-Amanah appropriation exists); the payments-based ratio as </w:t>
            </w:r>
            <w:r>
              <w:rPr>
                <w:sz w:val="17"/>
                <w:rtl/>
                <w:rFonts w:cs="Arial"/>
                <w:szCs w:val="17"/>
              </w:rPr>
              <w:t>‫«تغطية نقدية (اصطناعية)»‬</w:t>
            </w:r>
          </w:p>
        </w:tc>
        <w:tc>
          <w:tcPr>
            <w:tcW w:type="dxa" w:w="3187"/>
          </w:tcPr>
          <w:p>
            <w:pPr>
              <w:spacing w:after="0" w:line="252" w:lineRule="auto"/>
            </w:pPr>
            <w:r>
              <w:rPr>
                <w:sz w:val="17"/>
              </w:rPr>
              <w:t>both computed and labelled</w:t>
            </w:r>
          </w:p>
        </w:tc>
      </w:tr>
      <w:tr>
        <w:trPr>
          <w:cantSplit/>
        </w:trPr>
        <w:tc>
          <w:tcPr>
            <w:tcW w:type="dxa" w:w="1265"/>
            <w:shd w:val="clear" w:color="auto" w:fill="F9FAFB"/>
          </w:tcPr>
          <w:p>
            <w:pPr>
              <w:spacing w:after="0" w:line="252" w:lineRule="auto"/>
            </w:pPr>
            <w:r>
              <w:rPr>
                <w:b/>
                <w:sz w:val="17"/>
              </w:rPr>
              <w:t>EQ6</w:t>
            </w:r>
            <w:r>
              <w:rPr>
                <w:sz w:val="17"/>
              </w:rPr>
              <w:t xml:space="preserve"> (Q14 + targets)</w:t>
            </w:r>
          </w:p>
        </w:tc>
        <w:tc>
          <w:tcPr>
            <w:tcW w:type="dxa" w:w="3524"/>
            <w:shd w:val="clear" w:color="auto" w:fill="F9FAFB"/>
          </w:tcPr>
          <w:p>
            <w:pPr>
              <w:spacing w:after="0" w:line="252" w:lineRule="auto"/>
            </w:pPr>
            <w:r>
              <w:rPr>
                <w:sz w:val="17"/>
              </w:rPr>
              <w:t xml:space="preserve">Is the fiscal year the Gregorian calendar year, and are the </w:t>
            </w:r>
            <w:r>
              <w:rPr>
                <w:b/>
                <w:sz w:val="17"/>
              </w:rPr>
              <w:t>collection target (uniform per Amanah)</w:t>
            </w:r>
            <w:r>
              <w:rPr>
                <w:sz w:val="17"/>
              </w:rPr>
              <w:t xml:space="preserve"> and the annual sector targets </w:t>
            </w:r>
            <w:r>
              <w:rPr>
                <w:b/>
                <w:sz w:val="17"/>
              </w:rPr>
              <w:t>approved/versioned</w:t>
            </w:r>
            <w:r>
              <w:rPr>
                <w:sz w:val="17"/>
              </w:rPr>
              <w:t>?</w:t>
            </w:r>
          </w:p>
        </w:tc>
        <w:tc>
          <w:tcPr>
            <w:tcW w:type="dxa" w:w="3524"/>
            <w:shd w:val="clear" w:color="auto" w:fill="F9FAFB"/>
          </w:tcPr>
          <w:p>
            <w:pPr>
              <w:spacing w:after="0" w:line="252" w:lineRule="auto"/>
            </w:pPr>
            <w:r>
              <w:rPr>
                <w:sz w:val="17"/>
              </w:rPr>
              <w:t>YTD, objectives, variance, required pace (D-13, F-34)</w:t>
            </w:r>
          </w:p>
        </w:tc>
        <w:tc>
          <w:tcPr>
            <w:tcW w:type="dxa" w:w="3524"/>
            <w:shd w:val="clear" w:color="auto" w:fill="F9FAFB"/>
          </w:tcPr>
          <w:p>
            <w:pPr>
              <w:spacing w:after="0" w:line="252" w:lineRule="auto"/>
            </w:pPr>
            <w:r>
              <w:rPr>
                <w:sz w:val="17"/>
              </w:rPr>
              <w:t xml:space="preserve">calendar year; store each target with source, version and </w:t>
            </w:r>
            <w:r>
              <w:rPr>
                <w:sz w:val="17"/>
                <w:rtl/>
                <w:rFonts w:cs="Arial"/>
                <w:szCs w:val="17"/>
              </w:rPr>
              <w:t>‫«حالة الاعتماد: غير مؤكدة»‬</w:t>
            </w:r>
            <w:r>
              <w:rPr>
                <w:sz w:val="17"/>
              </w:rPr>
              <w:t xml:space="preserve"> until confirmed</w:t>
            </w:r>
          </w:p>
        </w:tc>
        <w:tc>
          <w:tcPr>
            <w:tcW w:type="dxa" w:w="3187"/>
            <w:shd w:val="clear" w:color="auto" w:fill="F9FAFB"/>
          </w:tcPr>
          <w:p>
            <w:pPr>
              <w:spacing w:after="0" w:line="252" w:lineRule="auto"/>
            </w:pPr>
            <w:r>
              <w:rPr>
                <w:sz w:val="17"/>
              </w:rPr>
              <w:t>all planning screens with the label</w:t>
            </w:r>
          </w:p>
        </w:tc>
      </w:tr>
      <w:tr>
        <w:trPr>
          <w:cantSplit/>
        </w:trPr>
        <w:tc>
          <w:tcPr>
            <w:tcW w:type="dxa" w:w="1265"/>
          </w:tcPr>
          <w:p>
            <w:pPr>
              <w:spacing w:after="0" w:line="252" w:lineRule="auto"/>
            </w:pPr>
            <w:r>
              <w:rPr>
                <w:b/>
                <w:sz w:val="17"/>
              </w:rPr>
              <w:t>EQ7</w:t>
            </w:r>
            <w:r>
              <w:rPr>
                <w:sz w:val="17"/>
              </w:rPr>
              <w:t xml:space="preserve"> (Q11)</w:t>
            </w:r>
          </w:p>
        </w:tc>
        <w:tc>
          <w:tcPr>
            <w:tcW w:type="dxa" w:w="3524"/>
          </w:tcPr>
          <w:p>
            <w:pPr>
              <w:spacing w:after="0" w:line="252" w:lineRule="auto"/>
            </w:pPr>
            <w:r>
              <w:rPr>
                <w:sz w:val="17"/>
              </w:rPr>
              <w:t xml:space="preserve">What does </w:t>
            </w:r>
            <w:r>
              <w:rPr>
                <w:b/>
                <w:sz w:val="17"/>
                <w:rtl/>
                <w:rFonts w:cs="Arial"/>
                <w:szCs w:val="17"/>
                <w:bCs/>
              </w:rPr>
              <w:t>‫«آخر 3 أشهر»‬</w:t>
            </w:r>
            <w:r>
              <w:rPr>
                <w:sz w:val="17"/>
              </w:rPr>
              <w:t xml:space="preserve"> mean, and which presets are offered?</w:t>
            </w:r>
          </w:p>
        </w:tc>
        <w:tc>
          <w:tcPr>
            <w:tcW w:type="dxa" w:w="3524"/>
          </w:tcPr>
          <w:p>
            <w:pPr>
              <w:spacing w:after="0" w:line="252" w:lineRule="auto"/>
            </w:pPr>
            <w:r>
              <w:rPr>
                <w:sz w:val="17"/>
              </w:rPr>
              <w:t>presets, AI interpreter, comparisons (D-03, D-08)</w:t>
            </w:r>
          </w:p>
        </w:tc>
        <w:tc>
          <w:tcPr>
            <w:tcW w:type="dxa" w:w="3524"/>
          </w:tcPr>
          <w:p>
            <w:pPr>
              <w:spacing w:after="0" w:line="252" w:lineRule="auto"/>
            </w:pPr>
            <w:r>
              <w:rPr>
                <w:b/>
                <w:sz w:val="17"/>
              </w:rPr>
              <w:t>three complete calendar months</w:t>
            </w:r>
            <w:r>
              <w:rPr>
                <w:sz w:val="17"/>
              </w:rPr>
              <w:t>; presets: today, MTD, last complete month, last 3 complete months, QTD, YTD, custom, all data</w:t>
            </w:r>
          </w:p>
        </w:tc>
        <w:tc>
          <w:tcPr>
            <w:tcW w:type="dxa" w:w="3187"/>
          </w:tcPr>
          <w:p>
            <w:pPr>
              <w:spacing w:after="0" w:line="252" w:lineRule="auto"/>
            </w:pPr>
            <w:r>
              <w:rPr>
                <w:sz w:val="17"/>
              </w:rPr>
              <w:t>a table-driven preset registry</w:t>
            </w:r>
          </w:p>
        </w:tc>
      </w:tr>
      <w:tr>
        <w:trPr>
          <w:cantSplit/>
        </w:trPr>
        <w:tc>
          <w:tcPr>
            <w:tcW w:type="dxa" w:w="1265"/>
            <w:shd w:val="clear" w:color="auto" w:fill="F9FAFB"/>
          </w:tcPr>
          <w:p>
            <w:pPr>
              <w:spacing w:after="0" w:line="252" w:lineRule="auto"/>
            </w:pPr>
            <w:r>
              <w:rPr>
                <w:b/>
                <w:sz w:val="17"/>
              </w:rPr>
              <w:t>EQ8</w:t>
            </w:r>
            <w:r>
              <w:rPr>
                <w:sz w:val="17"/>
              </w:rPr>
              <w:t xml:space="preserve"> (Q2, Q6)</w:t>
            </w:r>
          </w:p>
        </w:tc>
        <w:tc>
          <w:tcPr>
            <w:tcW w:type="dxa" w:w="3524"/>
            <w:shd w:val="clear" w:color="auto" w:fill="F9FAFB"/>
          </w:tcPr>
          <w:p>
            <w:pPr>
              <w:spacing w:after="0" w:line="252" w:lineRule="auto"/>
            </w:pPr>
            <w:r>
              <w:rPr>
                <w:sz w:val="17"/>
              </w:rPr>
              <w:t xml:space="preserve">Does a Smart-report conversation </w:t>
            </w:r>
            <w:r>
              <w:rPr>
                <w:b/>
                <w:sz w:val="17"/>
              </w:rPr>
              <w:t>follow the dashboard filters live</w:t>
            </w:r>
            <w:r>
              <w:rPr>
                <w:sz w:val="17"/>
              </w:rPr>
              <w:t xml:space="preserve">, and must it also produce </w:t>
            </w:r>
            <w:r>
              <w:rPr>
                <w:b/>
                <w:sz w:val="17"/>
              </w:rPr>
              <w:t>budget/expenditure</w:t>
            </w:r>
            <w:r>
              <w:rPr>
                <w:sz w:val="17"/>
              </w:rPr>
              <w:t xml:space="preserve"> reports?</w:t>
            </w:r>
          </w:p>
        </w:tc>
        <w:tc>
          <w:tcPr>
            <w:tcW w:type="dxa" w:w="3524"/>
            <w:shd w:val="clear" w:color="auto" w:fill="F9FAFB"/>
          </w:tcPr>
          <w:p>
            <w:pPr>
              <w:spacing w:after="0" w:line="252" w:lineRule="auto"/>
            </w:pPr>
            <w:r>
              <w:rPr>
                <w:sz w:val="17"/>
              </w:rPr>
              <w:t>Smart-report context, scope chips, budget requests (F-05, F-16)</w:t>
            </w:r>
          </w:p>
        </w:tc>
        <w:tc>
          <w:tcPr>
            <w:tcW w:type="dxa" w:w="3524"/>
            <w:shd w:val="clear" w:color="auto" w:fill="F9FAFB"/>
          </w:tcPr>
          <w:p>
            <w:pPr>
              <w:spacing w:after="0" w:line="252" w:lineRule="auto"/>
            </w:pPr>
            <w:r>
              <w:rPr>
                <w:sz w:val="17"/>
              </w:rPr>
              <w:t xml:space="preserve">own scope with an explicit </w:t>
            </w:r>
            <w:r>
              <w:rPr>
                <w:b/>
                <w:sz w:val="17"/>
              </w:rPr>
              <w:t>sync</w:t>
            </w:r>
            <w:r>
              <w:rPr>
                <w:sz w:val="17"/>
              </w:rPr>
              <w:t xml:space="preserve"> control; budget/expenditure requests </w:t>
            </w:r>
            <w:r>
              <w:rPr>
                <w:b/>
                <w:sz w:val="17"/>
              </w:rPr>
              <w:t>redirect to the fixed report</w:t>
            </w:r>
          </w:p>
        </w:tc>
        <w:tc>
          <w:tcPr>
            <w:tcW w:type="dxa" w:w="3187"/>
            <w:shd w:val="clear" w:color="auto" w:fill="F9FAFB"/>
          </w:tcPr>
          <w:p>
            <w:pPr>
              <w:spacing w:after="0" w:line="252" w:lineRule="auto"/>
            </w:pPr>
            <w:r>
              <w:rPr>
                <w:sz w:val="17"/>
              </w:rPr>
              <w:t>interpretation guard, context persistence</w:t>
            </w:r>
          </w:p>
        </w:tc>
      </w:tr>
      <w:tr>
        <w:trPr>
          <w:cantSplit/>
        </w:trPr>
        <w:tc>
          <w:tcPr>
            <w:tcW w:type="dxa" w:w="1265"/>
          </w:tcPr>
          <w:p>
            <w:pPr>
              <w:spacing w:after="0" w:line="252" w:lineRule="auto"/>
            </w:pPr>
            <w:r>
              <w:rPr>
                <w:b/>
                <w:sz w:val="17"/>
              </w:rPr>
              <w:t>EQ9</w:t>
            </w:r>
            <w:r>
              <w:rPr>
                <w:sz w:val="17"/>
              </w:rPr>
              <w:t xml:space="preserve"> (new)</w:t>
            </w:r>
          </w:p>
        </w:tc>
        <w:tc>
          <w:tcPr>
            <w:tcW w:type="dxa" w:w="3524"/>
          </w:tcPr>
          <w:p>
            <w:pPr>
              <w:spacing w:after="0" w:line="252" w:lineRule="auto"/>
            </w:pPr>
            <w:r>
              <w:rPr>
                <w:sz w:val="17"/>
              </w:rPr>
              <w:t xml:space="preserve">Which sections of the </w:t>
            </w:r>
            <w:r>
              <w:rPr>
                <w:b/>
                <w:sz w:val="17"/>
              </w:rPr>
              <w:t>July report</w:t>
            </w:r>
            <w:r>
              <w:rPr>
                <w:sz w:val="17"/>
              </w:rPr>
              <w:t xml:space="preserve"> must the platform add: enforcement referral, income participation, e-invoice, quarterly bars?</w:t>
            </w:r>
          </w:p>
        </w:tc>
        <w:tc>
          <w:tcPr>
            <w:tcW w:type="dxa" w:w="3524"/>
          </w:tcPr>
          <w:p>
            <w:pPr>
              <w:spacing w:after="0" w:line="252" w:lineRule="auto"/>
            </w:pPr>
            <w:r>
              <w:rPr>
                <w:sz w:val="17"/>
              </w:rPr>
              <w:t>fixed-report catalogue (F-35)</w:t>
            </w:r>
          </w:p>
        </w:tc>
        <w:tc>
          <w:tcPr>
            <w:tcW w:type="dxa" w:w="3524"/>
          </w:tcPr>
          <w:p>
            <w:pPr>
              <w:spacing w:after="0" w:line="252" w:lineRule="auto"/>
            </w:pPr>
            <w:r>
              <w:rPr>
                <w:sz w:val="17"/>
              </w:rPr>
              <w:t xml:space="preserve">add </w:t>
            </w:r>
            <w:r>
              <w:rPr>
                <w:b/>
                <w:sz w:val="17"/>
              </w:rPr>
              <w:t>enforcement referral</w:t>
            </w:r>
            <w:r>
              <w:rPr>
                <w:sz w:val="17"/>
              </w:rPr>
              <w:t xml:space="preserve"> first (Sanad data exists); quarterly bars next; income participation and e-invoice only when their sources exist</w:t>
            </w:r>
          </w:p>
        </w:tc>
        <w:tc>
          <w:tcPr>
            <w:tcW w:type="dxa" w:w="3187"/>
          </w:tcPr>
          <w:p>
            <w:pPr>
              <w:spacing w:after="0" w:line="252" w:lineRule="auto"/>
            </w:pPr>
            <w:r>
              <w:rPr>
                <w:sz w:val="17"/>
              </w:rPr>
              <w:t>everything else</w:t>
            </w:r>
          </w:p>
        </w:tc>
      </w:tr>
      <w:tr>
        <w:trPr>
          <w:cantSplit/>
        </w:trPr>
        <w:tc>
          <w:tcPr>
            <w:tcW w:type="dxa" w:w="1265"/>
            <w:shd w:val="clear" w:color="auto" w:fill="F9FAFB"/>
          </w:tcPr>
          <w:p>
            <w:pPr>
              <w:spacing w:after="0" w:line="252" w:lineRule="auto"/>
            </w:pPr>
            <w:r>
              <w:rPr>
                <w:b/>
                <w:sz w:val="17"/>
              </w:rPr>
              <w:t>EQ10</w:t>
            </w:r>
            <w:r>
              <w:rPr>
                <w:sz w:val="17"/>
              </w:rPr>
              <w:t xml:space="preserve"> (Q9, Q10)</w:t>
            </w:r>
          </w:p>
        </w:tc>
        <w:tc>
          <w:tcPr>
            <w:tcW w:type="dxa" w:w="3524"/>
            <w:shd w:val="clear" w:color="auto" w:fill="F9FAFB"/>
          </w:tcPr>
          <w:p>
            <w:pPr>
              <w:spacing w:after="0" w:line="252" w:lineRule="auto"/>
            </w:pPr>
            <w:r>
              <w:rPr>
                <w:sz w:val="17"/>
              </w:rPr>
              <w:t xml:space="preserve">Is browser-local storage acceptable for the demo, and when is a </w:t>
            </w:r>
            <w:r>
              <w:rPr>
                <w:b/>
                <w:sz w:val="17"/>
              </w:rPr>
              <w:t>server store with identities</w:t>
            </w:r>
            <w:r>
              <w:rPr>
                <w:sz w:val="17"/>
              </w:rPr>
              <w:t xml:space="preserve"> required?</w:t>
            </w:r>
          </w:p>
        </w:tc>
        <w:tc>
          <w:tcPr>
            <w:tcW w:type="dxa" w:w="3524"/>
            <w:shd w:val="clear" w:color="auto" w:fill="F9FAFB"/>
          </w:tcPr>
          <w:p>
            <w:pPr>
              <w:spacing w:after="0" w:line="252" w:lineRule="auto"/>
            </w:pPr>
            <w:r>
              <w:rPr>
                <w:sz w:val="17"/>
              </w:rPr>
              <w:t>persistence of plans, actions, conversations (F-19)</w:t>
            </w:r>
          </w:p>
        </w:tc>
        <w:tc>
          <w:tcPr>
            <w:tcW w:type="dxa" w:w="3524"/>
            <w:shd w:val="clear" w:color="auto" w:fill="F9FAFB"/>
          </w:tcPr>
          <w:p>
            <w:pPr>
              <w:spacing w:after="0" w:line="252" w:lineRule="auto"/>
            </w:pPr>
            <w:r>
              <w:rPr>
                <w:sz w:val="17"/>
              </w:rPr>
              <w:t>local storage now with a visible notice and plan export/import; server store as Phase 4</w:t>
            </w:r>
          </w:p>
        </w:tc>
        <w:tc>
          <w:tcPr>
            <w:tcW w:type="dxa" w:w="3187"/>
            <w:shd w:val="clear" w:color="auto" w:fill="F9FAFB"/>
          </w:tcPr>
          <w:p>
            <w:pPr>
              <w:spacing w:after="0" w:line="252" w:lineRule="auto"/>
            </w:pPr>
            <w:r>
              <w:rPr>
                <w:sz w:val="17"/>
              </w:rPr>
              <w:t>all of Phases 0–3</w:t>
            </w:r>
          </w:p>
        </w:tc>
      </w:tr>
    </w:tbl>
    <w:p>
      <w:pPr>
        <w:spacing w:after="40"/>
      </w:pPr>
    </w:p>
    <w:p>
      <w:r>
        <w:rPr>
          <w:b/>
        </w:rPr>
        <w:t>Reduced to defaults (no decision needed; change on request):</w:t>
      </w:r>
      <w:r>
        <w:t xml:space="preserve"> Q7 languages → Arabic and English only in the new areas, Chinese kept in navigation only · Q8 scale → review at the compact size, test the full size in Phase 3 · Q9 synthetic budget card → keep, collapsed, labelled </w:t>
      </w:r>
      <w:r>
        <w:rPr>
          <w:rtl/>
          <w:rFonts w:cs="Arial"/>
        </w:rPr>
        <w:t>‫«تجريبية»‬</w:t>
      </w:r>
      <w:r>
        <w:t xml:space="preserve"> · Q12 digits → Western digits, Gregorian dates · Q13 Hijri → optional later · Q16 content owner → product owner names a reviewer; glossary in §10.3 is the draft · Q17 disclaimers → one </w:t>
      </w:r>
      <w:r>
        <w:rPr>
          <w:rtl/>
          <w:rFonts w:cs="Arial"/>
        </w:rPr>
        <w:t>‫«بيانات تجريبية»‬</w:t>
      </w:r>
      <w:r>
        <w:t xml:space="preserve"> badge, full statement in export footers · Q18 attention block → aging &gt; 90 days, lowest-performing source, unapproved-rule exclusions.</w:t>
      </w:r>
    </w:p>
    <w:p>
      <w:pPr>
        <w:pStyle w:val="Heading2"/>
      </w:pPr>
      <w:r>
        <w:t>30. Measurable acceptance criteria</w:t>
      </w:r>
    </w:p>
    <w:p>
      <w:r>
        <w:t xml:space="preserve">Each criterion has a </w:t>
      </w:r>
      <w:r>
        <w:rPr>
          <w:b/>
        </w:rPr>
        <w:t>method</w:t>
      </w:r>
      <w:r>
        <w:t xml:space="preserve"> and a </w:t>
      </w:r>
      <w:r>
        <w:rPr>
          <w:b/>
        </w:rPr>
        <w:t>pass threshold</w:t>
      </w:r>
      <w:r>
        <w:t xml:space="preserve">. "Reference matrix" = the same 12 selections run everywhere: {year to date, month to date, last complete month, last 3 complete months} × {all, one Amanah, one source} plus {empty selection}; the data is the compact demo at the fixed test date </w:t>
      </w:r>
      <w:r>
        <w:rPr>
          <w:rFonts w:ascii="Consolas" w:hAnsi="Consolas" w:cs="Consolas"/>
          <w:color w:val="B42318"/>
          <w:sz w:val="19"/>
        </w:rPr>
        <w:t>2026-10-09</w:t>
      </w:r>
      <w:r>
        <w:t>.</w:t>
      </w:r>
    </w:p>
    <w:p>
      <w:pPr>
        <w:pStyle w:val="Heading3"/>
      </w:pPr>
      <w:r>
        <w:t>AC-A — Consistent figures across Dashboard, Fixed reports and Smart reports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29"/>
        <w:gridCol w:w="5492"/>
        <w:gridCol w:w="3067"/>
        <w:gridCol w:w="5235"/>
      </w:tblGrid>
      <w:tr>
        <w:trPr>
          <w:tblHeader w:val="true"/>
          <w:cantSplit/>
        </w:trPr>
        <w:tc>
          <w:tcPr>
            <w:tcW w:type="dxa" w:w="1229"/>
            <w:shd w:val="clear" w:color="auto" w:fill="1B8354"/>
          </w:tcPr>
          <w:p>
            <w:pPr>
              <w:spacing w:after="0" w:line="252" w:lineRule="auto"/>
            </w:pPr>
            <w:r>
              <w:rPr>
                <w:b/>
                <w:color w:val="FFFFFF"/>
                <w:sz w:val="17"/>
              </w:rPr>
              <w:t>ID</w:t>
            </w:r>
          </w:p>
        </w:tc>
        <w:tc>
          <w:tcPr>
            <w:tcW w:type="dxa" w:w="5492"/>
            <w:shd w:val="clear" w:color="auto" w:fill="1B8354"/>
          </w:tcPr>
          <w:p>
            <w:pPr>
              <w:spacing w:after="0" w:line="252" w:lineRule="auto"/>
            </w:pPr>
            <w:r>
              <w:rPr>
                <w:b/>
                <w:color w:val="FFFFFF"/>
                <w:sz w:val="17"/>
              </w:rPr>
              <w:t>Criterion</w:t>
            </w:r>
          </w:p>
        </w:tc>
        <w:tc>
          <w:tcPr>
            <w:tcW w:type="dxa" w:w="3067"/>
            <w:shd w:val="clear" w:color="auto" w:fill="1B8354"/>
          </w:tcPr>
          <w:p>
            <w:pPr>
              <w:spacing w:after="0" w:line="252" w:lineRule="auto"/>
            </w:pPr>
            <w:r>
              <w:rPr>
                <w:b/>
                <w:color w:val="FFFFFF"/>
                <w:sz w:val="17"/>
              </w:rPr>
              <w:t>Method</w:t>
            </w:r>
          </w:p>
        </w:tc>
        <w:tc>
          <w:tcPr>
            <w:tcW w:type="dxa" w:w="5235"/>
            <w:shd w:val="clear" w:color="auto" w:fill="1B8354"/>
          </w:tcPr>
          <w:p>
            <w:pPr>
              <w:spacing w:after="0" w:line="252" w:lineRule="auto"/>
            </w:pPr>
            <w:r>
              <w:rPr>
                <w:b/>
                <w:color w:val="FFFFFF"/>
                <w:sz w:val="17"/>
              </w:rPr>
              <w:t>Threshold</w:t>
            </w:r>
          </w:p>
        </w:tc>
      </w:tr>
      <w:tr>
        <w:trPr>
          <w:cantSplit/>
        </w:trPr>
        <w:tc>
          <w:tcPr>
            <w:tcW w:type="dxa" w:w="1229"/>
          </w:tcPr>
          <w:p>
            <w:pPr>
              <w:spacing w:after="0" w:line="252" w:lineRule="auto"/>
            </w:pPr>
            <w:r>
              <w:rPr>
                <w:sz w:val="17"/>
              </w:rPr>
              <w:t>A1</w:t>
            </w:r>
          </w:p>
        </w:tc>
        <w:tc>
          <w:tcPr>
            <w:tcW w:type="dxa" w:w="5492"/>
          </w:tcPr>
          <w:p>
            <w:pPr>
              <w:spacing w:after="0" w:line="252" w:lineRule="auto"/>
            </w:pPr>
            <w:r>
              <w:rPr>
                <w:sz w:val="17"/>
              </w:rPr>
              <w:t>gross, exclusions, net, collected, uncollected, invoice count, collection rate, exclusion rate are equal in the Dashboard, every fixed report that shows them, the Smart report (with and without comparison) and the Planning baseline</w:t>
            </w:r>
          </w:p>
        </w:tc>
        <w:tc>
          <w:tcPr>
            <w:tcW w:type="dxa" w:w="3067"/>
          </w:tcPr>
          <w:p>
            <w:pPr>
              <w:spacing w:after="0" w:line="252" w:lineRule="auto"/>
            </w:pPr>
            <w:r>
              <w:rPr>
                <w:sz w:val="17"/>
              </w:rPr>
              <w:t>automated cross-view test over the reference matrix</w:t>
            </w:r>
          </w:p>
        </w:tc>
        <w:tc>
          <w:tcPr>
            <w:tcW w:type="dxa" w:w="5235"/>
          </w:tcPr>
          <w:p>
            <w:pPr>
              <w:spacing w:after="0" w:line="252" w:lineRule="auto"/>
            </w:pPr>
            <w:r>
              <w:rPr>
                <w:sz w:val="17"/>
              </w:rPr>
              <w:t xml:space="preserve">difference </w:t>
            </w:r>
            <w:r>
              <w:rPr>
                <w:b/>
                <w:sz w:val="17"/>
              </w:rPr>
              <w:t>0 SAR / 0.0 pp</w:t>
            </w:r>
            <w:r>
              <w:rPr>
                <w:sz w:val="17"/>
              </w:rPr>
              <w:t xml:space="preserve"> after identical rounding; 100 % of cells</w:t>
            </w:r>
          </w:p>
        </w:tc>
      </w:tr>
      <w:tr>
        <w:trPr>
          <w:cantSplit/>
        </w:trPr>
        <w:tc>
          <w:tcPr>
            <w:tcW w:type="dxa" w:w="1229"/>
            <w:shd w:val="clear" w:color="auto" w:fill="F9FAFB"/>
          </w:tcPr>
          <w:p>
            <w:pPr>
              <w:spacing w:after="0" w:line="252" w:lineRule="auto"/>
            </w:pPr>
            <w:r>
              <w:rPr>
                <w:sz w:val="17"/>
              </w:rPr>
              <w:t>A2</w:t>
            </w:r>
          </w:p>
        </w:tc>
        <w:tc>
          <w:tcPr>
            <w:tcW w:type="dxa" w:w="5492"/>
            <w:shd w:val="clear" w:color="auto" w:fill="F9FAFB"/>
          </w:tcPr>
          <w:p>
            <w:pPr>
              <w:spacing w:after="0" w:line="252" w:lineRule="auto"/>
            </w:pPr>
            <w:r>
              <w:rPr>
                <w:sz w:val="17"/>
              </w:rPr>
              <w:t xml:space="preserve">the comparison </w:t>
            </w:r>
            <w:r>
              <w:rPr>
                <w:b/>
                <w:sz w:val="17"/>
              </w:rPr>
              <w:t>sign and value</w:t>
            </w:r>
            <w:r>
              <w:rPr>
                <w:sz w:val="17"/>
              </w:rPr>
              <w:t xml:space="preserve"> are identical in all views for closed and open periods</w:t>
            </w:r>
          </w:p>
        </w:tc>
        <w:tc>
          <w:tcPr>
            <w:tcW w:type="dxa" w:w="3067"/>
            <w:shd w:val="clear" w:color="auto" w:fill="F9FAFB"/>
          </w:tcPr>
          <w:p>
            <w:pPr>
              <w:spacing w:after="0" w:line="252" w:lineRule="auto"/>
            </w:pPr>
            <w:r>
              <w:rPr>
                <w:sz w:val="17"/>
              </w:rPr>
              <w:t>same test</w:t>
            </w:r>
          </w:p>
        </w:tc>
        <w:tc>
          <w:tcPr>
            <w:tcW w:type="dxa" w:w="5235"/>
            <w:shd w:val="clear" w:color="auto" w:fill="F9FAFB"/>
          </w:tcPr>
          <w:p>
            <w:pPr>
              <w:spacing w:after="0" w:line="252" w:lineRule="auto"/>
            </w:pPr>
            <w:r>
              <w:rPr>
                <w:sz w:val="17"/>
              </w:rPr>
              <w:t>0 mismatches; delta = displayed value − displayed comparison value (±0.05 pp)</w:t>
            </w:r>
          </w:p>
        </w:tc>
      </w:tr>
      <w:tr>
        <w:trPr>
          <w:cantSplit/>
        </w:trPr>
        <w:tc>
          <w:tcPr>
            <w:tcW w:type="dxa" w:w="1229"/>
          </w:tcPr>
          <w:p>
            <w:pPr>
              <w:spacing w:after="0" w:line="252" w:lineRule="auto"/>
            </w:pPr>
            <w:r>
              <w:rPr>
                <w:sz w:val="17"/>
              </w:rPr>
              <w:t>A3</w:t>
            </w:r>
          </w:p>
        </w:tc>
        <w:tc>
          <w:tcPr>
            <w:tcW w:type="dxa" w:w="5492"/>
          </w:tcPr>
          <w:p>
            <w:pPr>
              <w:spacing w:after="0" w:line="252" w:lineRule="auto"/>
            </w:pPr>
            <w:r>
              <w:rPr>
                <w:sz w:val="17"/>
              </w:rPr>
              <w:t>every figure block states its collection date and it equals the computing parameter</w:t>
            </w:r>
          </w:p>
        </w:tc>
        <w:tc>
          <w:tcPr>
            <w:tcW w:type="dxa" w:w="3067"/>
          </w:tcPr>
          <w:p>
            <w:pPr>
              <w:spacing w:after="0" w:line="252" w:lineRule="auto"/>
            </w:pPr>
            <w:r>
              <w:rPr>
                <w:sz w:val="17"/>
              </w:rPr>
              <w:t>parse the rendered label vs the request</w:t>
            </w:r>
          </w:p>
        </w:tc>
        <w:tc>
          <w:tcPr>
            <w:tcW w:type="dxa" w:w="5235"/>
          </w:tcPr>
          <w:p>
            <w:pPr>
              <w:spacing w:after="0" w:line="252" w:lineRule="auto"/>
            </w:pPr>
            <w:r>
              <w:rPr>
                <w:sz w:val="17"/>
              </w:rPr>
              <w:t>100 % of blocks</w:t>
            </w:r>
          </w:p>
        </w:tc>
      </w:tr>
      <w:tr>
        <w:trPr>
          <w:cantSplit/>
        </w:trPr>
        <w:tc>
          <w:tcPr>
            <w:tcW w:type="dxa" w:w="1229"/>
            <w:shd w:val="clear" w:color="auto" w:fill="F9FAFB"/>
          </w:tcPr>
          <w:p>
            <w:pPr>
              <w:spacing w:after="0" w:line="252" w:lineRule="auto"/>
            </w:pPr>
            <w:r>
              <w:rPr>
                <w:sz w:val="17"/>
              </w:rPr>
              <w:t>A4</w:t>
            </w:r>
          </w:p>
        </w:tc>
        <w:tc>
          <w:tcPr>
            <w:tcW w:type="dxa" w:w="5492"/>
            <w:shd w:val="clear" w:color="auto" w:fill="F9FAFB"/>
          </w:tcPr>
          <w:p>
            <w:pPr>
              <w:spacing w:after="0" w:line="252" w:lineRule="auto"/>
            </w:pPr>
            <w:r>
              <w:rPr>
                <w:sz w:val="17"/>
              </w:rPr>
              <w:t>the relations block shows the same rates as the KPI row; its bar segments add to 100 % ±0.1</w:t>
            </w:r>
          </w:p>
        </w:tc>
        <w:tc>
          <w:tcPr>
            <w:tcW w:type="dxa" w:w="3067"/>
            <w:shd w:val="clear" w:color="auto" w:fill="F9FAFB"/>
          </w:tcPr>
          <w:p>
            <w:pPr>
              <w:spacing w:after="0" w:line="252" w:lineRule="auto"/>
            </w:pPr>
            <w:r>
              <w:rPr>
                <w:sz w:val="17"/>
              </w:rPr>
              <w:t>DOM test on all reports</w:t>
            </w:r>
          </w:p>
        </w:tc>
        <w:tc>
          <w:tcPr>
            <w:tcW w:type="dxa" w:w="5235"/>
            <w:shd w:val="clear" w:color="auto" w:fill="F9FAFB"/>
          </w:tcPr>
          <w:p>
            <w:pPr>
              <w:spacing w:after="0" w:line="252" w:lineRule="auto"/>
            </w:pPr>
            <w:r>
              <w:rPr>
                <w:sz w:val="17"/>
              </w:rPr>
              <w:t xml:space="preserve">0 occurrences of </w:t>
            </w:r>
            <w:r>
              <w:rPr>
                <w:sz w:val="17"/>
                <w:rtl/>
                <w:rFonts w:cs="Arial"/>
                <w:szCs w:val="17"/>
              </w:rPr>
              <w:t>‫«غير متاحة»‬</w:t>
            </w:r>
            <w:r>
              <w:rPr>
                <w:sz w:val="17"/>
              </w:rPr>
              <w:t xml:space="preserve"> when the measure is calculable; 0 </w:t>
            </w:r>
            <w:r>
              <w:rPr>
                <w:rFonts w:ascii="Consolas" w:hAnsi="Consolas" w:cs="Consolas"/>
                <w:color w:val="B42318"/>
                <w:sz w:val="16"/>
              </w:rPr>
              <w:t>NaN</w:t>
            </w:r>
            <w:r>
              <w:rPr>
                <w:sz w:val="17"/>
              </w:rPr>
              <w:t xml:space="preserve"> widths</w:t>
            </w:r>
          </w:p>
        </w:tc>
      </w:tr>
      <w:tr>
        <w:trPr>
          <w:cantSplit/>
        </w:trPr>
        <w:tc>
          <w:tcPr>
            <w:tcW w:type="dxa" w:w="1229"/>
          </w:tcPr>
          <w:p>
            <w:pPr>
              <w:spacing w:after="0" w:line="252" w:lineRule="auto"/>
            </w:pPr>
            <w:r>
              <w:rPr>
                <w:sz w:val="17"/>
              </w:rPr>
              <w:t>A5</w:t>
            </w:r>
          </w:p>
        </w:tc>
        <w:tc>
          <w:tcPr>
            <w:tcW w:type="dxa" w:w="5492"/>
          </w:tcPr>
          <w:p>
            <w:pPr>
              <w:spacing w:after="0" w:line="252" w:lineRule="auto"/>
            </w:pPr>
            <w:r>
              <w:rPr>
                <w:sz w:val="17"/>
              </w:rPr>
              <w:t xml:space="preserve">"no recommendations" is printed only when the proposal list is empty </w:t>
            </w:r>
            <w:r>
              <w:rPr>
                <w:b/>
                <w:sz w:val="17"/>
              </w:rPr>
              <w:t>and</w:t>
            </w:r>
            <w:r>
              <w:rPr>
                <w:sz w:val="17"/>
              </w:rPr>
              <w:t xml:space="preserve"> no insight is flagged </w:t>
            </w:r>
            <w:r>
              <w:rPr>
                <w:sz w:val="17"/>
                <w:rtl/>
                <w:rFonts w:cs="Arial"/>
                <w:szCs w:val="17"/>
              </w:rPr>
              <w:t>‫«يستدعي إجراء»‬</w:t>
            </w:r>
          </w:p>
        </w:tc>
        <w:tc>
          <w:tcPr>
            <w:tcW w:type="dxa" w:w="3067"/>
          </w:tcPr>
          <w:p>
            <w:pPr>
              <w:spacing w:after="0" w:line="252" w:lineRule="auto"/>
            </w:pPr>
            <w:r>
              <w:rPr>
                <w:sz w:val="17"/>
              </w:rPr>
              <w:t>content test</w:t>
            </w:r>
          </w:p>
        </w:tc>
        <w:tc>
          <w:tcPr>
            <w:tcW w:type="dxa" w:w="5235"/>
          </w:tcPr>
          <w:p>
            <w:pPr>
              <w:spacing w:after="0" w:line="252" w:lineRule="auto"/>
            </w:pPr>
            <w:r>
              <w:rPr>
                <w:sz w:val="17"/>
              </w:rPr>
              <w:t>0 contradictions in the matrix</w:t>
            </w:r>
          </w:p>
        </w:tc>
      </w:tr>
      <w:tr>
        <w:trPr>
          <w:cantSplit/>
        </w:trPr>
        <w:tc>
          <w:tcPr>
            <w:tcW w:type="dxa" w:w="1229"/>
            <w:shd w:val="clear" w:color="auto" w:fill="F9FAFB"/>
          </w:tcPr>
          <w:p>
            <w:pPr>
              <w:spacing w:after="0" w:line="252" w:lineRule="auto"/>
            </w:pPr>
            <w:r>
              <w:rPr>
                <w:sz w:val="17"/>
              </w:rPr>
              <w:t>A6</w:t>
            </w:r>
          </w:p>
        </w:tc>
        <w:tc>
          <w:tcPr>
            <w:tcW w:type="dxa" w:w="5492"/>
            <w:shd w:val="clear" w:color="auto" w:fill="F9FAFB"/>
          </w:tcPr>
          <w:p>
            <w:pPr>
              <w:spacing w:after="0" w:line="252" w:lineRule="auto"/>
            </w:pPr>
            <w:r>
              <w:rPr>
                <w:sz w:val="17"/>
              </w:rPr>
              <w:t>the period uncollected and the standing balance carry distinct names everywhere</w:t>
            </w:r>
          </w:p>
        </w:tc>
        <w:tc>
          <w:tcPr>
            <w:tcW w:type="dxa" w:w="3067"/>
            <w:shd w:val="clear" w:color="auto" w:fill="F9FAFB"/>
          </w:tcPr>
          <w:p>
            <w:pPr>
              <w:spacing w:after="0" w:line="252" w:lineRule="auto"/>
            </w:pPr>
            <w:r>
              <w:rPr>
                <w:sz w:val="17"/>
              </w:rPr>
              <w:t>glossary lint</w:t>
            </w:r>
          </w:p>
        </w:tc>
        <w:tc>
          <w:tcPr>
            <w:tcW w:type="dxa" w:w="5235"/>
            <w:shd w:val="clear" w:color="auto" w:fill="F9FAFB"/>
          </w:tcPr>
          <w:p>
            <w:pPr>
              <w:spacing w:after="0" w:line="252" w:lineRule="auto"/>
            </w:pPr>
            <w:r>
              <w:rPr>
                <w:sz w:val="17"/>
              </w:rPr>
              <w:t xml:space="preserve">0 uses of </w:t>
            </w:r>
            <w:r>
              <w:rPr>
                <w:sz w:val="17"/>
                <w:rtl/>
                <w:rFonts w:cs="Arial"/>
                <w:szCs w:val="17"/>
              </w:rPr>
              <w:t>‫«المتبقي»‬</w:t>
            </w:r>
            <w:r>
              <w:rPr>
                <w:sz w:val="17"/>
              </w:rPr>
              <w:t xml:space="preserve"> / duplicate labels</w:t>
            </w:r>
          </w:p>
        </w:tc>
      </w:tr>
    </w:tbl>
    <w:p>
      <w:pPr>
        <w:spacing w:after="40"/>
      </w:pPr>
    </w:p>
    <w:p>
      <w:pPr>
        <w:pStyle w:val="Heading3"/>
      </w:pPr>
      <w:r>
        <w:t>AC-B — Planning anchored to the saved plan's scope and period</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38"/>
        <w:gridCol w:w="7512"/>
        <w:gridCol w:w="5037"/>
        <w:gridCol w:w="1238"/>
      </w:tblGrid>
      <w:tr>
        <w:trPr>
          <w:tblHeader w:val="true"/>
          <w:cantSplit/>
        </w:trPr>
        <w:tc>
          <w:tcPr>
            <w:tcW w:type="dxa" w:w="1238"/>
            <w:shd w:val="clear" w:color="auto" w:fill="1B8354"/>
          </w:tcPr>
          <w:p>
            <w:pPr>
              <w:spacing w:after="0" w:line="252" w:lineRule="auto"/>
            </w:pPr>
            <w:r>
              <w:rPr>
                <w:b/>
                <w:color w:val="FFFFFF"/>
                <w:sz w:val="17"/>
              </w:rPr>
              <w:t>ID</w:t>
            </w:r>
          </w:p>
        </w:tc>
        <w:tc>
          <w:tcPr>
            <w:tcW w:type="dxa" w:w="7512"/>
            <w:shd w:val="clear" w:color="auto" w:fill="1B8354"/>
          </w:tcPr>
          <w:p>
            <w:pPr>
              <w:spacing w:after="0" w:line="252" w:lineRule="auto"/>
            </w:pPr>
            <w:r>
              <w:rPr>
                <w:b/>
                <w:color w:val="FFFFFF"/>
                <w:sz w:val="17"/>
              </w:rPr>
              <w:t>Criterion</w:t>
            </w:r>
          </w:p>
        </w:tc>
        <w:tc>
          <w:tcPr>
            <w:tcW w:type="dxa" w:w="5037"/>
            <w:shd w:val="clear" w:color="auto" w:fill="1B8354"/>
          </w:tcPr>
          <w:p>
            <w:pPr>
              <w:spacing w:after="0" w:line="252" w:lineRule="auto"/>
            </w:pPr>
            <w:r>
              <w:rPr>
                <w:b/>
                <w:color w:val="FFFFFF"/>
                <w:sz w:val="17"/>
              </w:rPr>
              <w:t>Method</w:t>
            </w:r>
          </w:p>
        </w:tc>
        <w:tc>
          <w:tcPr>
            <w:tcW w:type="dxa" w:w="1238"/>
            <w:shd w:val="clear" w:color="auto" w:fill="1B8354"/>
          </w:tcPr>
          <w:p>
            <w:pPr>
              <w:spacing w:after="0" w:line="252" w:lineRule="auto"/>
            </w:pPr>
            <w:r>
              <w:rPr>
                <w:b/>
                <w:color w:val="FFFFFF"/>
                <w:sz w:val="17"/>
              </w:rPr>
              <w:t>Threshold</w:t>
            </w:r>
          </w:p>
        </w:tc>
      </w:tr>
      <w:tr>
        <w:trPr>
          <w:cantSplit/>
        </w:trPr>
        <w:tc>
          <w:tcPr>
            <w:tcW w:type="dxa" w:w="1238"/>
          </w:tcPr>
          <w:p>
            <w:pPr>
              <w:spacing w:after="0" w:line="252" w:lineRule="auto"/>
            </w:pPr>
            <w:r>
              <w:rPr>
                <w:sz w:val="17"/>
              </w:rPr>
              <w:t>B1</w:t>
            </w:r>
          </w:p>
        </w:tc>
        <w:tc>
          <w:tcPr>
            <w:tcW w:type="dxa" w:w="7512"/>
          </w:tcPr>
          <w:p>
            <w:pPr>
              <w:spacing w:after="0" w:line="252" w:lineRule="auto"/>
            </w:pPr>
            <w:r>
              <w:rPr>
                <w:sz w:val="17"/>
              </w:rPr>
              <w:t xml:space="preserve">opening a saved plan under </w:t>
            </w:r>
            <w:r>
              <w:rPr>
                <w:b/>
                <w:sz w:val="17"/>
              </w:rPr>
              <w:t>any</w:t>
            </w:r>
            <w:r>
              <w:rPr>
                <w:sz w:val="17"/>
              </w:rPr>
              <w:t xml:space="preserve"> global filter gives the same objective statuses, variance, forecast, scenario outputs and funding projection as under the plan's own scope</w:t>
            </w:r>
          </w:p>
        </w:tc>
        <w:tc>
          <w:tcPr>
            <w:tcW w:type="dxa" w:w="5037"/>
          </w:tcPr>
          <w:p>
            <w:pPr>
              <w:spacing w:after="0" w:line="252" w:lineRule="auto"/>
            </w:pPr>
            <w:r>
              <w:rPr>
                <w:sz w:val="17"/>
              </w:rPr>
              <w:t>open under 8 different filters, diff the outputs</w:t>
            </w:r>
          </w:p>
        </w:tc>
        <w:tc>
          <w:tcPr>
            <w:tcW w:type="dxa" w:w="1238"/>
          </w:tcPr>
          <w:p>
            <w:pPr>
              <w:spacing w:after="0" w:line="252" w:lineRule="auto"/>
            </w:pPr>
            <w:r>
              <w:rPr>
                <w:b/>
                <w:sz w:val="17"/>
              </w:rPr>
              <w:t>0</w:t>
            </w:r>
            <w:r>
              <w:rPr>
                <w:sz w:val="17"/>
              </w:rPr>
              <w:t xml:space="preserve"> differences</w:t>
            </w:r>
          </w:p>
        </w:tc>
      </w:tr>
      <w:tr>
        <w:trPr>
          <w:cantSplit/>
        </w:trPr>
        <w:tc>
          <w:tcPr>
            <w:tcW w:type="dxa" w:w="1238"/>
            <w:shd w:val="clear" w:color="auto" w:fill="F9FAFB"/>
          </w:tcPr>
          <w:p>
            <w:pPr>
              <w:spacing w:after="0" w:line="252" w:lineRule="auto"/>
            </w:pPr>
            <w:r>
              <w:rPr>
                <w:sz w:val="17"/>
              </w:rPr>
              <w:t>B2</w:t>
            </w:r>
          </w:p>
        </w:tc>
        <w:tc>
          <w:tcPr>
            <w:tcW w:type="dxa" w:w="7512"/>
            <w:shd w:val="clear" w:color="auto" w:fill="F9FAFB"/>
          </w:tcPr>
          <w:p>
            <w:pPr>
              <w:spacing w:after="0" w:line="252" w:lineRule="auto"/>
            </w:pPr>
            <w:r>
              <w:rPr>
                <w:sz w:val="17"/>
              </w:rPr>
              <w:t xml:space="preserve">each saved version stores period, scope, basis, configuration hash, targets, data cut-off and the headline results; reopening it reproduces the stored results or shows </w:t>
            </w:r>
            <w:r>
              <w:rPr>
                <w:sz w:val="17"/>
                <w:rtl/>
                <w:rFonts w:cs="Arial"/>
                <w:szCs w:val="17"/>
              </w:rPr>
              <w:t>‫«تغيّرت البيانات منذ الحفظ»‬</w:t>
            </w:r>
            <w:r>
              <w:rPr>
                <w:sz w:val="17"/>
              </w:rPr>
              <w:t xml:space="preserve"> with the diff</w:t>
            </w:r>
          </w:p>
        </w:tc>
        <w:tc>
          <w:tcPr>
            <w:tcW w:type="dxa" w:w="5037"/>
            <w:shd w:val="clear" w:color="auto" w:fill="F9FAFB"/>
          </w:tcPr>
          <w:p>
            <w:pPr>
              <w:spacing w:after="0" w:line="252" w:lineRule="auto"/>
            </w:pPr>
            <w:r>
              <w:rPr>
                <w:sz w:val="17"/>
              </w:rPr>
              <w:t>version round-trip test, also after a simulated date change</w:t>
            </w:r>
          </w:p>
        </w:tc>
        <w:tc>
          <w:tcPr>
            <w:tcW w:type="dxa" w:w="1238"/>
            <w:shd w:val="clear" w:color="auto" w:fill="F9FAFB"/>
          </w:tcPr>
          <w:p>
            <w:pPr>
              <w:spacing w:after="0" w:line="252" w:lineRule="auto"/>
            </w:pPr>
            <w:r>
              <w:rPr>
                <w:sz w:val="17"/>
              </w:rPr>
              <w:t>100 %</w:t>
            </w:r>
          </w:p>
        </w:tc>
      </w:tr>
      <w:tr>
        <w:trPr>
          <w:cantSplit/>
        </w:trPr>
        <w:tc>
          <w:tcPr>
            <w:tcW w:type="dxa" w:w="1238"/>
          </w:tcPr>
          <w:p>
            <w:pPr>
              <w:spacing w:after="0" w:line="252" w:lineRule="auto"/>
            </w:pPr>
            <w:r>
              <w:rPr>
                <w:sz w:val="17"/>
              </w:rPr>
              <w:t>B3</w:t>
            </w:r>
          </w:p>
        </w:tc>
        <w:tc>
          <w:tcPr>
            <w:tcW w:type="dxa" w:w="7512"/>
          </w:tcPr>
          <w:p>
            <w:pPr>
              <w:spacing w:after="0" w:line="252" w:lineRule="auto"/>
            </w:pPr>
            <w:r>
              <w:rPr>
                <w:sz w:val="17"/>
              </w:rPr>
              <w:t>a banner appears whenever the active filter differs from the plan scope</w:t>
            </w:r>
          </w:p>
        </w:tc>
        <w:tc>
          <w:tcPr>
            <w:tcW w:type="dxa" w:w="5037"/>
          </w:tcPr>
          <w:p>
            <w:pPr>
              <w:spacing w:after="0" w:line="252" w:lineRule="auto"/>
            </w:pPr>
            <w:r>
              <w:rPr>
                <w:sz w:val="17"/>
              </w:rPr>
              <w:t>UI test over the matrix</w:t>
            </w:r>
          </w:p>
        </w:tc>
        <w:tc>
          <w:tcPr>
            <w:tcW w:type="dxa" w:w="1238"/>
          </w:tcPr>
          <w:p>
            <w:pPr>
              <w:spacing w:after="0" w:line="252" w:lineRule="auto"/>
            </w:pPr>
            <w:r>
              <w:rPr>
                <w:sz w:val="17"/>
              </w:rPr>
              <w:t>100 %</w:t>
            </w:r>
          </w:p>
        </w:tc>
      </w:tr>
      <w:tr>
        <w:trPr>
          <w:cantSplit/>
        </w:trPr>
        <w:tc>
          <w:tcPr>
            <w:tcW w:type="dxa" w:w="1238"/>
            <w:shd w:val="clear" w:color="auto" w:fill="F9FAFB"/>
          </w:tcPr>
          <w:p>
            <w:pPr>
              <w:spacing w:after="0" w:line="252" w:lineRule="auto"/>
            </w:pPr>
            <w:r>
              <w:rPr>
                <w:sz w:val="17"/>
              </w:rPr>
              <w:t>B4</w:t>
            </w:r>
          </w:p>
        </w:tc>
        <w:tc>
          <w:tcPr>
            <w:tcW w:type="dxa" w:w="7512"/>
            <w:shd w:val="clear" w:color="auto" w:fill="F9FAFB"/>
          </w:tcPr>
          <w:p>
            <w:pPr>
              <w:spacing w:after="0" w:line="252" w:lineRule="auto"/>
            </w:pPr>
            <w:r>
              <w:rPr>
                <w:sz w:val="17"/>
              </w:rPr>
              <w:t>scenarios never change actuals or targets and never double count: total cash effect ≤ available uncollected; lever limits enforced</w:t>
            </w:r>
          </w:p>
        </w:tc>
        <w:tc>
          <w:tcPr>
            <w:tcW w:type="dxa" w:w="5037"/>
            <w:shd w:val="clear" w:color="auto" w:fill="F9FAFB"/>
          </w:tcPr>
          <w:p>
            <w:pPr>
              <w:spacing w:after="0" w:line="252" w:lineRule="auto"/>
            </w:pPr>
            <w:r>
              <w:rPr>
                <w:sz w:val="17"/>
              </w:rPr>
              <w:t>property test with 1,000 random lever sets</w:t>
            </w:r>
          </w:p>
        </w:tc>
        <w:tc>
          <w:tcPr>
            <w:tcW w:type="dxa" w:w="1238"/>
            <w:shd w:val="clear" w:color="auto" w:fill="F9FAFB"/>
          </w:tcPr>
          <w:p>
            <w:pPr>
              <w:spacing w:after="0" w:line="252" w:lineRule="auto"/>
            </w:pPr>
            <w:r>
              <w:rPr>
                <w:sz w:val="17"/>
              </w:rPr>
              <w:t>0 violations</w:t>
            </w:r>
          </w:p>
        </w:tc>
      </w:tr>
      <w:tr>
        <w:trPr>
          <w:cantSplit/>
        </w:trPr>
        <w:tc>
          <w:tcPr>
            <w:tcW w:type="dxa" w:w="1238"/>
          </w:tcPr>
          <w:p>
            <w:pPr>
              <w:spacing w:after="0" w:line="252" w:lineRule="auto"/>
            </w:pPr>
            <w:r>
              <w:rPr>
                <w:sz w:val="17"/>
              </w:rPr>
              <w:t>B5</w:t>
            </w:r>
          </w:p>
        </w:tc>
        <w:tc>
          <w:tcPr>
            <w:tcW w:type="dxa" w:w="7512"/>
          </w:tcPr>
          <w:p>
            <w:pPr>
              <w:spacing w:after="0" w:line="252" w:lineRule="auto"/>
            </w:pPr>
            <w:r>
              <w:rPr>
                <w:sz w:val="17"/>
              </w:rPr>
              <w:t>the funding projection and objectives use the plan period only</w:t>
            </w:r>
          </w:p>
        </w:tc>
        <w:tc>
          <w:tcPr>
            <w:tcW w:type="dxa" w:w="5037"/>
          </w:tcPr>
          <w:p>
            <w:pPr>
              <w:spacing w:after="0" w:line="252" w:lineRule="auto"/>
            </w:pPr>
            <w:r>
              <w:rPr>
                <w:sz w:val="17"/>
              </w:rPr>
              <w:t>unit test</w:t>
            </w:r>
          </w:p>
        </w:tc>
        <w:tc>
          <w:tcPr>
            <w:tcW w:type="dxa" w:w="1238"/>
          </w:tcPr>
          <w:p>
            <w:pPr>
              <w:spacing w:after="0" w:line="252" w:lineRule="auto"/>
            </w:pPr>
            <w:r>
              <w:rPr>
                <w:sz w:val="17"/>
              </w:rPr>
              <w:t>pass</w:t>
            </w:r>
          </w:p>
        </w:tc>
      </w:tr>
      <w:tr>
        <w:trPr>
          <w:cantSplit/>
        </w:trPr>
        <w:tc>
          <w:tcPr>
            <w:tcW w:type="dxa" w:w="1238"/>
            <w:shd w:val="clear" w:color="auto" w:fill="F9FAFB"/>
          </w:tcPr>
          <w:p>
            <w:pPr>
              <w:spacing w:after="0" w:line="252" w:lineRule="auto"/>
            </w:pPr>
            <w:r>
              <w:rPr>
                <w:sz w:val="17"/>
              </w:rPr>
              <w:t>B6</w:t>
            </w:r>
          </w:p>
        </w:tc>
        <w:tc>
          <w:tcPr>
            <w:tcW w:type="dxa" w:w="7512"/>
            <w:shd w:val="clear" w:color="auto" w:fill="F9FAFB"/>
          </w:tcPr>
          <w:p>
            <w:pPr>
              <w:spacing w:after="0" w:line="252" w:lineRule="auto"/>
            </w:pPr>
            <w:r>
              <w:rPr>
                <w:sz w:val="17"/>
              </w:rPr>
              <w:t xml:space="preserve">at least two </w:t>
            </w:r>
            <w:r>
              <w:rPr>
                <w:b/>
                <w:sz w:val="17"/>
              </w:rPr>
              <w:t>named scenarios</w:t>
            </w:r>
            <w:r>
              <w:rPr>
                <w:sz w:val="17"/>
              </w:rPr>
              <w:t xml:space="preserve"> per plan can be compared side by side with the baseline (≥ 6 outputs and deltas)</w:t>
            </w:r>
          </w:p>
        </w:tc>
        <w:tc>
          <w:tcPr>
            <w:tcW w:type="dxa" w:w="5037"/>
            <w:shd w:val="clear" w:color="auto" w:fill="F9FAFB"/>
          </w:tcPr>
          <w:p>
            <w:pPr>
              <w:spacing w:after="0" w:line="252" w:lineRule="auto"/>
            </w:pPr>
            <w:r>
              <w:rPr>
                <w:sz w:val="17"/>
              </w:rPr>
              <w:t>UI test</w:t>
            </w:r>
          </w:p>
        </w:tc>
        <w:tc>
          <w:tcPr>
            <w:tcW w:type="dxa" w:w="1238"/>
            <w:shd w:val="clear" w:color="auto" w:fill="F9FAFB"/>
          </w:tcPr>
          <w:p>
            <w:pPr>
              <w:spacing w:after="0" w:line="252" w:lineRule="auto"/>
            </w:pPr>
            <w:r>
              <w:rPr>
                <w:sz w:val="17"/>
              </w:rPr>
              <w:t>pass</w:t>
            </w:r>
          </w:p>
        </w:tc>
      </w:tr>
    </w:tbl>
    <w:p>
      <w:pPr>
        <w:spacing w:after="40"/>
      </w:pPr>
    </w:p>
    <w:p>
      <w:pPr>
        <w:pStyle w:val="Heading3"/>
      </w:pPr>
      <w:r>
        <w:t>AC-C — Prompt interpretation and conversation context</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40"/>
        <w:gridCol w:w="7615"/>
        <w:gridCol w:w="1824"/>
        <w:gridCol w:w="4344"/>
      </w:tblGrid>
      <w:tr>
        <w:trPr>
          <w:tblHeader w:val="true"/>
          <w:cantSplit/>
        </w:trPr>
        <w:tc>
          <w:tcPr>
            <w:tcW w:type="dxa" w:w="1240"/>
            <w:shd w:val="clear" w:color="auto" w:fill="1B8354"/>
          </w:tcPr>
          <w:p>
            <w:pPr>
              <w:spacing w:after="0" w:line="252" w:lineRule="auto"/>
            </w:pPr>
            <w:r>
              <w:rPr>
                <w:b/>
                <w:color w:val="FFFFFF"/>
                <w:sz w:val="17"/>
              </w:rPr>
              <w:t>ID</w:t>
            </w:r>
          </w:p>
        </w:tc>
        <w:tc>
          <w:tcPr>
            <w:tcW w:type="dxa" w:w="7615"/>
            <w:shd w:val="clear" w:color="auto" w:fill="1B8354"/>
          </w:tcPr>
          <w:p>
            <w:pPr>
              <w:spacing w:after="0" w:line="252" w:lineRule="auto"/>
            </w:pPr>
            <w:r>
              <w:rPr>
                <w:b/>
                <w:color w:val="FFFFFF"/>
                <w:sz w:val="17"/>
              </w:rPr>
              <w:t>Criterion</w:t>
            </w:r>
          </w:p>
        </w:tc>
        <w:tc>
          <w:tcPr>
            <w:tcW w:type="dxa" w:w="1824"/>
            <w:shd w:val="clear" w:color="auto" w:fill="1B8354"/>
          </w:tcPr>
          <w:p>
            <w:pPr>
              <w:spacing w:after="0" w:line="252" w:lineRule="auto"/>
            </w:pPr>
            <w:r>
              <w:rPr>
                <w:b/>
                <w:color w:val="FFFFFF"/>
                <w:sz w:val="17"/>
              </w:rPr>
              <w:t>Method</w:t>
            </w:r>
          </w:p>
        </w:tc>
        <w:tc>
          <w:tcPr>
            <w:tcW w:type="dxa" w:w="4344"/>
            <w:shd w:val="clear" w:color="auto" w:fill="1B8354"/>
          </w:tcPr>
          <w:p>
            <w:pPr>
              <w:spacing w:after="0" w:line="252" w:lineRule="auto"/>
            </w:pPr>
            <w:r>
              <w:rPr>
                <w:b/>
                <w:color w:val="FFFFFF"/>
                <w:sz w:val="17"/>
              </w:rPr>
              <w:t>Threshold</w:t>
            </w:r>
          </w:p>
        </w:tc>
      </w:tr>
      <w:tr>
        <w:trPr>
          <w:cantSplit/>
        </w:trPr>
        <w:tc>
          <w:tcPr>
            <w:tcW w:type="dxa" w:w="1240"/>
          </w:tcPr>
          <w:p>
            <w:pPr>
              <w:spacing w:after="0" w:line="252" w:lineRule="auto"/>
            </w:pPr>
            <w:r>
              <w:rPr>
                <w:sz w:val="17"/>
              </w:rPr>
              <w:t>C1</w:t>
            </w:r>
          </w:p>
        </w:tc>
        <w:tc>
          <w:tcPr>
            <w:tcW w:type="dxa" w:w="7615"/>
          </w:tcPr>
          <w:p>
            <w:pPr>
              <w:spacing w:after="0" w:line="252" w:lineRule="auto"/>
            </w:pPr>
            <w:r>
              <w:rPr>
                <w:sz w:val="17"/>
              </w:rPr>
              <w:t xml:space="preserve">interpretation accuracy on a golden corpus of </w:t>
            </w:r>
            <w:r>
              <w:rPr>
                <w:b/>
                <w:sz w:val="17"/>
              </w:rPr>
              <w:t>≥ 150</w:t>
            </w:r>
            <w:r>
              <w:rPr>
                <w:sz w:val="17"/>
              </w:rPr>
              <w:t xml:space="preserve"> Arabic/English phrases (period, Amanah, source, status, comparison, sections)</w:t>
            </w:r>
          </w:p>
        </w:tc>
        <w:tc>
          <w:tcPr>
            <w:tcW w:type="dxa" w:w="1824"/>
          </w:tcPr>
          <w:p>
            <w:pPr>
              <w:spacing w:after="0" w:line="252" w:lineRule="auto"/>
            </w:pPr>
            <w:r>
              <w:rPr>
                <w:sz w:val="17"/>
              </w:rPr>
              <w:t>automated</w:t>
            </w:r>
          </w:p>
        </w:tc>
        <w:tc>
          <w:tcPr>
            <w:tcW w:type="dxa" w:w="4344"/>
          </w:tcPr>
          <w:p>
            <w:pPr>
              <w:spacing w:after="0" w:line="252" w:lineRule="auto"/>
            </w:pPr>
            <w:r>
              <w:rPr>
                <w:b/>
                <w:sz w:val="17"/>
              </w:rPr>
              <w:t>≥ 95 %</w:t>
            </w:r>
            <w:r>
              <w:rPr>
                <w:sz w:val="17"/>
              </w:rPr>
              <w:t xml:space="preserve"> overall and </w:t>
            </w:r>
            <w:r>
              <w:rPr>
                <w:b/>
                <w:sz w:val="17"/>
              </w:rPr>
              <w:t>100 %</w:t>
            </w:r>
            <w:r>
              <w:rPr>
                <w:sz w:val="17"/>
              </w:rPr>
              <w:t xml:space="preserve"> on the 10 verified failures (§3 F-05)</w:t>
            </w:r>
          </w:p>
        </w:tc>
      </w:tr>
      <w:tr>
        <w:trPr>
          <w:cantSplit/>
        </w:trPr>
        <w:tc>
          <w:tcPr>
            <w:tcW w:type="dxa" w:w="1240"/>
            <w:shd w:val="clear" w:color="auto" w:fill="F9FAFB"/>
          </w:tcPr>
          <w:p>
            <w:pPr>
              <w:spacing w:after="0" w:line="252" w:lineRule="auto"/>
            </w:pPr>
            <w:r>
              <w:rPr>
                <w:sz w:val="17"/>
              </w:rPr>
              <w:t>C2</w:t>
            </w:r>
          </w:p>
        </w:tc>
        <w:tc>
          <w:tcPr>
            <w:tcW w:type="dxa" w:w="7615"/>
            <w:shd w:val="clear" w:color="auto" w:fill="F9FAFB"/>
          </w:tcPr>
          <w:p>
            <w:pPr>
              <w:spacing w:after="0" w:line="252" w:lineRule="auto"/>
            </w:pPr>
            <w:r>
              <w:rPr>
                <w:sz w:val="17"/>
              </w:rPr>
              <w:t>requests the system cannot satisfy produce a clarification or an explicit "unsupported" with a pointer — never a generic report or a wrong scope</w:t>
            </w:r>
          </w:p>
        </w:tc>
        <w:tc>
          <w:tcPr>
            <w:tcW w:type="dxa" w:w="1824"/>
            <w:shd w:val="clear" w:color="auto" w:fill="F9FAFB"/>
          </w:tcPr>
          <w:p>
            <w:pPr>
              <w:spacing w:after="0" w:line="252" w:lineRule="auto"/>
            </w:pPr>
            <w:r>
              <w:rPr>
                <w:sz w:val="17"/>
              </w:rPr>
              <w:t>30 adversarial phrases</w:t>
            </w:r>
          </w:p>
        </w:tc>
        <w:tc>
          <w:tcPr>
            <w:tcW w:type="dxa" w:w="4344"/>
            <w:shd w:val="clear" w:color="auto" w:fill="F9FAFB"/>
          </w:tcPr>
          <w:p>
            <w:pPr>
              <w:spacing w:after="0" w:line="252" w:lineRule="auto"/>
            </w:pPr>
            <w:r>
              <w:rPr>
                <w:sz w:val="17"/>
              </w:rPr>
              <w:t>100 %</w:t>
            </w:r>
          </w:p>
        </w:tc>
      </w:tr>
      <w:tr>
        <w:trPr>
          <w:cantSplit/>
        </w:trPr>
        <w:tc>
          <w:tcPr>
            <w:tcW w:type="dxa" w:w="1240"/>
          </w:tcPr>
          <w:p>
            <w:pPr>
              <w:spacing w:after="0" w:line="252" w:lineRule="auto"/>
            </w:pPr>
            <w:r>
              <w:rPr>
                <w:sz w:val="17"/>
              </w:rPr>
              <w:t>C3</w:t>
            </w:r>
          </w:p>
        </w:tc>
        <w:tc>
          <w:tcPr>
            <w:tcW w:type="dxa" w:w="7615"/>
          </w:tcPr>
          <w:p>
            <w:pPr>
              <w:spacing w:after="0" w:line="252" w:lineRule="auto"/>
            </w:pPr>
            <w:r>
              <w:rPr>
                <w:sz w:val="17"/>
              </w:rPr>
              <w:t>every report shows an interpreted-request line; changed chips equal the diff of the spec</w:t>
            </w:r>
          </w:p>
        </w:tc>
        <w:tc>
          <w:tcPr>
            <w:tcW w:type="dxa" w:w="1824"/>
          </w:tcPr>
          <w:p>
            <w:pPr>
              <w:spacing w:after="0" w:line="252" w:lineRule="auto"/>
            </w:pPr>
            <w:r>
              <w:rPr>
                <w:sz w:val="17"/>
              </w:rPr>
              <w:t>UI test</w:t>
            </w:r>
          </w:p>
        </w:tc>
        <w:tc>
          <w:tcPr>
            <w:tcW w:type="dxa" w:w="4344"/>
          </w:tcPr>
          <w:p>
            <w:pPr>
              <w:spacing w:after="0" w:line="252" w:lineRule="auto"/>
            </w:pPr>
            <w:r>
              <w:rPr>
                <w:sz w:val="17"/>
              </w:rPr>
              <w:t>100 %</w:t>
            </w:r>
          </w:p>
        </w:tc>
      </w:tr>
      <w:tr>
        <w:trPr>
          <w:cantSplit/>
        </w:trPr>
        <w:tc>
          <w:tcPr>
            <w:tcW w:type="dxa" w:w="1240"/>
            <w:shd w:val="clear" w:color="auto" w:fill="F9FAFB"/>
          </w:tcPr>
          <w:p>
            <w:pPr>
              <w:spacing w:after="0" w:line="252" w:lineRule="auto"/>
            </w:pPr>
            <w:r>
              <w:rPr>
                <w:sz w:val="17"/>
              </w:rPr>
              <w:t>C4</w:t>
            </w:r>
          </w:p>
        </w:tc>
        <w:tc>
          <w:tcPr>
            <w:tcW w:type="dxa" w:w="7615"/>
            <w:shd w:val="clear" w:color="auto" w:fill="F9FAFB"/>
          </w:tcPr>
          <w:p>
            <w:pPr>
              <w:spacing w:after="0" w:line="252" w:lineRule="auto"/>
            </w:pPr>
            <w:r>
              <w:rPr>
                <w:sz w:val="17"/>
              </w:rPr>
              <w:t xml:space="preserve">a six-step follow-up chain keeps all filters unless changed; reloading/reopening restores the last report with a </w:t>
            </w:r>
            <w:r>
              <w:rPr>
                <w:sz w:val="17"/>
                <w:rtl/>
                <w:rFonts w:cs="Arial"/>
                <w:szCs w:val="17"/>
              </w:rPr>
              <w:t>‫«حتى {تاريخ}»‬</w:t>
            </w:r>
            <w:r>
              <w:rPr>
                <w:sz w:val="17"/>
              </w:rPr>
              <w:t xml:space="preserve"> stamp; five reloads of a </w:t>
            </w:r>
            <w:r>
              <w:rPr>
                <w:rFonts w:ascii="Consolas" w:hAnsi="Consolas" w:cs="Consolas"/>
                <w:color w:val="B42318"/>
                <w:sz w:val="16"/>
              </w:rPr>
              <w:t>?q=</w:t>
            </w:r>
            <w:r>
              <w:rPr>
                <w:sz w:val="17"/>
              </w:rPr>
              <w:t xml:space="preserve"> link add </w:t>
            </w:r>
            <w:r>
              <w:rPr>
                <w:b/>
                <w:sz w:val="17"/>
              </w:rPr>
              <w:t>0</w:t>
            </w:r>
            <w:r>
              <w:rPr>
                <w:sz w:val="17"/>
              </w:rPr>
              <w:t xml:space="preserve"> messages; reopening lands at the top of the page; leaving and returning keeps the active conversation and the draft</w:t>
            </w:r>
          </w:p>
        </w:tc>
        <w:tc>
          <w:tcPr>
            <w:tcW w:type="dxa" w:w="1824"/>
            <w:shd w:val="clear" w:color="auto" w:fill="F9FAFB"/>
          </w:tcPr>
          <w:p>
            <w:pPr>
              <w:spacing w:after="0" w:line="252" w:lineRule="auto"/>
            </w:pPr>
            <w:r>
              <w:rPr>
                <w:sz w:val="17"/>
              </w:rPr>
              <w:t>UI test</w:t>
            </w:r>
          </w:p>
        </w:tc>
        <w:tc>
          <w:tcPr>
            <w:tcW w:type="dxa" w:w="4344"/>
            <w:shd w:val="clear" w:color="auto" w:fill="F9FAFB"/>
          </w:tcPr>
          <w:p>
            <w:pPr>
              <w:spacing w:after="0" w:line="252" w:lineRule="auto"/>
            </w:pPr>
            <w:r>
              <w:rPr>
                <w:sz w:val="17"/>
              </w:rPr>
              <w:t>pass</w:t>
            </w:r>
          </w:p>
        </w:tc>
      </w:tr>
      <w:tr>
        <w:trPr>
          <w:cantSplit/>
        </w:trPr>
        <w:tc>
          <w:tcPr>
            <w:tcW w:type="dxa" w:w="1240"/>
          </w:tcPr>
          <w:p>
            <w:pPr>
              <w:spacing w:after="0" w:line="252" w:lineRule="auto"/>
            </w:pPr>
            <w:r>
              <w:rPr>
                <w:sz w:val="17"/>
              </w:rPr>
              <w:t>C5</w:t>
            </w:r>
          </w:p>
        </w:tc>
        <w:tc>
          <w:tcPr>
            <w:tcW w:type="dxa" w:w="7615"/>
          </w:tcPr>
          <w:p>
            <w:pPr>
              <w:spacing w:after="0" w:line="252" w:lineRule="auto"/>
            </w:pPr>
            <w:r>
              <w:rPr>
                <w:sz w:val="17"/>
              </w:rPr>
              <w:t>a new conversation starts from the shared filters; a visible control syncs or detaches them</w:t>
            </w:r>
          </w:p>
        </w:tc>
        <w:tc>
          <w:tcPr>
            <w:tcW w:type="dxa" w:w="1824"/>
          </w:tcPr>
          <w:p>
            <w:pPr>
              <w:spacing w:after="0" w:line="252" w:lineRule="auto"/>
            </w:pPr>
            <w:r>
              <w:rPr>
                <w:sz w:val="17"/>
              </w:rPr>
              <w:t>UI test</w:t>
            </w:r>
          </w:p>
        </w:tc>
        <w:tc>
          <w:tcPr>
            <w:tcW w:type="dxa" w:w="4344"/>
          </w:tcPr>
          <w:p>
            <w:pPr>
              <w:spacing w:after="0" w:line="252" w:lineRule="auto"/>
            </w:pPr>
            <w:r>
              <w:rPr>
                <w:sz w:val="17"/>
              </w:rPr>
              <w:t>pass</w:t>
            </w:r>
          </w:p>
        </w:tc>
      </w:tr>
      <w:tr>
        <w:trPr>
          <w:cantSplit/>
        </w:trPr>
        <w:tc>
          <w:tcPr>
            <w:tcW w:type="dxa" w:w="1240"/>
            <w:shd w:val="clear" w:color="auto" w:fill="F9FAFB"/>
          </w:tcPr>
          <w:p>
            <w:pPr>
              <w:spacing w:after="0" w:line="252" w:lineRule="auto"/>
            </w:pPr>
            <w:r>
              <w:rPr>
                <w:sz w:val="17"/>
              </w:rPr>
              <w:t>C6</w:t>
            </w:r>
          </w:p>
        </w:tc>
        <w:tc>
          <w:tcPr>
            <w:tcW w:type="dxa" w:w="7615"/>
            <w:shd w:val="clear" w:color="auto" w:fill="F9FAFB"/>
          </w:tcPr>
          <w:p>
            <w:pPr>
              <w:spacing w:after="0" w:line="252" w:lineRule="auto"/>
            </w:pPr>
            <w:r>
              <w:rPr>
                <w:sz w:val="17"/>
              </w:rPr>
              <w:t>a question returns a figure with its basis, or a redirect (e.g. budget)</w:t>
            </w:r>
          </w:p>
        </w:tc>
        <w:tc>
          <w:tcPr>
            <w:tcW w:type="dxa" w:w="1824"/>
            <w:shd w:val="clear" w:color="auto" w:fill="F9FAFB"/>
          </w:tcPr>
          <w:p>
            <w:pPr>
              <w:spacing w:after="0" w:line="252" w:lineRule="auto"/>
            </w:pPr>
            <w:r>
              <w:rPr>
                <w:sz w:val="17"/>
              </w:rPr>
              <w:t>UI test</w:t>
            </w:r>
          </w:p>
        </w:tc>
        <w:tc>
          <w:tcPr>
            <w:tcW w:type="dxa" w:w="4344"/>
            <w:shd w:val="clear" w:color="auto" w:fill="F9FAFB"/>
          </w:tcPr>
          <w:p>
            <w:pPr>
              <w:spacing w:after="0" w:line="252" w:lineRule="auto"/>
            </w:pPr>
            <w:r>
              <w:rPr>
                <w:sz w:val="17"/>
              </w:rPr>
              <w:t>100 % of 20 questions</w:t>
            </w:r>
          </w:p>
        </w:tc>
      </w:tr>
    </w:tbl>
    <w:p>
      <w:pPr>
        <w:spacing w:after="40"/>
      </w:pPr>
    </w:p>
    <w:p>
      <w:pPr>
        <w:pStyle w:val="Heading3"/>
      </w:pPr>
      <w:r>
        <w:t>AC-D — Reliable date controls and comparisons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32"/>
        <w:gridCol w:w="6070"/>
        <w:gridCol w:w="4702"/>
        <w:gridCol w:w="3020"/>
      </w:tblGrid>
      <w:tr>
        <w:trPr>
          <w:tblHeader w:val="true"/>
          <w:cantSplit/>
        </w:trPr>
        <w:tc>
          <w:tcPr>
            <w:tcW w:type="dxa" w:w="1232"/>
            <w:shd w:val="clear" w:color="auto" w:fill="1B8354"/>
          </w:tcPr>
          <w:p>
            <w:pPr>
              <w:spacing w:after="0" w:line="252" w:lineRule="auto"/>
            </w:pPr>
            <w:r>
              <w:rPr>
                <w:b/>
                <w:color w:val="FFFFFF"/>
                <w:sz w:val="17"/>
              </w:rPr>
              <w:t>ID</w:t>
            </w:r>
          </w:p>
        </w:tc>
        <w:tc>
          <w:tcPr>
            <w:tcW w:type="dxa" w:w="6070"/>
            <w:shd w:val="clear" w:color="auto" w:fill="1B8354"/>
          </w:tcPr>
          <w:p>
            <w:pPr>
              <w:spacing w:after="0" w:line="252" w:lineRule="auto"/>
            </w:pPr>
            <w:r>
              <w:rPr>
                <w:b/>
                <w:color w:val="FFFFFF"/>
                <w:sz w:val="17"/>
              </w:rPr>
              <w:t>Criterion</w:t>
            </w:r>
          </w:p>
        </w:tc>
        <w:tc>
          <w:tcPr>
            <w:tcW w:type="dxa" w:w="4702"/>
            <w:shd w:val="clear" w:color="auto" w:fill="1B8354"/>
          </w:tcPr>
          <w:p>
            <w:pPr>
              <w:spacing w:after="0" w:line="252" w:lineRule="auto"/>
            </w:pPr>
            <w:r>
              <w:rPr>
                <w:b/>
                <w:color w:val="FFFFFF"/>
                <w:sz w:val="17"/>
              </w:rPr>
              <w:t>Method</w:t>
            </w:r>
          </w:p>
        </w:tc>
        <w:tc>
          <w:tcPr>
            <w:tcW w:type="dxa" w:w="3020"/>
            <w:shd w:val="clear" w:color="auto" w:fill="1B8354"/>
          </w:tcPr>
          <w:p>
            <w:pPr>
              <w:spacing w:after="0" w:line="252" w:lineRule="auto"/>
            </w:pPr>
            <w:r>
              <w:rPr>
                <w:b/>
                <w:color w:val="FFFFFF"/>
                <w:sz w:val="17"/>
              </w:rPr>
              <w:t>Threshold</w:t>
            </w:r>
          </w:p>
        </w:tc>
      </w:tr>
      <w:tr>
        <w:trPr>
          <w:cantSplit/>
        </w:trPr>
        <w:tc>
          <w:tcPr>
            <w:tcW w:type="dxa" w:w="1232"/>
          </w:tcPr>
          <w:p>
            <w:pPr>
              <w:spacing w:after="0" w:line="252" w:lineRule="auto"/>
            </w:pPr>
            <w:r>
              <w:rPr>
                <w:sz w:val="17"/>
              </w:rPr>
              <w:t>D1</w:t>
            </w:r>
          </w:p>
        </w:tc>
        <w:tc>
          <w:tcPr>
            <w:tcW w:type="dxa" w:w="6070"/>
          </w:tcPr>
          <w:p>
            <w:pPr>
              <w:spacing w:after="0" w:line="252" w:lineRule="auto"/>
            </w:pPr>
            <w:r>
              <w:rPr>
                <w:sz w:val="17"/>
              </w:rPr>
              <w:t xml:space="preserve">invalid ranges (start &gt; end, end &gt; today, start before data, empty) are rejected with a specific inline message and </w:t>
            </w:r>
            <w:r>
              <w:rPr>
                <w:b/>
                <w:sz w:val="17"/>
              </w:rPr>
              <w:t>no request is sent</w:t>
            </w:r>
          </w:p>
        </w:tc>
        <w:tc>
          <w:tcPr>
            <w:tcW w:type="dxa" w:w="4702"/>
          </w:tcPr>
          <w:p>
            <w:pPr>
              <w:spacing w:after="0" w:line="252" w:lineRule="auto"/>
            </w:pPr>
            <w:r>
              <w:rPr>
                <w:sz w:val="17"/>
              </w:rPr>
              <w:t>UI + network test, 12 cases</w:t>
            </w:r>
          </w:p>
        </w:tc>
        <w:tc>
          <w:tcPr>
            <w:tcW w:type="dxa" w:w="3020"/>
          </w:tcPr>
          <w:p>
            <w:pPr>
              <w:spacing w:after="0" w:line="252" w:lineRule="auto"/>
            </w:pPr>
            <w:r>
              <w:rPr>
                <w:sz w:val="17"/>
              </w:rPr>
              <w:t>100 %</w:t>
            </w:r>
          </w:p>
        </w:tc>
      </w:tr>
      <w:tr>
        <w:trPr>
          <w:cantSplit/>
        </w:trPr>
        <w:tc>
          <w:tcPr>
            <w:tcW w:type="dxa" w:w="1232"/>
            <w:shd w:val="clear" w:color="auto" w:fill="F9FAFB"/>
          </w:tcPr>
          <w:p>
            <w:pPr>
              <w:spacing w:after="0" w:line="252" w:lineRule="auto"/>
            </w:pPr>
            <w:r>
              <w:rPr>
                <w:sz w:val="17"/>
              </w:rPr>
              <w:t>D2</w:t>
            </w:r>
          </w:p>
        </w:tc>
        <w:tc>
          <w:tcPr>
            <w:tcW w:type="dxa" w:w="6070"/>
            <w:shd w:val="clear" w:color="auto" w:fill="F9FAFB"/>
          </w:tcPr>
          <w:p>
            <w:pPr>
              <w:spacing w:after="0" w:line="252" w:lineRule="auto"/>
            </w:pPr>
            <w:r>
              <w:rPr>
                <w:sz w:val="17"/>
              </w:rPr>
              <w:t>every preset equals its definition in §12.2</w:t>
            </w:r>
          </w:p>
        </w:tc>
        <w:tc>
          <w:tcPr>
            <w:tcW w:type="dxa" w:w="4702"/>
            <w:shd w:val="clear" w:color="auto" w:fill="F9FAFB"/>
          </w:tcPr>
          <w:p>
            <w:pPr>
              <w:spacing w:after="0" w:line="252" w:lineRule="auto"/>
            </w:pPr>
            <w:r>
              <w:rPr>
                <w:sz w:val="17"/>
              </w:rPr>
              <w:t>table-driven test over 24 reference dates (month ends, 1 Jan, 29 Feb, day rollover)</w:t>
            </w:r>
          </w:p>
        </w:tc>
        <w:tc>
          <w:tcPr>
            <w:tcW w:type="dxa" w:w="3020"/>
            <w:shd w:val="clear" w:color="auto" w:fill="F9FAFB"/>
          </w:tcPr>
          <w:p>
            <w:pPr>
              <w:spacing w:after="0" w:line="252" w:lineRule="auto"/>
            </w:pPr>
            <w:r>
              <w:rPr>
                <w:sz w:val="17"/>
              </w:rPr>
              <w:t>100 %</w:t>
            </w:r>
          </w:p>
        </w:tc>
      </w:tr>
      <w:tr>
        <w:trPr>
          <w:cantSplit/>
        </w:trPr>
        <w:tc>
          <w:tcPr>
            <w:tcW w:type="dxa" w:w="1232"/>
          </w:tcPr>
          <w:p>
            <w:pPr>
              <w:spacing w:after="0" w:line="252" w:lineRule="auto"/>
            </w:pPr>
            <w:r>
              <w:rPr>
                <w:sz w:val="17"/>
              </w:rPr>
              <w:t>D3</w:t>
            </w:r>
          </w:p>
        </w:tc>
        <w:tc>
          <w:tcPr>
            <w:tcW w:type="dxa" w:w="6070"/>
          </w:tcPr>
          <w:p>
            <w:pPr>
              <w:spacing w:after="0" w:line="252" w:lineRule="auto"/>
            </w:pPr>
            <w:r>
              <w:rPr>
                <w:sz w:val="17"/>
                <w:rtl/>
                <w:rFonts w:cs="Arial"/>
                <w:szCs w:val="17"/>
              </w:rPr>
              <w:t>‫«آخر 3 أشهر مكتملة»‬</w:t>
            </w:r>
            <w:r>
              <w:rPr>
                <w:sz w:val="17"/>
              </w:rPr>
              <w:t xml:space="preserve"> is exactly three complete calendar months for each month of 2026, and the Smart interpreter returns the same range</w:t>
            </w:r>
          </w:p>
        </w:tc>
        <w:tc>
          <w:tcPr>
            <w:tcW w:type="dxa" w:w="4702"/>
          </w:tcPr>
          <w:p>
            <w:pPr>
              <w:spacing w:after="0" w:line="252" w:lineRule="auto"/>
            </w:pPr>
            <w:r>
              <w:rPr>
                <w:sz w:val="17"/>
              </w:rPr>
              <w:t>test</w:t>
            </w:r>
          </w:p>
        </w:tc>
        <w:tc>
          <w:tcPr>
            <w:tcW w:type="dxa" w:w="3020"/>
          </w:tcPr>
          <w:p>
            <w:pPr>
              <w:spacing w:after="0" w:line="252" w:lineRule="auto"/>
            </w:pPr>
            <w:r>
              <w:rPr>
                <w:sz w:val="17"/>
              </w:rPr>
              <w:t>12/12</w:t>
            </w:r>
          </w:p>
        </w:tc>
      </w:tr>
      <w:tr>
        <w:trPr>
          <w:cantSplit/>
        </w:trPr>
        <w:tc>
          <w:tcPr>
            <w:tcW w:type="dxa" w:w="1232"/>
            <w:shd w:val="clear" w:color="auto" w:fill="F9FAFB"/>
          </w:tcPr>
          <w:p>
            <w:pPr>
              <w:spacing w:after="0" w:line="252" w:lineRule="auto"/>
            </w:pPr>
            <w:r>
              <w:rPr>
                <w:sz w:val="17"/>
              </w:rPr>
              <w:t>D4</w:t>
            </w:r>
          </w:p>
        </w:tc>
        <w:tc>
          <w:tcPr>
            <w:tcW w:type="dxa" w:w="6070"/>
            <w:shd w:val="clear" w:color="auto" w:fill="F9FAFB"/>
          </w:tcPr>
          <w:p>
            <w:pPr>
              <w:spacing w:after="0" w:line="252" w:lineRule="auto"/>
            </w:pPr>
            <w:r>
              <w:rPr>
                <w:sz w:val="17"/>
              </w:rPr>
              <w:t>the comparison period has an equal elapsed length and both date ranges are displayed</w:t>
            </w:r>
          </w:p>
        </w:tc>
        <w:tc>
          <w:tcPr>
            <w:tcW w:type="dxa" w:w="4702"/>
            <w:shd w:val="clear" w:color="auto" w:fill="F9FAFB"/>
          </w:tcPr>
          <w:p>
            <w:pPr>
              <w:spacing w:after="0" w:line="252" w:lineRule="auto"/>
            </w:pPr>
            <w:r>
              <w:rPr>
                <w:sz w:val="17"/>
              </w:rPr>
              <w:t>test over all presets</w:t>
            </w:r>
          </w:p>
        </w:tc>
        <w:tc>
          <w:tcPr>
            <w:tcW w:type="dxa" w:w="3020"/>
            <w:shd w:val="clear" w:color="auto" w:fill="F9FAFB"/>
          </w:tcPr>
          <w:p>
            <w:pPr>
              <w:spacing w:after="0" w:line="252" w:lineRule="auto"/>
            </w:pPr>
            <w:r>
              <w:rPr>
                <w:sz w:val="17"/>
              </w:rPr>
              <w:t>100 %</w:t>
            </w:r>
          </w:p>
        </w:tc>
      </w:tr>
      <w:tr>
        <w:trPr>
          <w:cantSplit/>
        </w:trPr>
        <w:tc>
          <w:tcPr>
            <w:tcW w:type="dxa" w:w="1232"/>
          </w:tcPr>
          <w:p>
            <w:pPr>
              <w:spacing w:after="0" w:line="252" w:lineRule="auto"/>
            </w:pPr>
            <w:r>
              <w:rPr>
                <w:sz w:val="17"/>
              </w:rPr>
              <w:t>D5</w:t>
            </w:r>
          </w:p>
        </w:tc>
        <w:tc>
          <w:tcPr>
            <w:tcW w:type="dxa" w:w="6070"/>
          </w:tcPr>
          <w:p>
            <w:pPr>
              <w:spacing w:after="0" w:line="252" w:lineRule="auto"/>
            </w:pPr>
            <w:r>
              <w:rPr>
                <w:sz w:val="17"/>
              </w:rPr>
              <w:t>all displayed and exported times/dates use Asia/Riyadh</w:t>
            </w:r>
          </w:p>
        </w:tc>
        <w:tc>
          <w:tcPr>
            <w:tcW w:type="dxa" w:w="4702"/>
          </w:tcPr>
          <w:p>
            <w:pPr>
              <w:spacing w:after="0" w:line="252" w:lineRule="auto"/>
            </w:pPr>
            <w:r>
              <w:rPr>
                <w:sz w:val="17"/>
              </w:rPr>
              <w:t>test at 21:00, 23:30, 00:30, 02:30 UTC</w:t>
            </w:r>
          </w:p>
        </w:tc>
        <w:tc>
          <w:tcPr>
            <w:tcW w:type="dxa" w:w="3020"/>
          </w:tcPr>
          <w:p>
            <w:pPr>
              <w:spacing w:after="0" w:line="252" w:lineRule="auto"/>
            </w:pPr>
            <w:r>
              <w:rPr>
                <w:sz w:val="17"/>
              </w:rPr>
              <w:t>0 off-by-one dates (screen, subtitle, file name, history)</w:t>
            </w:r>
          </w:p>
        </w:tc>
      </w:tr>
      <w:tr>
        <w:trPr>
          <w:cantSplit/>
        </w:trPr>
        <w:tc>
          <w:tcPr>
            <w:tcW w:type="dxa" w:w="1232"/>
            <w:shd w:val="clear" w:color="auto" w:fill="F9FAFB"/>
          </w:tcPr>
          <w:p>
            <w:pPr>
              <w:spacing w:after="0" w:line="252" w:lineRule="auto"/>
            </w:pPr>
            <w:r>
              <w:rPr>
                <w:sz w:val="17"/>
              </w:rPr>
              <w:t>D6</w:t>
            </w:r>
          </w:p>
        </w:tc>
        <w:tc>
          <w:tcPr>
            <w:tcW w:type="dxa" w:w="6070"/>
            <w:shd w:val="clear" w:color="auto" w:fill="F9FAFB"/>
          </w:tcPr>
          <w:p>
            <w:pPr>
              <w:spacing w:after="0" w:line="252" w:lineRule="auto"/>
            </w:pPr>
            <w:r>
              <w:rPr>
                <w:sz w:val="17"/>
              </w:rPr>
              <w:t>the active-filter count is correct; one click resets to defaults; persistence is stated</w:t>
            </w:r>
          </w:p>
        </w:tc>
        <w:tc>
          <w:tcPr>
            <w:tcW w:type="dxa" w:w="4702"/>
            <w:shd w:val="clear" w:color="auto" w:fill="F9FAFB"/>
          </w:tcPr>
          <w:p>
            <w:pPr>
              <w:spacing w:after="0" w:line="252" w:lineRule="auto"/>
            </w:pPr>
            <w:r>
              <w:rPr>
                <w:sz w:val="17"/>
              </w:rPr>
              <w:t>UI test</w:t>
            </w:r>
          </w:p>
        </w:tc>
        <w:tc>
          <w:tcPr>
            <w:tcW w:type="dxa" w:w="3020"/>
            <w:shd w:val="clear" w:color="auto" w:fill="F9FAFB"/>
          </w:tcPr>
          <w:p>
            <w:pPr>
              <w:spacing w:after="0" w:line="252" w:lineRule="auto"/>
            </w:pPr>
            <w:r>
              <w:rPr>
                <w:sz w:val="17"/>
              </w:rPr>
              <w:t>pass</w:t>
            </w:r>
          </w:p>
        </w:tc>
      </w:tr>
      <w:tr>
        <w:trPr>
          <w:cantSplit/>
        </w:trPr>
        <w:tc>
          <w:tcPr>
            <w:tcW w:type="dxa" w:w="1232"/>
          </w:tcPr>
          <w:p>
            <w:pPr>
              <w:spacing w:after="0" w:line="252" w:lineRule="auto"/>
            </w:pPr>
            <w:r>
              <w:rPr>
                <w:sz w:val="17"/>
              </w:rPr>
              <w:t>D7</w:t>
            </w:r>
          </w:p>
        </w:tc>
        <w:tc>
          <w:tcPr>
            <w:tcW w:type="dxa" w:w="6070"/>
          </w:tcPr>
          <w:p>
            <w:pPr>
              <w:spacing w:after="0" w:line="252" w:lineRule="auto"/>
            </w:pPr>
            <w:r>
              <w:rPr>
                <w:sz w:val="17"/>
              </w:rPr>
              <w:t xml:space="preserve">the data range is printed next to the control and </w:t>
            </w:r>
            <w:r>
              <w:rPr>
                <w:sz w:val="17"/>
                <w:rtl/>
                <w:rFonts w:cs="Arial"/>
                <w:szCs w:val="17"/>
              </w:rPr>
              <w:t>‫«كل البيانات»‬</w:t>
            </w:r>
            <w:r>
              <w:rPr>
                <w:sz w:val="17"/>
              </w:rPr>
              <w:t xml:space="preserve"> shows its start date</w:t>
            </w:r>
          </w:p>
        </w:tc>
        <w:tc>
          <w:tcPr>
            <w:tcW w:type="dxa" w:w="4702"/>
          </w:tcPr>
          <w:p>
            <w:pPr>
              <w:spacing w:after="0" w:line="252" w:lineRule="auto"/>
            </w:pPr>
            <w:r>
              <w:rPr>
                <w:sz w:val="17"/>
              </w:rPr>
              <w:t>UI test</w:t>
            </w:r>
          </w:p>
        </w:tc>
        <w:tc>
          <w:tcPr>
            <w:tcW w:type="dxa" w:w="3020"/>
          </w:tcPr>
          <w:p>
            <w:pPr>
              <w:spacing w:after="0" w:line="252" w:lineRule="auto"/>
            </w:pPr>
            <w:r>
              <w:rPr>
                <w:sz w:val="17"/>
              </w:rPr>
              <w:t>pass</w:t>
            </w:r>
          </w:p>
        </w:tc>
      </w:tr>
    </w:tbl>
    <w:p>
      <w:pPr>
        <w:spacing w:after="40"/>
      </w:pPr>
    </w:p>
    <w:p>
      <w:pPr>
        <w:pStyle w:val="Heading3"/>
      </w:pPr>
      <w:r>
        <w:t>AC-E — Proposed vs approved actions and plan revisions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37"/>
        <w:gridCol w:w="7022"/>
        <w:gridCol w:w="5079"/>
        <w:gridCol w:w="1685"/>
      </w:tblGrid>
      <w:tr>
        <w:trPr>
          <w:tblHeader w:val="true"/>
          <w:cantSplit/>
        </w:trPr>
        <w:tc>
          <w:tcPr>
            <w:tcW w:type="dxa" w:w="1237"/>
            <w:shd w:val="clear" w:color="auto" w:fill="1B8354"/>
          </w:tcPr>
          <w:p>
            <w:pPr>
              <w:spacing w:after="0" w:line="252" w:lineRule="auto"/>
            </w:pPr>
            <w:r>
              <w:rPr>
                <w:b/>
                <w:color w:val="FFFFFF"/>
                <w:sz w:val="17"/>
              </w:rPr>
              <w:t>ID</w:t>
            </w:r>
          </w:p>
        </w:tc>
        <w:tc>
          <w:tcPr>
            <w:tcW w:type="dxa" w:w="7022"/>
            <w:shd w:val="clear" w:color="auto" w:fill="1B8354"/>
          </w:tcPr>
          <w:p>
            <w:pPr>
              <w:spacing w:after="0" w:line="252" w:lineRule="auto"/>
            </w:pPr>
            <w:r>
              <w:rPr>
                <w:b/>
                <w:color w:val="FFFFFF"/>
                <w:sz w:val="17"/>
              </w:rPr>
              <w:t>Criterion</w:t>
            </w:r>
          </w:p>
        </w:tc>
        <w:tc>
          <w:tcPr>
            <w:tcW w:type="dxa" w:w="5079"/>
            <w:shd w:val="clear" w:color="auto" w:fill="1B8354"/>
          </w:tcPr>
          <w:p>
            <w:pPr>
              <w:spacing w:after="0" w:line="252" w:lineRule="auto"/>
            </w:pPr>
            <w:r>
              <w:rPr>
                <w:b/>
                <w:color w:val="FFFFFF"/>
                <w:sz w:val="17"/>
              </w:rPr>
              <w:t>Method</w:t>
            </w:r>
          </w:p>
        </w:tc>
        <w:tc>
          <w:tcPr>
            <w:tcW w:type="dxa" w:w="1685"/>
            <w:shd w:val="clear" w:color="auto" w:fill="1B8354"/>
          </w:tcPr>
          <w:p>
            <w:pPr>
              <w:spacing w:after="0" w:line="252" w:lineRule="auto"/>
            </w:pPr>
            <w:r>
              <w:rPr>
                <w:b/>
                <w:color w:val="FFFFFF"/>
                <w:sz w:val="17"/>
              </w:rPr>
              <w:t>Threshold</w:t>
            </w:r>
          </w:p>
        </w:tc>
      </w:tr>
      <w:tr>
        <w:trPr>
          <w:cantSplit/>
        </w:trPr>
        <w:tc>
          <w:tcPr>
            <w:tcW w:type="dxa" w:w="1237"/>
          </w:tcPr>
          <w:p>
            <w:pPr>
              <w:spacing w:after="0" w:line="252" w:lineRule="auto"/>
            </w:pPr>
            <w:r>
              <w:rPr>
                <w:sz w:val="17"/>
              </w:rPr>
              <w:t>E1</w:t>
            </w:r>
          </w:p>
        </w:tc>
        <w:tc>
          <w:tcPr>
            <w:tcW w:type="dxa" w:w="7022"/>
          </w:tcPr>
          <w:p>
            <w:pPr>
              <w:spacing w:after="0" w:line="252" w:lineRule="auto"/>
            </w:pPr>
            <w:r>
              <w:rPr>
                <w:sz w:val="17"/>
              </w:rPr>
              <w:t xml:space="preserve">every creation path (proposal, scenario, manual) yields status </w:t>
            </w:r>
            <w:r>
              <w:rPr>
                <w:b/>
                <w:sz w:val="17"/>
              </w:rPr>
              <w:t>proposed</w:t>
            </w:r>
            <w:r>
              <w:rPr>
                <w:sz w:val="17"/>
              </w:rPr>
              <w:t>; "approved" exists only after an approver action</w:t>
            </w:r>
          </w:p>
        </w:tc>
        <w:tc>
          <w:tcPr>
            <w:tcW w:type="dxa" w:w="5079"/>
          </w:tcPr>
          <w:p>
            <w:pPr>
              <w:spacing w:after="0" w:line="252" w:lineRule="auto"/>
            </w:pPr>
            <w:r>
              <w:rPr>
                <w:sz w:val="17"/>
              </w:rPr>
              <w:t>test all 3 paths</w:t>
            </w:r>
          </w:p>
        </w:tc>
        <w:tc>
          <w:tcPr>
            <w:tcW w:type="dxa" w:w="1685"/>
          </w:tcPr>
          <w:p>
            <w:pPr>
              <w:spacing w:after="0" w:line="252" w:lineRule="auto"/>
            </w:pPr>
            <w:r>
              <w:rPr>
                <w:sz w:val="17"/>
              </w:rPr>
              <w:t>0 direct approvals</w:t>
            </w:r>
          </w:p>
        </w:tc>
      </w:tr>
      <w:tr>
        <w:trPr>
          <w:cantSplit/>
        </w:trPr>
        <w:tc>
          <w:tcPr>
            <w:tcW w:type="dxa" w:w="1237"/>
            <w:shd w:val="clear" w:color="auto" w:fill="F9FAFB"/>
          </w:tcPr>
          <w:p>
            <w:pPr>
              <w:spacing w:after="0" w:line="252" w:lineRule="auto"/>
            </w:pPr>
            <w:r>
              <w:rPr>
                <w:sz w:val="17"/>
              </w:rPr>
              <w:t>E2</w:t>
            </w:r>
          </w:p>
        </w:tc>
        <w:tc>
          <w:tcPr>
            <w:tcW w:type="dxa" w:w="7022"/>
            <w:shd w:val="clear" w:color="auto" w:fill="F9FAFB"/>
          </w:tcPr>
          <w:p>
            <w:pPr>
              <w:spacing w:after="0" w:line="252" w:lineRule="auto"/>
            </w:pPr>
            <w:r>
              <w:rPr>
                <w:sz w:val="17"/>
              </w:rPr>
              <w:t>approval records approver, timestamp and version; the approver differs from the proposer when roles are enabled</w:t>
            </w:r>
          </w:p>
        </w:tc>
        <w:tc>
          <w:tcPr>
            <w:tcW w:type="dxa" w:w="5079"/>
            <w:shd w:val="clear" w:color="auto" w:fill="F9FAFB"/>
          </w:tcPr>
          <w:p>
            <w:pPr>
              <w:spacing w:after="0" w:line="252" w:lineRule="auto"/>
            </w:pPr>
            <w:r>
              <w:rPr>
                <w:sz w:val="17"/>
              </w:rPr>
              <w:t>UI + data test</w:t>
            </w:r>
          </w:p>
        </w:tc>
        <w:tc>
          <w:tcPr>
            <w:tcW w:type="dxa" w:w="1685"/>
            <w:shd w:val="clear" w:color="auto" w:fill="F9FAFB"/>
          </w:tcPr>
          <w:p>
            <w:pPr>
              <w:spacing w:after="0" w:line="252" w:lineRule="auto"/>
            </w:pPr>
            <w:r>
              <w:rPr>
                <w:sz w:val="17"/>
              </w:rPr>
              <w:t>100 % of approvals</w:t>
            </w:r>
          </w:p>
        </w:tc>
      </w:tr>
      <w:tr>
        <w:trPr>
          <w:cantSplit/>
        </w:trPr>
        <w:tc>
          <w:tcPr>
            <w:tcW w:type="dxa" w:w="1237"/>
          </w:tcPr>
          <w:p>
            <w:pPr>
              <w:spacing w:after="0" w:line="252" w:lineRule="auto"/>
            </w:pPr>
            <w:r>
              <w:rPr>
                <w:sz w:val="17"/>
              </w:rPr>
              <w:t>E3</w:t>
            </w:r>
          </w:p>
        </w:tc>
        <w:tc>
          <w:tcPr>
            <w:tcW w:type="dxa" w:w="7022"/>
          </w:tcPr>
          <w:p>
            <w:pPr>
              <w:spacing w:after="0" w:line="252" w:lineRule="auto"/>
            </w:pPr>
            <w:r>
              <w:rPr>
                <w:sz w:val="17"/>
              </w:rPr>
              <w:t xml:space="preserve">editing an approved plan or objective produces a </w:t>
            </w:r>
            <w:r>
              <w:rPr>
                <w:b/>
                <w:sz w:val="17"/>
              </w:rPr>
              <w:t>new draft revision</w:t>
            </w:r>
            <w:r>
              <w:rPr>
                <w:sz w:val="17"/>
              </w:rPr>
              <w:t xml:space="preserve"> (version + 1, approval cleared) or is blocked; the approved version is byte-identical afterwards</w:t>
            </w:r>
          </w:p>
        </w:tc>
        <w:tc>
          <w:tcPr>
            <w:tcW w:type="dxa" w:w="5079"/>
          </w:tcPr>
          <w:p>
            <w:pPr>
              <w:spacing w:after="0" w:line="252" w:lineRule="auto"/>
            </w:pPr>
            <w:r>
              <w:rPr>
                <w:sz w:val="17"/>
              </w:rPr>
              <w:t>repeat the observed case (change a scenario lever) and diff the stored record</w:t>
            </w:r>
          </w:p>
        </w:tc>
        <w:tc>
          <w:tcPr>
            <w:tcW w:type="dxa" w:w="1685"/>
          </w:tcPr>
          <w:p>
            <w:pPr>
              <w:spacing w:after="0" w:line="252" w:lineRule="auto"/>
            </w:pPr>
            <w:r>
              <w:rPr>
                <w:sz w:val="17"/>
              </w:rPr>
              <w:t>0 silent mutations</w:t>
            </w:r>
          </w:p>
        </w:tc>
      </w:tr>
      <w:tr>
        <w:trPr>
          <w:cantSplit/>
        </w:trPr>
        <w:tc>
          <w:tcPr>
            <w:tcW w:type="dxa" w:w="1237"/>
            <w:shd w:val="clear" w:color="auto" w:fill="F9FAFB"/>
          </w:tcPr>
          <w:p>
            <w:pPr>
              <w:spacing w:after="0" w:line="252" w:lineRule="auto"/>
            </w:pPr>
            <w:r>
              <w:rPr>
                <w:sz w:val="17"/>
              </w:rPr>
              <w:t>E4</w:t>
            </w:r>
          </w:p>
        </w:tc>
        <w:tc>
          <w:tcPr>
            <w:tcW w:type="dxa" w:w="7022"/>
            <w:shd w:val="clear" w:color="auto" w:fill="F9FAFB"/>
          </w:tcPr>
          <w:p>
            <w:pPr>
              <w:spacing w:after="0" w:line="252" w:lineRule="auto"/>
            </w:pPr>
            <w:r>
              <w:rPr>
                <w:sz w:val="17"/>
              </w:rPr>
              <w:t>every history entry carries an identity shown in the interface language</w:t>
            </w:r>
          </w:p>
        </w:tc>
        <w:tc>
          <w:tcPr>
            <w:tcW w:type="dxa" w:w="5079"/>
            <w:shd w:val="clear" w:color="auto" w:fill="F9FAFB"/>
          </w:tcPr>
          <w:p>
            <w:pPr>
              <w:spacing w:after="0" w:line="252" w:lineRule="auto"/>
            </w:pPr>
            <w:r>
              <w:rPr>
                <w:sz w:val="17"/>
              </w:rPr>
              <w:t>data test</w:t>
            </w:r>
          </w:p>
        </w:tc>
        <w:tc>
          <w:tcPr>
            <w:tcW w:type="dxa" w:w="1685"/>
            <w:shd w:val="clear" w:color="auto" w:fill="F9FAFB"/>
          </w:tcPr>
          <w:p>
            <w:pPr>
              <w:spacing w:after="0" w:line="252" w:lineRule="auto"/>
            </w:pPr>
            <w:r>
              <w:rPr>
                <w:sz w:val="17"/>
              </w:rPr>
              <w:t>100 %</w:t>
            </w:r>
          </w:p>
        </w:tc>
      </w:tr>
      <w:tr>
        <w:trPr>
          <w:cantSplit/>
        </w:trPr>
        <w:tc>
          <w:tcPr>
            <w:tcW w:type="dxa" w:w="1237"/>
          </w:tcPr>
          <w:p>
            <w:pPr>
              <w:spacing w:after="0" w:line="252" w:lineRule="auto"/>
            </w:pPr>
            <w:r>
              <w:rPr>
                <w:sz w:val="17"/>
              </w:rPr>
              <w:t>E5</w:t>
            </w:r>
          </w:p>
        </w:tc>
        <w:tc>
          <w:tcPr>
            <w:tcW w:type="dxa" w:w="7022"/>
          </w:tcPr>
          <w:p>
            <w:pPr>
              <w:spacing w:after="0" w:line="252" w:lineRule="auto"/>
            </w:pPr>
            <w:r>
              <w:rPr>
                <w:sz w:val="17"/>
              </w:rPr>
              <w:t>approving or rejecting a proposal in one scope/period does not hide it in another</w:t>
            </w:r>
          </w:p>
        </w:tc>
        <w:tc>
          <w:tcPr>
            <w:tcW w:type="dxa" w:w="5079"/>
          </w:tcPr>
          <w:p>
            <w:pPr>
              <w:spacing w:after="0" w:line="252" w:lineRule="auto"/>
            </w:pPr>
            <w:r>
              <w:rPr>
                <w:sz w:val="17"/>
              </w:rPr>
              <w:t>test</w:t>
            </w:r>
          </w:p>
        </w:tc>
        <w:tc>
          <w:tcPr>
            <w:tcW w:type="dxa" w:w="1685"/>
          </w:tcPr>
          <w:p>
            <w:pPr>
              <w:spacing w:after="0" w:line="252" w:lineRule="auto"/>
            </w:pPr>
            <w:r>
              <w:rPr>
                <w:sz w:val="17"/>
              </w:rPr>
              <w:t>pass</w:t>
            </w:r>
          </w:p>
        </w:tc>
      </w:tr>
    </w:tbl>
    <w:p>
      <w:pPr>
        <w:spacing w:after="40"/>
      </w:pPr>
    </w:p>
    <w:p>
      <w:pPr>
        <w:pStyle w:val="Heading3"/>
      </w:pPr>
      <w:r>
        <w:t>AC-F — Screen/export consistency</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38"/>
        <w:gridCol w:w="7089"/>
        <w:gridCol w:w="4357"/>
        <w:gridCol w:w="2339"/>
      </w:tblGrid>
      <w:tr>
        <w:trPr>
          <w:tblHeader w:val="true"/>
          <w:cantSplit/>
        </w:trPr>
        <w:tc>
          <w:tcPr>
            <w:tcW w:type="dxa" w:w="1238"/>
            <w:shd w:val="clear" w:color="auto" w:fill="1B8354"/>
          </w:tcPr>
          <w:p>
            <w:pPr>
              <w:spacing w:after="0" w:line="252" w:lineRule="auto"/>
            </w:pPr>
            <w:r>
              <w:rPr>
                <w:b/>
                <w:color w:val="FFFFFF"/>
                <w:sz w:val="17"/>
              </w:rPr>
              <w:t>ID</w:t>
            </w:r>
          </w:p>
        </w:tc>
        <w:tc>
          <w:tcPr>
            <w:tcW w:type="dxa" w:w="7089"/>
            <w:shd w:val="clear" w:color="auto" w:fill="1B8354"/>
          </w:tcPr>
          <w:p>
            <w:pPr>
              <w:spacing w:after="0" w:line="252" w:lineRule="auto"/>
            </w:pPr>
            <w:r>
              <w:rPr>
                <w:b/>
                <w:color w:val="FFFFFF"/>
                <w:sz w:val="17"/>
              </w:rPr>
              <w:t>Criterion</w:t>
            </w:r>
          </w:p>
        </w:tc>
        <w:tc>
          <w:tcPr>
            <w:tcW w:type="dxa" w:w="4357"/>
            <w:shd w:val="clear" w:color="auto" w:fill="1B8354"/>
          </w:tcPr>
          <w:p>
            <w:pPr>
              <w:spacing w:after="0" w:line="252" w:lineRule="auto"/>
            </w:pPr>
            <w:r>
              <w:rPr>
                <w:b/>
                <w:color w:val="FFFFFF"/>
                <w:sz w:val="17"/>
              </w:rPr>
              <w:t>Method</w:t>
            </w:r>
          </w:p>
        </w:tc>
        <w:tc>
          <w:tcPr>
            <w:tcW w:type="dxa" w:w="2339"/>
            <w:shd w:val="clear" w:color="auto" w:fill="1B8354"/>
          </w:tcPr>
          <w:p>
            <w:pPr>
              <w:spacing w:after="0" w:line="252" w:lineRule="auto"/>
            </w:pPr>
            <w:r>
              <w:rPr>
                <w:b/>
                <w:color w:val="FFFFFF"/>
                <w:sz w:val="17"/>
              </w:rPr>
              <w:t>Threshold</w:t>
            </w:r>
          </w:p>
        </w:tc>
      </w:tr>
      <w:tr>
        <w:trPr>
          <w:cantSplit/>
        </w:trPr>
        <w:tc>
          <w:tcPr>
            <w:tcW w:type="dxa" w:w="1238"/>
          </w:tcPr>
          <w:p>
            <w:pPr>
              <w:spacing w:after="0" w:line="252" w:lineRule="auto"/>
            </w:pPr>
            <w:r>
              <w:rPr>
                <w:sz w:val="17"/>
              </w:rPr>
              <w:t>F1</w:t>
            </w:r>
          </w:p>
        </w:tc>
        <w:tc>
          <w:tcPr>
            <w:tcW w:type="dxa" w:w="7089"/>
          </w:tcPr>
          <w:p>
            <w:pPr>
              <w:spacing w:after="0" w:line="252" w:lineRule="auto"/>
            </w:pPr>
            <w:r>
              <w:rPr>
                <w:sz w:val="17"/>
              </w:rPr>
              <w:t>every table row (including totals), chart series and callout shown on screen exists in Word, Excel and PowerPoint; amounts match the exact-SAR sheet</w:t>
            </w:r>
          </w:p>
        </w:tc>
        <w:tc>
          <w:tcPr>
            <w:tcW w:type="dxa" w:w="4357"/>
          </w:tcPr>
          <w:p>
            <w:pPr>
              <w:spacing w:after="0" w:line="252" w:lineRule="auto"/>
            </w:pPr>
            <w:r>
              <w:rPr>
                <w:sz w:val="17"/>
              </w:rPr>
              <w:t>parity script over 9 fixed reports + Smart report + plan summary</w:t>
            </w:r>
          </w:p>
        </w:tc>
        <w:tc>
          <w:tcPr>
            <w:tcW w:type="dxa" w:w="2339"/>
          </w:tcPr>
          <w:p>
            <w:pPr>
              <w:spacing w:after="0" w:line="252" w:lineRule="auto"/>
            </w:pPr>
            <w:r>
              <w:rPr>
                <w:sz w:val="17"/>
              </w:rPr>
              <w:t xml:space="preserve">100 % of rows; </w:t>
            </w:r>
            <w:r>
              <w:rPr>
                <w:b/>
                <w:sz w:val="17"/>
              </w:rPr>
              <w:t>0 truncated tables</w:t>
            </w:r>
          </w:p>
        </w:tc>
      </w:tr>
      <w:tr>
        <w:trPr>
          <w:cantSplit/>
        </w:trPr>
        <w:tc>
          <w:tcPr>
            <w:tcW w:type="dxa" w:w="1238"/>
            <w:shd w:val="clear" w:color="auto" w:fill="F9FAFB"/>
          </w:tcPr>
          <w:p>
            <w:pPr>
              <w:spacing w:after="0" w:line="252" w:lineRule="auto"/>
            </w:pPr>
            <w:r>
              <w:rPr>
                <w:sz w:val="17"/>
              </w:rPr>
              <w:t>F2</w:t>
            </w:r>
          </w:p>
        </w:tc>
        <w:tc>
          <w:tcPr>
            <w:tcW w:type="dxa" w:w="7089"/>
            <w:shd w:val="clear" w:color="auto" w:fill="F9FAFB"/>
          </w:tcPr>
          <w:p>
            <w:pPr>
              <w:spacing w:after="0" w:line="252" w:lineRule="auto"/>
            </w:pPr>
            <w:r>
              <w:rPr>
                <w:sz w:val="17"/>
              </w:rPr>
              <w:t>each export carries period, scope, basis, data cut-off, generated time (Riyadh) and the data label</w:t>
            </w:r>
          </w:p>
        </w:tc>
        <w:tc>
          <w:tcPr>
            <w:tcW w:type="dxa" w:w="4357"/>
            <w:shd w:val="clear" w:color="auto" w:fill="F9FAFB"/>
          </w:tcPr>
          <w:p>
            <w:pPr>
              <w:spacing w:after="0" w:line="252" w:lineRule="auto"/>
            </w:pPr>
            <w:r>
              <w:rPr>
                <w:sz w:val="17"/>
              </w:rPr>
              <w:t>parse files</w:t>
            </w:r>
          </w:p>
        </w:tc>
        <w:tc>
          <w:tcPr>
            <w:tcW w:type="dxa" w:w="2339"/>
            <w:shd w:val="clear" w:color="auto" w:fill="F9FAFB"/>
          </w:tcPr>
          <w:p>
            <w:pPr>
              <w:spacing w:after="0" w:line="252" w:lineRule="auto"/>
            </w:pPr>
            <w:r>
              <w:rPr>
                <w:sz w:val="17"/>
              </w:rPr>
              <w:t>100 %</w:t>
            </w:r>
          </w:p>
        </w:tc>
      </w:tr>
      <w:tr>
        <w:trPr>
          <w:cantSplit/>
        </w:trPr>
        <w:tc>
          <w:tcPr>
            <w:tcW w:type="dxa" w:w="1238"/>
          </w:tcPr>
          <w:p>
            <w:pPr>
              <w:spacing w:after="0" w:line="252" w:lineRule="auto"/>
            </w:pPr>
            <w:r>
              <w:rPr>
                <w:sz w:val="17"/>
              </w:rPr>
              <w:t>F3</w:t>
            </w:r>
          </w:p>
        </w:tc>
        <w:tc>
          <w:tcPr>
            <w:tcW w:type="dxa" w:w="7089"/>
          </w:tcPr>
          <w:p>
            <w:pPr>
              <w:spacing w:after="0" w:line="252" w:lineRule="auto"/>
            </w:pPr>
            <w:r>
              <w:rPr>
                <w:sz w:val="17"/>
              </w:rPr>
              <w:t xml:space="preserve">percentage columns show </w:t>
            </w:r>
            <w:r>
              <w:rPr>
                <w:sz w:val="17"/>
                <w:rtl/>
                <w:rFonts w:cs="Arial"/>
                <w:szCs w:val="17"/>
              </w:rPr>
              <w:t>‫«٪/%»‬</w:t>
            </w:r>
            <w:r>
              <w:rPr>
                <w:sz w:val="17"/>
              </w:rPr>
              <w:t xml:space="preserve"> in the header; sheet names are not cut mid-word</w:t>
            </w:r>
          </w:p>
        </w:tc>
        <w:tc>
          <w:tcPr>
            <w:tcW w:type="dxa" w:w="4357"/>
          </w:tcPr>
          <w:p>
            <w:pPr>
              <w:spacing w:after="0" w:line="252" w:lineRule="auto"/>
            </w:pPr>
            <w:r>
              <w:rPr>
                <w:sz w:val="17"/>
              </w:rPr>
              <w:t>file test</w:t>
            </w:r>
          </w:p>
        </w:tc>
        <w:tc>
          <w:tcPr>
            <w:tcW w:type="dxa" w:w="2339"/>
          </w:tcPr>
          <w:p>
            <w:pPr>
              <w:spacing w:after="0" w:line="252" w:lineRule="auto"/>
            </w:pPr>
            <w:r>
              <w:rPr>
                <w:sz w:val="17"/>
              </w:rPr>
              <w:t>pass</w:t>
            </w:r>
          </w:p>
        </w:tc>
      </w:tr>
      <w:tr>
        <w:trPr>
          <w:cantSplit/>
        </w:trPr>
        <w:tc>
          <w:tcPr>
            <w:tcW w:type="dxa" w:w="1238"/>
            <w:shd w:val="clear" w:color="auto" w:fill="F9FAFB"/>
          </w:tcPr>
          <w:p>
            <w:pPr>
              <w:spacing w:after="0" w:line="252" w:lineRule="auto"/>
            </w:pPr>
            <w:r>
              <w:rPr>
                <w:sz w:val="17"/>
              </w:rPr>
              <w:t>F4</w:t>
            </w:r>
          </w:p>
        </w:tc>
        <w:tc>
          <w:tcPr>
            <w:tcW w:type="dxa" w:w="7089"/>
            <w:shd w:val="clear" w:color="auto" w:fill="F9FAFB"/>
          </w:tcPr>
          <w:p>
            <w:pPr>
              <w:spacing w:after="0" w:line="252" w:lineRule="auto"/>
            </w:pPr>
            <w:r>
              <w:rPr>
                <w:sz w:val="17"/>
              </w:rPr>
              <w:t>export file name and subtitle use the same (Riyadh) date</w:t>
            </w:r>
          </w:p>
        </w:tc>
        <w:tc>
          <w:tcPr>
            <w:tcW w:type="dxa" w:w="4357"/>
            <w:shd w:val="clear" w:color="auto" w:fill="F9FAFB"/>
          </w:tcPr>
          <w:p>
            <w:pPr>
              <w:spacing w:after="0" w:line="252" w:lineRule="auto"/>
            </w:pPr>
            <w:r>
              <w:rPr>
                <w:sz w:val="17"/>
              </w:rPr>
              <w:t>test</w:t>
            </w:r>
          </w:p>
        </w:tc>
        <w:tc>
          <w:tcPr>
            <w:tcW w:type="dxa" w:w="2339"/>
            <w:shd w:val="clear" w:color="auto" w:fill="F9FAFB"/>
          </w:tcPr>
          <w:p>
            <w:pPr>
              <w:spacing w:after="0" w:line="252" w:lineRule="auto"/>
            </w:pPr>
            <w:r>
              <w:rPr>
                <w:sz w:val="17"/>
              </w:rPr>
              <w:t>pass</w:t>
            </w:r>
          </w:p>
        </w:tc>
      </w:tr>
    </w:tbl>
    <w:p>
      <w:pPr>
        <w:spacing w:after="40"/>
      </w:pPr>
    </w:p>
    <w:p>
      <w:pPr>
        <w:pStyle w:val="Heading3"/>
      </w:pPr>
      <w:r>
        <w:t>AC-G — Concise Arabic content and platform-wide visual consistency</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1229"/>
        <w:gridCol w:w="8885"/>
        <w:gridCol w:w="3681"/>
        <w:gridCol w:w="1229"/>
      </w:tblGrid>
      <w:tr>
        <w:trPr>
          <w:tblHeader w:val="true"/>
          <w:cantSplit/>
        </w:trPr>
        <w:tc>
          <w:tcPr>
            <w:tcW w:type="dxa" w:w="1229"/>
            <w:shd w:val="clear" w:color="auto" w:fill="1B8354"/>
          </w:tcPr>
          <w:p>
            <w:pPr>
              <w:spacing w:after="0" w:line="252" w:lineRule="auto"/>
            </w:pPr>
            <w:r>
              <w:rPr>
                <w:b/>
                <w:color w:val="FFFFFF"/>
                <w:sz w:val="17"/>
              </w:rPr>
              <w:t>ID</w:t>
            </w:r>
          </w:p>
        </w:tc>
        <w:tc>
          <w:tcPr>
            <w:tcW w:type="dxa" w:w="8885"/>
            <w:shd w:val="clear" w:color="auto" w:fill="1B8354"/>
          </w:tcPr>
          <w:p>
            <w:pPr>
              <w:spacing w:after="0" w:line="252" w:lineRule="auto"/>
            </w:pPr>
            <w:r>
              <w:rPr>
                <w:b/>
                <w:color w:val="FFFFFF"/>
                <w:sz w:val="17"/>
              </w:rPr>
              <w:t>Criterion</w:t>
            </w:r>
          </w:p>
        </w:tc>
        <w:tc>
          <w:tcPr>
            <w:tcW w:type="dxa" w:w="3681"/>
            <w:shd w:val="clear" w:color="auto" w:fill="1B8354"/>
          </w:tcPr>
          <w:p>
            <w:pPr>
              <w:spacing w:after="0" w:line="252" w:lineRule="auto"/>
            </w:pPr>
            <w:r>
              <w:rPr>
                <w:b/>
                <w:color w:val="FFFFFF"/>
                <w:sz w:val="17"/>
              </w:rPr>
              <w:t>Method</w:t>
            </w:r>
          </w:p>
        </w:tc>
        <w:tc>
          <w:tcPr>
            <w:tcW w:type="dxa" w:w="1229"/>
            <w:shd w:val="clear" w:color="auto" w:fill="1B8354"/>
          </w:tcPr>
          <w:p>
            <w:pPr>
              <w:spacing w:after="0" w:line="252" w:lineRule="auto"/>
            </w:pPr>
            <w:r>
              <w:rPr>
                <w:b/>
                <w:color w:val="FFFFFF"/>
                <w:sz w:val="17"/>
              </w:rPr>
              <w:t>Threshold</w:t>
            </w:r>
          </w:p>
        </w:tc>
      </w:tr>
      <w:tr>
        <w:trPr>
          <w:cantSplit/>
        </w:trPr>
        <w:tc>
          <w:tcPr>
            <w:tcW w:type="dxa" w:w="1229"/>
          </w:tcPr>
          <w:p>
            <w:pPr>
              <w:spacing w:after="0" w:line="252" w:lineRule="auto"/>
            </w:pPr>
            <w:r>
              <w:rPr>
                <w:sz w:val="17"/>
              </w:rPr>
              <w:t>G1</w:t>
            </w:r>
          </w:p>
        </w:tc>
        <w:tc>
          <w:tcPr>
            <w:tcW w:type="dxa" w:w="8885"/>
          </w:tcPr>
          <w:p>
            <w:pPr>
              <w:spacing w:after="0" w:line="252" w:lineRule="auto"/>
            </w:pPr>
            <w:r>
              <w:rPr>
                <w:sz w:val="17"/>
              </w:rPr>
              <w:t xml:space="preserve">Dashboard default view ≤ </w:t>
            </w:r>
            <w:r>
              <w:rPr>
                <w:b/>
                <w:sz w:val="17"/>
              </w:rPr>
              <w:t>450</w:t>
            </w:r>
            <w:r>
              <w:rPr>
                <w:sz w:val="17"/>
              </w:rPr>
              <w:t xml:space="preserve"> visible words; monthly report first KPI within </w:t>
            </w:r>
            <w:r>
              <w:rPr>
                <w:b/>
                <w:sz w:val="17"/>
              </w:rPr>
              <w:t>450 px</w:t>
            </w:r>
            <w:r>
              <w:rPr>
                <w:sz w:val="17"/>
              </w:rPr>
              <w:t xml:space="preserve"> of the page top; Planning first section within </w:t>
            </w:r>
            <w:r>
              <w:rPr>
                <w:b/>
                <w:sz w:val="17"/>
              </w:rPr>
              <w:t>600 px</w:t>
            </w:r>
            <w:r>
              <w:rPr>
                <w:sz w:val="17"/>
              </w:rPr>
              <w:t xml:space="preserve">; ≤ </w:t>
            </w:r>
            <w:r>
              <w:rPr>
                <w:b/>
                <w:sz w:val="17"/>
              </w:rPr>
              <w:t>6</w:t>
            </w:r>
            <w:r>
              <w:rPr>
                <w:sz w:val="17"/>
              </w:rPr>
              <w:t xml:space="preserve"> status pills per page; every tooltip ≤ </w:t>
            </w:r>
            <w:r>
              <w:rPr>
                <w:b/>
                <w:sz w:val="17"/>
              </w:rPr>
              <w:t>25</w:t>
            </w:r>
            <w:r>
              <w:rPr>
                <w:sz w:val="17"/>
              </w:rPr>
              <w:t xml:space="preserve"> words</w:t>
            </w:r>
          </w:p>
        </w:tc>
        <w:tc>
          <w:tcPr>
            <w:tcW w:type="dxa" w:w="3681"/>
          </w:tcPr>
          <w:p>
            <w:pPr>
              <w:spacing w:after="0" w:line="252" w:lineRule="auto"/>
            </w:pPr>
            <w:r>
              <w:rPr>
                <w:sz w:val="17"/>
              </w:rPr>
              <w:t>scripted measurement (as in §10)</w:t>
            </w:r>
          </w:p>
        </w:tc>
        <w:tc>
          <w:tcPr>
            <w:tcW w:type="dxa" w:w="1229"/>
          </w:tcPr>
          <w:p>
            <w:pPr>
              <w:spacing w:after="0" w:line="252" w:lineRule="auto"/>
            </w:pPr>
            <w:r>
              <w:rPr>
                <w:sz w:val="17"/>
              </w:rPr>
              <w:t>all pass</w:t>
            </w:r>
          </w:p>
        </w:tc>
      </w:tr>
      <w:tr>
        <w:trPr>
          <w:cantSplit/>
        </w:trPr>
        <w:tc>
          <w:tcPr>
            <w:tcW w:type="dxa" w:w="1229"/>
            <w:shd w:val="clear" w:color="auto" w:fill="F9FAFB"/>
          </w:tcPr>
          <w:p>
            <w:pPr>
              <w:spacing w:after="0" w:line="252" w:lineRule="auto"/>
            </w:pPr>
            <w:r>
              <w:rPr>
                <w:sz w:val="17"/>
              </w:rPr>
              <w:t>G2</w:t>
            </w:r>
          </w:p>
        </w:tc>
        <w:tc>
          <w:tcPr>
            <w:tcW w:type="dxa" w:w="8885"/>
            <w:shd w:val="clear" w:color="auto" w:fill="F9FAFB"/>
          </w:tcPr>
          <w:p>
            <w:pPr>
              <w:spacing w:after="0" w:line="252" w:lineRule="auto"/>
            </w:pPr>
            <w:r>
              <w:rPr>
                <w:sz w:val="17"/>
              </w:rPr>
              <w:t>copy lint: 0 raw keys/ids/rule codes, 0 English words in Arabic strings (allow-list only), 100 % glossary terms (§10.3), 0 strings on the false-statement blacklist</w:t>
            </w:r>
          </w:p>
        </w:tc>
        <w:tc>
          <w:tcPr>
            <w:tcW w:type="dxa" w:w="3681"/>
            <w:shd w:val="clear" w:color="auto" w:fill="F9FAFB"/>
          </w:tcPr>
          <w:p>
            <w:pPr>
              <w:spacing w:after="0" w:line="252" w:lineRule="auto"/>
            </w:pPr>
            <w:r>
              <w:rPr>
                <w:sz w:val="17"/>
              </w:rPr>
              <w:t>lint</w:t>
            </w:r>
          </w:p>
        </w:tc>
        <w:tc>
          <w:tcPr>
            <w:tcW w:type="dxa" w:w="1229"/>
            <w:shd w:val="clear" w:color="auto" w:fill="F9FAFB"/>
          </w:tcPr>
          <w:p>
            <w:pPr>
              <w:spacing w:after="0" w:line="252" w:lineRule="auto"/>
            </w:pPr>
            <w:r>
              <w:rPr>
                <w:sz w:val="17"/>
              </w:rPr>
              <w:t>pass</w:t>
            </w:r>
          </w:p>
        </w:tc>
      </w:tr>
      <w:tr>
        <w:trPr>
          <w:cantSplit/>
        </w:trPr>
        <w:tc>
          <w:tcPr>
            <w:tcW w:type="dxa" w:w="1229"/>
          </w:tcPr>
          <w:p>
            <w:pPr>
              <w:spacing w:after="0" w:line="252" w:lineRule="auto"/>
            </w:pPr>
            <w:r>
              <w:rPr>
                <w:sz w:val="17"/>
              </w:rPr>
              <w:t>G3</w:t>
            </w:r>
          </w:p>
        </w:tc>
        <w:tc>
          <w:tcPr>
            <w:tcW w:type="dxa" w:w="8885"/>
          </w:tcPr>
          <w:p>
            <w:pPr>
              <w:spacing w:after="0" w:line="252" w:lineRule="auto"/>
            </w:pPr>
            <w:r>
              <w:rPr>
                <w:sz w:val="17"/>
              </w:rPr>
              <w:t>tokens: 0 raw hex values outside the token file; 100 % of text sizes within the DGA scale; spacing multiples of 4 ≥ 95 %; one font family; weights 400–700 only</w:t>
            </w:r>
          </w:p>
        </w:tc>
        <w:tc>
          <w:tcPr>
            <w:tcW w:type="dxa" w:w="3681"/>
          </w:tcPr>
          <w:p>
            <w:pPr>
              <w:spacing w:after="0" w:line="252" w:lineRule="auto"/>
            </w:pPr>
            <w:r>
              <w:rPr>
                <w:sz w:val="17"/>
              </w:rPr>
              <w:t>lint + computed-style script</w:t>
            </w:r>
          </w:p>
        </w:tc>
        <w:tc>
          <w:tcPr>
            <w:tcW w:type="dxa" w:w="1229"/>
          </w:tcPr>
          <w:p>
            <w:pPr>
              <w:spacing w:after="0" w:line="252" w:lineRule="auto"/>
            </w:pPr>
            <w:r>
              <w:rPr>
                <w:sz w:val="17"/>
              </w:rPr>
              <w:t>pass</w:t>
            </w:r>
          </w:p>
        </w:tc>
      </w:tr>
      <w:tr>
        <w:trPr>
          <w:cantSplit/>
        </w:trPr>
        <w:tc>
          <w:tcPr>
            <w:tcW w:type="dxa" w:w="1229"/>
            <w:shd w:val="clear" w:color="auto" w:fill="F9FAFB"/>
          </w:tcPr>
          <w:p>
            <w:pPr>
              <w:spacing w:after="0" w:line="252" w:lineRule="auto"/>
            </w:pPr>
            <w:r>
              <w:rPr>
                <w:sz w:val="17"/>
              </w:rPr>
              <w:t>G4</w:t>
            </w:r>
          </w:p>
        </w:tc>
        <w:tc>
          <w:tcPr>
            <w:tcW w:type="dxa" w:w="8885"/>
            <w:shd w:val="clear" w:color="auto" w:fill="F9FAFB"/>
          </w:tcPr>
          <w:p>
            <w:pPr>
              <w:spacing w:after="0" w:line="252" w:lineRule="auto"/>
            </w:pPr>
            <w:r>
              <w:rPr>
                <w:sz w:val="17"/>
              </w:rPr>
              <w:t xml:space="preserve">accessibility: 0 WCAG 2.1 AA contrast failures on the 13 routes; targets ≥ 24 px (100 %) and ≥ 44 px on touch widths; one </w:t>
            </w:r>
            <w:r>
              <w:rPr>
                <w:rFonts w:ascii="Consolas" w:hAnsi="Consolas" w:cs="Consolas"/>
                <w:color w:val="B42318"/>
                <w:sz w:val="16"/>
              </w:rPr>
              <w:t>h1</w:t>
            </w:r>
            <w:r>
              <w:rPr>
                <w:sz w:val="17"/>
              </w:rPr>
              <w:t xml:space="preserve"> per page and landmarks on 13/13; visible focus (≥ 3:1); keyboard walk-through of the 5 main journeys passes</w:t>
            </w:r>
          </w:p>
        </w:tc>
        <w:tc>
          <w:tcPr>
            <w:tcW w:type="dxa" w:w="3681"/>
            <w:shd w:val="clear" w:color="auto" w:fill="F9FAFB"/>
          </w:tcPr>
          <w:p>
            <w:pPr>
              <w:spacing w:after="0" w:line="252" w:lineRule="auto"/>
            </w:pPr>
            <w:r>
              <w:rPr>
                <w:sz w:val="17"/>
              </w:rPr>
              <w:t>axe + custom script + manual pass</w:t>
            </w:r>
          </w:p>
        </w:tc>
        <w:tc>
          <w:tcPr>
            <w:tcW w:type="dxa" w:w="1229"/>
            <w:shd w:val="clear" w:color="auto" w:fill="F9FAFB"/>
          </w:tcPr>
          <w:p>
            <w:pPr>
              <w:spacing w:after="0" w:line="252" w:lineRule="auto"/>
            </w:pPr>
            <w:r>
              <w:rPr>
                <w:sz w:val="17"/>
              </w:rPr>
              <w:t>pass</w:t>
            </w:r>
          </w:p>
        </w:tc>
      </w:tr>
      <w:tr>
        <w:trPr>
          <w:cantSplit/>
        </w:trPr>
        <w:tc>
          <w:tcPr>
            <w:tcW w:type="dxa" w:w="1229"/>
          </w:tcPr>
          <w:p>
            <w:pPr>
              <w:spacing w:after="0" w:line="252" w:lineRule="auto"/>
            </w:pPr>
            <w:r>
              <w:rPr>
                <w:sz w:val="17"/>
              </w:rPr>
              <w:t>G5</w:t>
            </w:r>
          </w:p>
        </w:tc>
        <w:tc>
          <w:tcPr>
            <w:tcW w:type="dxa" w:w="8885"/>
          </w:tcPr>
          <w:p>
            <w:pPr>
              <w:spacing w:after="0" w:line="252" w:lineRule="auto"/>
            </w:pPr>
            <w:r>
              <w:rPr>
                <w:sz w:val="17"/>
              </w:rPr>
              <w:t>responsive: no horizontal overflow at 375, 768, 1,280 px; header ≤ 25 % of the viewport height at 375 px</w:t>
            </w:r>
          </w:p>
        </w:tc>
        <w:tc>
          <w:tcPr>
            <w:tcW w:type="dxa" w:w="3681"/>
          </w:tcPr>
          <w:p>
            <w:pPr>
              <w:spacing w:after="0" w:line="252" w:lineRule="auto"/>
            </w:pPr>
            <w:r>
              <w:rPr>
                <w:sz w:val="17"/>
              </w:rPr>
              <w:t>visual-regression snapshots</w:t>
            </w:r>
          </w:p>
        </w:tc>
        <w:tc>
          <w:tcPr>
            <w:tcW w:type="dxa" w:w="1229"/>
          </w:tcPr>
          <w:p>
            <w:pPr>
              <w:spacing w:after="0" w:line="252" w:lineRule="auto"/>
            </w:pPr>
            <w:r>
              <w:rPr>
                <w:sz w:val="17"/>
              </w:rPr>
              <w:t>pass</w:t>
            </w:r>
          </w:p>
        </w:tc>
      </w:tr>
      <w:tr>
        <w:trPr>
          <w:cantSplit/>
        </w:trPr>
        <w:tc>
          <w:tcPr>
            <w:tcW w:type="dxa" w:w="1229"/>
            <w:shd w:val="clear" w:color="auto" w:fill="F9FAFB"/>
          </w:tcPr>
          <w:p>
            <w:pPr>
              <w:spacing w:after="0" w:line="252" w:lineRule="auto"/>
            </w:pPr>
            <w:r>
              <w:rPr>
                <w:sz w:val="17"/>
              </w:rPr>
              <w:t>G6</w:t>
            </w:r>
          </w:p>
        </w:tc>
        <w:tc>
          <w:tcPr>
            <w:tcW w:type="dxa" w:w="8885"/>
            <w:shd w:val="clear" w:color="auto" w:fill="F9FAFB"/>
          </w:tcPr>
          <w:p>
            <w:pPr>
              <w:spacing w:after="0" w:line="252" w:lineRule="auto"/>
            </w:pPr>
            <w:r>
              <w:rPr>
                <w:sz w:val="17"/>
              </w:rPr>
              <w:t>logo and name appear per the supplied asset rules (when provided); favicon and tab title use the approved name</w:t>
            </w:r>
          </w:p>
        </w:tc>
        <w:tc>
          <w:tcPr>
            <w:tcW w:type="dxa" w:w="3681"/>
            <w:shd w:val="clear" w:color="auto" w:fill="F9FAFB"/>
          </w:tcPr>
          <w:p>
            <w:pPr>
              <w:spacing w:after="0" w:line="252" w:lineRule="auto"/>
            </w:pPr>
            <w:r>
              <w:rPr>
                <w:sz w:val="17"/>
              </w:rPr>
              <w:t>review</w:t>
            </w:r>
          </w:p>
        </w:tc>
        <w:tc>
          <w:tcPr>
            <w:tcW w:type="dxa" w:w="1229"/>
            <w:shd w:val="clear" w:color="auto" w:fill="F9FAFB"/>
          </w:tcPr>
          <w:p>
            <w:pPr>
              <w:spacing w:after="0" w:line="252" w:lineRule="auto"/>
            </w:pPr>
            <w:r>
              <w:rPr>
                <w:sz w:val="17"/>
              </w:rPr>
              <w:t>pass</w:t>
            </w:r>
          </w:p>
        </w:tc>
      </w:tr>
    </w:tbl>
    <w:p>
      <w:pPr>
        <w:spacing w:after="40"/>
      </w:pPr>
    </w:p>
    <w:p>
      <w:pPr>
        <w:pStyle w:val="Heading2"/>
      </w:pPr>
      <w:r>
        <w:t>31. Phased implementation plan (not started)</w:t>
      </w:r>
    </w:p>
    <w:p>
      <w:r>
        <w:t xml:space="preserve">Order: stop misleading output → one measurement/period contract → plan binding and workflow → foundation and migration → conformance. Items that wait for a decision or an asset are marked </w:t>
      </w:r>
      <w:r>
        <w:rPr>
          <w:b/>
        </w:rPr>
        <w:t>[B]</w:t>
      </w:r>
      <w:r>
        <w:t xml:space="preserve"> or </w:t>
      </w:r>
      <w:r>
        <w:rPr>
          <w:b/>
        </w:rPr>
        <w:t>[C]</w:t>
      </w:r>
      <w:r>
        <w:t xml:space="preserve"> and have a labelled default so work never stops.</w:t>
      </w:r>
    </w:p>
    <w:tbl>
      <w:tblPr>
        <w:tblW w:type="auto" w:w="0"/>
        <w:jc w:val="center"/>
        <w:tblLayout w:type="fixed"/>
        <w:tblLook w:firstColumn="1" w:firstRow="1" w:lastColumn="0" w:lastRow="0" w:noHBand="0" w:noVBand="1" w:val="04A0"/>
        <w:tblBorders>
          <w:top w:val="single" w:sz="4" w:space="0" w:color="D2D6DB"/>
          <w:left w:val="single" w:sz="4" w:space="0" w:color="D2D6DB"/>
          <w:bottom w:val="single" w:sz="4" w:space="0" w:color="D2D6DB"/>
          <w:right w:val="single" w:sz="4" w:space="0" w:color="D2D6DB"/>
          <w:insideH w:val="single" w:sz="4" w:space="0" w:color="D2D6DB"/>
          <w:insideV w:val="single" w:sz="4" w:space="0" w:color="D2D6DB"/>
        </w:tblBorders>
        <w:tblCellMar>
          <w:top w:w="40" w:type="dxa"/>
          <w:left w:w="70" w:type="dxa"/>
          <w:bottom w:w="40" w:type="dxa"/>
          <w:right w:w="70" w:type="dxa"/>
        </w:tblCellMar>
        <w:tblLayout w:type="fixed"/>
      </w:tblPr>
      <w:tblGrid>
        <w:gridCol w:w="2105"/>
        <w:gridCol w:w="2603"/>
        <w:gridCol w:w="4462"/>
        <w:gridCol w:w="2439"/>
        <w:gridCol w:w="3414"/>
      </w:tblGrid>
      <w:tr>
        <w:trPr>
          <w:tblHeader w:val="true"/>
          <w:cantSplit/>
        </w:trPr>
        <w:tc>
          <w:tcPr>
            <w:tcW w:type="dxa" w:w="2105"/>
            <w:shd w:val="clear" w:color="auto" w:fill="1B8354"/>
          </w:tcPr>
          <w:p>
            <w:pPr>
              <w:spacing w:after="0" w:line="252" w:lineRule="auto"/>
            </w:pPr>
            <w:r>
              <w:rPr>
                <w:b/>
                <w:color w:val="FFFFFF"/>
                <w:sz w:val="17"/>
              </w:rPr>
              <w:t>Phase</w:t>
            </w:r>
          </w:p>
        </w:tc>
        <w:tc>
          <w:tcPr>
            <w:tcW w:type="dxa" w:w="2603"/>
            <w:shd w:val="clear" w:color="auto" w:fill="1B8354"/>
          </w:tcPr>
          <w:p>
            <w:pPr>
              <w:spacing w:after="0" w:line="252" w:lineRule="auto"/>
            </w:pPr>
            <w:r>
              <w:rPr>
                <w:b/>
                <w:color w:val="FFFFFF"/>
                <w:sz w:val="17"/>
              </w:rPr>
              <w:t>Goal</w:t>
            </w:r>
          </w:p>
        </w:tc>
        <w:tc>
          <w:tcPr>
            <w:tcW w:type="dxa" w:w="4462"/>
            <w:shd w:val="clear" w:color="auto" w:fill="1B8354"/>
          </w:tcPr>
          <w:p>
            <w:pPr>
              <w:spacing w:after="0" w:line="252" w:lineRule="auto"/>
            </w:pPr>
            <w:r>
              <w:rPr>
                <w:b/>
                <w:color w:val="FFFFFF"/>
                <w:sz w:val="17"/>
              </w:rPr>
              <w:t>Work packages</w:t>
            </w:r>
          </w:p>
        </w:tc>
        <w:tc>
          <w:tcPr>
            <w:tcW w:type="dxa" w:w="2439"/>
            <w:shd w:val="clear" w:color="auto" w:fill="1B8354"/>
          </w:tcPr>
          <w:p>
            <w:pPr>
              <w:spacing w:after="0" w:line="252" w:lineRule="auto"/>
            </w:pPr>
            <w:r>
              <w:rPr>
                <w:b/>
                <w:color w:val="FFFFFF"/>
                <w:sz w:val="17"/>
              </w:rPr>
              <w:t>Gate / dependency</w:t>
            </w:r>
          </w:p>
        </w:tc>
        <w:tc>
          <w:tcPr>
            <w:tcW w:type="dxa" w:w="3414"/>
            <w:shd w:val="clear" w:color="auto" w:fill="1B8354"/>
          </w:tcPr>
          <w:p>
            <w:pPr>
              <w:spacing w:after="0" w:line="252" w:lineRule="auto"/>
            </w:pPr>
            <w:r>
              <w:rPr>
                <w:b/>
                <w:color w:val="FFFFFF"/>
                <w:sz w:val="17"/>
              </w:rPr>
              <w:t>Exit (acceptance)</w:t>
            </w:r>
          </w:p>
        </w:tc>
      </w:tr>
      <w:tr>
        <w:trPr>
          <w:cantSplit/>
        </w:trPr>
        <w:tc>
          <w:tcPr>
            <w:tcW w:type="dxa" w:w="2105"/>
          </w:tcPr>
          <w:p>
            <w:pPr>
              <w:spacing w:after="0" w:line="252" w:lineRule="auto"/>
            </w:pPr>
            <w:r>
              <w:rPr>
                <w:b/>
                <w:sz w:val="17"/>
              </w:rPr>
              <w:t>0 — Stop-the-line</w:t>
            </w:r>
            <w:r>
              <w:rPr>
                <w:sz w:val="17"/>
              </w:rPr>
              <w:t xml:space="preserve"> (no decision needed)</w:t>
            </w:r>
          </w:p>
        </w:tc>
        <w:tc>
          <w:tcPr>
            <w:tcW w:type="dxa" w:w="2603"/>
          </w:tcPr>
          <w:p>
            <w:pPr>
              <w:spacing w:after="0" w:line="252" w:lineRule="auto"/>
            </w:pPr>
            <w:r>
              <w:rPr>
                <w:sz w:val="17"/>
              </w:rPr>
              <w:t>no wrong, contradictory or invisible output</w:t>
            </w:r>
          </w:p>
        </w:tc>
        <w:tc>
          <w:tcPr>
            <w:tcW w:type="dxa" w:w="4462"/>
          </w:tcPr>
          <w:p>
            <w:pPr>
              <w:spacing w:after="0" w:line="252" w:lineRule="auto"/>
            </w:pPr>
            <w:r>
              <w:rPr>
                <w:sz w:val="17"/>
              </w:rPr>
              <w:t xml:space="preserve">B-03 (F-02, F-03, F-09, F-10, F-11, C-01); B-09 first item (G-06 Sanad contrast, focus ring); B-02 validation (D-01, D-02, D-04, D-07); B-12 broken link and page titles (F-17); B-05 guards (scenario → proposed, approved-plan edits, scoped proposal ids, name resolver); B-06 guards (F-05 misreads, </w:t>
            </w:r>
            <w:r>
              <w:rPr>
                <w:rFonts w:ascii="Consolas" w:hAnsi="Consolas" w:cs="Consolas"/>
                <w:color w:val="B42318"/>
                <w:sz w:val="16"/>
              </w:rPr>
              <w:t>?q=</w:t>
            </w:r>
            <w:r>
              <w:rPr>
                <w:sz w:val="17"/>
              </w:rPr>
              <w:t xml:space="preserve"> replay, clarification text, scroll)</w:t>
            </w:r>
          </w:p>
        </w:tc>
        <w:tc>
          <w:tcPr>
            <w:tcW w:type="dxa" w:w="2439"/>
          </w:tcPr>
          <w:p>
            <w:pPr>
              <w:spacing w:after="0" w:line="252" w:lineRule="auto"/>
            </w:pPr>
            <w:r>
              <w:rPr>
                <w:sz w:val="17"/>
              </w:rPr>
              <w:t>none</w:t>
            </w:r>
          </w:p>
        </w:tc>
        <w:tc>
          <w:tcPr>
            <w:tcW w:type="dxa" w:w="3414"/>
          </w:tcPr>
          <w:p>
            <w:pPr>
              <w:spacing w:after="0" w:line="252" w:lineRule="auto"/>
            </w:pPr>
            <w:r>
              <w:rPr>
                <w:sz w:val="17"/>
              </w:rPr>
              <w:t>AC-A4, A5, D1, D5, E1, E3, E5, F1, C1 (critical set), C4 (part)</w:t>
            </w:r>
          </w:p>
        </w:tc>
      </w:tr>
      <w:tr>
        <w:trPr>
          <w:cantSplit/>
        </w:trPr>
        <w:tc>
          <w:tcPr>
            <w:tcW w:type="dxa" w:w="2105"/>
            <w:shd w:val="clear" w:color="auto" w:fill="F9FAFB"/>
          </w:tcPr>
          <w:p>
            <w:pPr>
              <w:spacing w:after="0" w:line="252" w:lineRule="auto"/>
            </w:pPr>
            <w:r>
              <w:rPr>
                <w:b/>
                <w:sz w:val="17"/>
              </w:rPr>
              <w:t>1 — Contracts and foundation</w:t>
            </w:r>
          </w:p>
        </w:tc>
        <w:tc>
          <w:tcPr>
            <w:tcW w:type="dxa" w:w="2603"/>
            <w:shd w:val="clear" w:color="auto" w:fill="F9FAFB"/>
          </w:tcPr>
          <w:p>
            <w:pPr>
              <w:spacing w:after="0" w:line="252" w:lineRule="auto"/>
            </w:pPr>
            <w:r>
              <w:rPr>
                <w:sz w:val="17"/>
              </w:rPr>
              <w:t>one measure, one period control, one token set</w:t>
            </w:r>
          </w:p>
        </w:tc>
        <w:tc>
          <w:tcPr>
            <w:tcW w:type="dxa" w:w="4462"/>
            <w:shd w:val="clear" w:color="auto" w:fill="F9FAFB"/>
          </w:tcPr>
          <w:p>
            <w:pPr>
              <w:spacing w:after="0" w:line="252" w:lineRule="auto"/>
            </w:pPr>
            <w:r>
              <w:rPr>
                <w:sz w:val="17"/>
              </w:rPr>
              <w:t xml:space="preserve">B-01 (shared module, basis line, states, grace parameter </w:t>
            </w:r>
            <w:r>
              <w:rPr>
                <w:b/>
                <w:sz w:val="17"/>
              </w:rPr>
              <w:t>[B EQ1, EQ2]</w:t>
            </w:r>
            <w:r>
              <w:rPr>
                <w:sz w:val="17"/>
              </w:rPr>
              <w:t xml:space="preserve">); B-02 (date control on the DGA date picker </w:t>
            </w:r>
            <w:r>
              <w:rPr>
                <w:b/>
                <w:sz w:val="17"/>
              </w:rPr>
              <w:t>[C]</w:t>
            </w:r>
            <w:r>
              <w:rPr>
                <w:sz w:val="17"/>
              </w:rPr>
              <w:t xml:space="preserve">); B-04 binding (F-04, F-14) </w:t>
            </w:r>
            <w:r>
              <w:rPr>
                <w:b/>
                <w:sz w:val="17"/>
              </w:rPr>
              <w:t>[B EQ4]</w:t>
            </w:r>
            <w:r>
              <w:rPr>
                <w:sz w:val="17"/>
              </w:rPr>
              <w:t xml:space="preserve">; B-07 labels/band </w:t>
            </w:r>
            <w:r>
              <w:rPr>
                <w:b/>
                <w:sz w:val="17"/>
              </w:rPr>
              <w:t>[B EQ3]</w:t>
            </w:r>
            <w:r>
              <w:rPr>
                <w:sz w:val="17"/>
              </w:rPr>
              <w:t xml:space="preserve">; B-10 tokens, DGA palette, one font family, type scale, spacing, icon component, light-theme lock </w:t>
            </w:r>
            <w:r>
              <w:rPr>
                <w:b/>
                <w:sz w:val="17"/>
              </w:rPr>
              <w:t>[C licence]</w:t>
            </w:r>
            <w:r>
              <w:rPr>
                <w:sz w:val="17"/>
              </w:rPr>
              <w:t xml:space="preserve">; B-08 glossary and microcopy; B-09 remaining accessibility; B-11 logo slot </w:t>
            </w:r>
            <w:r>
              <w:rPr>
                <w:b/>
                <w:sz w:val="17"/>
              </w:rPr>
              <w:t>[C]</w:t>
            </w:r>
          </w:p>
        </w:tc>
        <w:tc>
          <w:tcPr>
            <w:tcW w:type="dxa" w:w="2439"/>
            <w:shd w:val="clear" w:color="auto" w:fill="F9FAFB"/>
          </w:tcPr>
          <w:p>
            <w:pPr>
              <w:spacing w:after="0" w:line="252" w:lineRule="auto"/>
            </w:pPr>
            <w:r>
              <w:rPr>
                <w:sz w:val="17"/>
              </w:rPr>
              <w:t>EQ1, EQ2, EQ4 answers (defaults available); Figma values</w:t>
            </w:r>
          </w:p>
        </w:tc>
        <w:tc>
          <w:tcPr>
            <w:tcW w:type="dxa" w:w="3414"/>
            <w:shd w:val="clear" w:color="auto" w:fill="F9FAFB"/>
          </w:tcPr>
          <w:p>
            <w:pPr>
              <w:spacing w:after="0" w:line="252" w:lineRule="auto"/>
            </w:pPr>
            <w:r>
              <w:rPr>
                <w:sz w:val="17"/>
              </w:rPr>
              <w:t>AC-A1–A3, A6, B1–B3, D2–D4, D6–D7, G2, G3</w:t>
            </w:r>
          </w:p>
        </w:tc>
      </w:tr>
      <w:tr>
        <w:trPr>
          <w:cantSplit/>
        </w:trPr>
        <w:tc>
          <w:tcPr>
            <w:tcW w:type="dxa" w:w="2105"/>
          </w:tcPr>
          <w:p>
            <w:pPr>
              <w:spacing w:after="0" w:line="252" w:lineRule="auto"/>
            </w:pPr>
            <w:r>
              <w:rPr>
                <w:b/>
                <w:sz w:val="17"/>
              </w:rPr>
              <w:t>2 — Migration by page</w:t>
            </w:r>
          </w:p>
        </w:tc>
        <w:tc>
          <w:tcPr>
            <w:tcW w:type="dxa" w:w="2603"/>
          </w:tcPr>
          <w:p>
            <w:pPr>
              <w:spacing w:after="0" w:line="252" w:lineRule="auto"/>
            </w:pPr>
            <w:r>
              <w:rPr>
                <w:sz w:val="17"/>
              </w:rPr>
              <w:t>every page on the system, structure preserved</w:t>
            </w:r>
          </w:p>
        </w:tc>
        <w:tc>
          <w:tcPr>
            <w:tcW w:type="dxa" w:w="4462"/>
          </w:tcPr>
          <w:p>
            <w:pPr>
              <w:spacing w:after="0" w:line="252" w:lineRule="auto"/>
            </w:pPr>
            <w:r>
              <w:rPr>
                <w:sz w:val="17"/>
              </w:rPr>
              <w:t xml:space="preserve">order: Dashboard → Fixed reports → Smart reports → Planning (versions, named scenarios, objectives, register) → Invoices → Collection → Exclusions → Risk / Data sources / Metrics → Contracts / Sanad / Investment → Login rewrite; B-05 workflow with roles </w:t>
            </w:r>
            <w:r>
              <w:rPr>
                <w:b/>
                <w:sz w:val="17"/>
              </w:rPr>
              <w:t>[B EQ4]</w:t>
            </w:r>
            <w:r>
              <w:rPr>
                <w:sz w:val="17"/>
              </w:rPr>
              <w:t xml:space="preserve">; B-06 AI states, indicator, feedback; B-12 navigation grouping, breadcrumbs, footer, error page; coverage definition </w:t>
            </w:r>
            <w:r>
              <w:rPr>
                <w:b/>
                <w:sz w:val="17"/>
              </w:rPr>
              <w:t>[B EQ5]</w:t>
            </w:r>
          </w:p>
        </w:tc>
        <w:tc>
          <w:tcPr>
            <w:tcW w:type="dxa" w:w="2439"/>
          </w:tcPr>
          <w:p>
            <w:pPr>
              <w:spacing w:after="0" w:line="252" w:lineRule="auto"/>
            </w:pPr>
            <w:r>
              <w:rPr>
                <w:sz w:val="17"/>
              </w:rPr>
              <w:t>Phase 1</w:t>
            </w:r>
          </w:p>
        </w:tc>
        <w:tc>
          <w:tcPr>
            <w:tcW w:type="dxa" w:w="3414"/>
          </w:tcPr>
          <w:p>
            <w:pPr>
              <w:spacing w:after="0" w:line="252" w:lineRule="auto"/>
            </w:pPr>
            <w:r>
              <w:rPr>
                <w:sz w:val="17"/>
              </w:rPr>
              <w:t>AC-B4–B6, C2–C6, E2, E4, G1, G4, G5</w:t>
            </w:r>
          </w:p>
        </w:tc>
      </w:tr>
      <w:tr>
        <w:trPr>
          <w:cantSplit/>
        </w:trPr>
        <w:tc>
          <w:tcPr>
            <w:tcW w:type="dxa" w:w="2105"/>
            <w:shd w:val="clear" w:color="auto" w:fill="F9FAFB"/>
          </w:tcPr>
          <w:p>
            <w:pPr>
              <w:spacing w:after="0" w:line="252" w:lineRule="auto"/>
            </w:pPr>
            <w:r>
              <w:rPr>
                <w:b/>
                <w:sz w:val="17"/>
              </w:rPr>
              <w:t>3 — Conformance and outputs</w:t>
            </w:r>
          </w:p>
        </w:tc>
        <w:tc>
          <w:tcPr>
            <w:tcW w:type="dxa" w:w="2603"/>
            <w:shd w:val="clear" w:color="auto" w:fill="F9FAFB"/>
          </w:tcPr>
          <w:p>
            <w:pPr>
              <w:spacing w:after="0" w:line="252" w:lineRule="auto"/>
            </w:pPr>
            <w:r>
              <w:rPr>
                <w:sz w:val="17"/>
              </w:rPr>
              <w:t>prove it</w:t>
            </w:r>
          </w:p>
        </w:tc>
        <w:tc>
          <w:tcPr>
            <w:tcW w:type="dxa" w:w="4462"/>
            <w:shd w:val="clear" w:color="auto" w:fill="F9FAFB"/>
          </w:tcPr>
          <w:p>
            <w:pPr>
              <w:spacing w:after="0" w:line="252" w:lineRule="auto"/>
            </w:pPr>
            <w:r>
              <w:rPr>
                <w:sz w:val="17"/>
              </w:rPr>
              <w:t xml:space="preserve">export template </w:t>
            </w:r>
            <w:r>
              <w:rPr>
                <w:b/>
                <w:sz w:val="17"/>
              </w:rPr>
              <w:t>[C]</w:t>
            </w:r>
            <w:r>
              <w:rPr>
                <w:sz w:val="17"/>
              </w:rPr>
              <w:t xml:space="preserve"> and parity (F-10 complete); B-13 report parity </w:t>
            </w:r>
            <w:r>
              <w:rPr>
                <w:b/>
                <w:sz w:val="17"/>
              </w:rPr>
              <w:t>[B EQ9]</w:t>
            </w:r>
            <w:r>
              <w:rPr>
                <w:sz w:val="17"/>
              </w:rPr>
              <w:t xml:space="preserve"> (enforcement referral first); full-size demo performance and loading states; accessibility audit with a screen reader; final logo and name</w:t>
            </w:r>
          </w:p>
        </w:tc>
        <w:tc>
          <w:tcPr>
            <w:tcW w:type="dxa" w:w="2439"/>
            <w:shd w:val="clear" w:color="auto" w:fill="F9FAFB"/>
          </w:tcPr>
          <w:p>
            <w:pPr>
              <w:spacing w:after="0" w:line="252" w:lineRule="auto"/>
            </w:pPr>
            <w:r>
              <w:rPr>
                <w:sz w:val="17"/>
              </w:rPr>
              <w:t>assets; EQ9</w:t>
            </w:r>
          </w:p>
        </w:tc>
        <w:tc>
          <w:tcPr>
            <w:tcW w:type="dxa" w:w="3414"/>
            <w:shd w:val="clear" w:color="auto" w:fill="F9FAFB"/>
          </w:tcPr>
          <w:p>
            <w:pPr>
              <w:spacing w:after="0" w:line="252" w:lineRule="auto"/>
            </w:pPr>
            <w:r>
              <w:rPr>
                <w:sz w:val="17"/>
              </w:rPr>
              <w:t>AC-F1–F4, G6; all AC pass</w:t>
            </w:r>
          </w:p>
        </w:tc>
      </w:tr>
      <w:tr>
        <w:trPr>
          <w:cantSplit/>
        </w:trPr>
        <w:tc>
          <w:tcPr>
            <w:tcW w:type="dxa" w:w="2105"/>
          </w:tcPr>
          <w:p>
            <w:pPr>
              <w:spacing w:after="0" w:line="252" w:lineRule="auto"/>
            </w:pPr>
            <w:r>
              <w:rPr>
                <w:b/>
                <w:sz w:val="17"/>
              </w:rPr>
              <w:t>4 — Platform</w:t>
            </w:r>
          </w:p>
        </w:tc>
        <w:tc>
          <w:tcPr>
            <w:tcW w:type="dxa" w:w="2603"/>
          </w:tcPr>
          <w:p>
            <w:pPr>
              <w:spacing w:after="0" w:line="252" w:lineRule="auto"/>
            </w:pPr>
            <w:r>
              <w:rPr>
                <w:sz w:val="17"/>
              </w:rPr>
              <w:t>durable and governed</w:t>
            </w:r>
          </w:p>
        </w:tc>
        <w:tc>
          <w:tcPr>
            <w:tcW w:type="dxa" w:w="4462"/>
          </w:tcPr>
          <w:p>
            <w:pPr>
              <w:spacing w:after="0" w:line="252" w:lineRule="auto"/>
            </w:pPr>
            <w:r>
              <w:rPr>
                <w:sz w:val="17"/>
              </w:rPr>
              <w:t xml:space="preserve">B-14 server store, identities, roles </w:t>
            </w:r>
            <w:r>
              <w:rPr>
                <w:b/>
                <w:sz w:val="17"/>
              </w:rPr>
              <w:t>[B EQ10]</w:t>
            </w:r>
            <w:r>
              <w:rPr>
                <w:sz w:val="17"/>
              </w:rPr>
              <w:t>; commit history and dead-code removal (F-28); optional language model</w:t>
            </w:r>
          </w:p>
        </w:tc>
        <w:tc>
          <w:tcPr>
            <w:tcW w:type="dxa" w:w="2439"/>
          </w:tcPr>
          <w:p>
            <w:pPr>
              <w:spacing w:after="0" w:line="252" w:lineRule="auto"/>
            </w:pPr>
            <w:r>
              <w:rPr>
                <w:sz w:val="17"/>
              </w:rPr>
              <w:t>decisions</w:t>
            </w:r>
          </w:p>
        </w:tc>
        <w:tc>
          <w:tcPr>
            <w:tcW w:type="dxa" w:w="3414"/>
          </w:tcPr>
          <w:p>
            <w:pPr>
              <w:spacing w:after="0" w:line="252" w:lineRule="auto"/>
            </w:pPr>
            <w:r>
              <w:rPr>
                <w:sz w:val="17"/>
              </w:rPr>
              <w:t>audit trail and role tests</w:t>
            </w:r>
          </w:p>
        </w:tc>
      </w:tr>
    </w:tbl>
    <w:p>
      <w:pPr>
        <w:spacing w:after="40"/>
      </w:pPr>
    </w:p>
    <w:p>
      <w:r>
        <w:rPr>
          <w:b/>
        </w:rPr>
        <w:t>Sizing guide (relative effort, not a schedule):</w:t>
      </w:r>
      <w:r>
        <w:t xml:space="preserve"> Phase 0 ≈ 1 unit · Phase 1 ≈ 3 · Phase 2 ≈ 4 · Phase 3 ≈ 2 · Phase 4 ≈ 3. Phase 0 can start immediately; nothing in it depends on your open questions or on any asset.</w:t>
      </w:r>
    </w:p>
    <w:p>
      <w:pPr>
        <w:pStyle w:val="Heading2"/>
      </w:pPr>
      <w:r>
        <w:t>32. Limits of this update</w:t>
      </w:r>
    </w:p>
    <w:p>
      <w:pPr>
        <w:spacing w:after="40"/>
        <w:ind w:left="510" w:hanging="283"/>
      </w:pPr>
      <w:r>
        <w:t xml:space="preserve">•  </w:t>
      </w:r>
      <w:r>
        <w:t>Screenshots: only the 8 files of 9 Oct were opened; they show the pre-restructure interface (§26.1).</w:t>
      </w:r>
    </w:p>
    <w:p>
      <w:pPr>
        <w:spacing w:after="40"/>
        <w:ind w:left="510" w:hanging="283"/>
      </w:pPr>
      <w:r>
        <w:t xml:space="preserve">•  </w:t>
      </w:r>
      <w:r>
        <w:t>Monthly reports: July 2026 was read slide by slide (selected slides at full resolution; footnotes read from renders); January–March were reviewed for layout, footnotes and titles. Arabic text extraction from the PowerPoint files is unreliable, so figures and footnotes were read from slide images; where a footnote was only partly legible I have not relied on it.</w:t>
      </w:r>
    </w:p>
    <w:p>
      <w:pPr>
        <w:spacing w:after="40"/>
        <w:ind w:left="510" w:hanging="283"/>
      </w:pPr>
      <w:r>
        <w:t xml:space="preserve">•  </w:t>
      </w:r>
      <w:r>
        <w:t>The embedded logo PNG is a candidate, not an official asset, and was not copied into the project.</w:t>
      </w:r>
    </w:p>
    <w:p>
      <w:pPr>
        <w:spacing w:after="40"/>
        <w:ind w:left="510" w:hanging="283"/>
      </w:pPr>
      <w:r>
        <w:t xml:space="preserve">•  </w:t>
      </w:r>
      <w:r>
        <w:t>Plan record check was read-only; the correction itself is pending your approval.</w:t>
      </w:r>
    </w:p>
    <w:sectPr w:rsidR="00FC693F" w:rsidRPr="0006063C" w:rsidSect="00034616">
      <w:headerReference w:type="default" r:id="rId9"/>
      <w:footerReference w:type="default" r:id="rId10"/>
      <w:pgSz w:w="16838" w:h="11906" w:orient="landscape"/>
      <w:pgMar w:top="964"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rPr>
        <w:sz w:val="16"/>
      </w:rPr>
      <w:fldChar w:fldCharType="begin"/>
    </w:r>
    <w:r>
      <w:rPr>
        <w:sz w:val="16"/>
      </w:rPr>
      <w:instrText xml:space="preserve">PAGE</w:instrText>
    </w:r>
    <w:r>
      <w:rPr>
        <w:sz w:val="16"/>
      </w:rPr>
      <w:fldChar w:fldCharType="end"/>
    </w:r>
    <w:r>
      <w:rPr>
        <w:sz w:val="16"/>
      </w:rPr>
      <w:t xml:space="preserve"> of </w:t>
    </w:r>
    <w:r>
      <w:rPr>
        <w:sz w:val="16"/>
      </w:rPr>
      <w:fldChar w:fldCharType="begin"/>
    </w:r>
    <w:r>
      <w:rPr>
        <w:sz w:val="16"/>
      </w:rPr>
      <w:instrText xml:space="preserve">NUMPAGES</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4D5761"/>
        <w:sz w:val="16"/>
      </w:rPr>
      <w:t>Platform audit — reporting, planning, content, dates and design alignment · 2026-10-09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s="Arial" w:eastAsia="Arial"/>
      <w:color w:val="1119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eastAsia="Arial"/>
      <w:b/>
      <w:bCs/>
      <w:color w:val="14573A"/>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cs="Arial" w:eastAsia="Arial"/>
      <w:b/>
      <w:bCs/>
      <w:color w:val="14573A"/>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cs="Arial" w:eastAsia="Arial"/>
      <w:b/>
      <w:bCs/>
      <w:color w:val="1B8354"/>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cs="Arial" w:eastAsia="Arial"/>
      <w:b/>
      <w:bCs/>
      <w:i/>
      <w:iCs/>
      <w:color w:val="4D576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b/>
      <w:color w:val="1457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sign-system.service.gov.uk/patterns/dates/" TargetMode="External"/><Relationship Id="rId12" Type="http://schemas.openxmlformats.org/officeDocument/2006/relationships/hyperlink" Target="https://designsystem.digital.gov/components/date-range-picker/" TargetMode="External"/><Relationship Id="rId13" Type="http://schemas.openxmlformats.org/officeDocument/2006/relationships/hyperlink" Target="https://www.w3.org/WAI/ARIA/apg/patterns/dialog-modal/examples/datepicker-dialog/" TargetMode="External"/><Relationship Id="rId14" Type="http://schemas.openxmlformats.org/officeDocument/2006/relationships/hyperlink" Target="https://www.nngroup.com/articles/progressive-disclosure/" TargetMode="External"/><Relationship Id="rId15" Type="http://schemas.openxmlformats.org/officeDocument/2006/relationships/hyperlink" Target="https://www.nngroup.com/articles/tooltip-guidelines/" TargetMode="External"/><Relationship Id="rId16" Type="http://schemas.openxmlformats.org/officeDocument/2006/relationships/hyperlink" Target="https://www.w3.org/WAI/WCAG22/Understanding/content-on-hover-or-focus.html" TargetMode="External"/><Relationship Id="rId17" Type="http://schemas.openxmlformats.org/officeDocument/2006/relationships/hyperlink" Target="https://www.nngroup.com/articles/dashboards-preattentive/" TargetMode="External"/><Relationship Id="rId18" Type="http://schemas.openxmlformats.org/officeDocument/2006/relationships/hyperlink" Target="https://learn.microsoft.com/en-us/power-bi/create-reports/service-dashboards-design-tips" TargetMode="External"/><Relationship Id="rId19" Type="http://schemas.openxmlformats.org/officeDocument/2006/relationships/hyperlink" Target="https://www.nngroup.com/articles/concise-scannable-and-objective-how-to-write-for-the-web/" TargetMode="External"/><Relationship Id="rId20" Type="http://schemas.openxmlformats.org/officeDocument/2006/relationships/hyperlink" Target="https://www.w3.org/International/questions/qa-html-dir" TargetMode="External"/><Relationship Id="rId21" Type="http://schemas.openxmlformats.org/officeDocument/2006/relationships/hyperlink" Target="https://www.w3.org/International/articles/inline-bidi-markup/uba-basics" TargetMode="External"/><Relationship Id="rId22" Type="http://schemas.openxmlformats.org/officeDocument/2006/relationships/hyperlink" Target="https://guidance.publishing.service.gov.uk/writing-to-gov-uk-standards/writing-guidelines/" TargetMode="External"/><Relationship Id="rId23" Type="http://schemas.openxmlformats.org/officeDocument/2006/relationships/hyperlink" Target="https://fonts.google.com/specimen/IBM+Plex+Sans" TargetMode="External"/><Relationship Id="rId24" Type="http://schemas.openxmlformats.org/officeDocument/2006/relationships/hyperlink" Target="https://hugeicon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audit — reporting, planning, content, dates and design alignment</dc:title>
  <dc:subject/>
  <dc:creator>Claude</dc:creator>
  <cp:keywords/>
  <dc:description>generated by python-docx</dc:description>
  <cp:lastModifiedBy/>
  <cp:revision>1</cp:revision>
  <dcterms:created xsi:type="dcterms:W3CDTF">2013-12-23T23:15:00Z</dcterms:created>
  <dcterms:modified xsi:type="dcterms:W3CDTF">2013-12-23T23:15:00Z</dcterms:modified>
  <cp:category/>
</cp:coreProperties>
</file>