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0F6E56"/>
          <w:sz w:val="40"/>
          <w:szCs w:val="40"/>
        </w:rPr>
        <w:t xml:space="preserve">Software Requirements Specification</w:t>
      </w:r>
    </w:p>
    <w:p>
      <w:pPr>
        <w:spacing w:after="500" w:before="160"/>
        <w:jc w:val="center"/>
      </w:pPr>
      <w:r>
        <w:rPr>
          <w:color w:val="2C2C2A"/>
          <w:sz w:val="26"/>
          <w:szCs w:val="26"/>
        </w:rPr>
        <w:t xml:space="preserve">Sukoon AI (سکون) — a culturally sensitive mental well-being companion for Pakistan</w:t>
      </w:r>
    </w:p>
    <w:p>
      <w:pPr>
        <w:spacing w:after="80"/>
        <w:jc w:val="center"/>
      </w:pPr>
      <w:r>
        <w:rPr>
          <w:sz w:val="22"/>
          <w:szCs w:val="22"/>
        </w:rPr>
        <w:t xml:space="preserve">Prepared for: Build with Gemma — NUTECH Islamabad Hackathon</w:t>
      </w:r>
    </w:p>
    <w:p>
      <w:pPr>
        <w:spacing w:after="80"/>
        <w:jc w:val="center"/>
      </w:pPr>
      <w:r>
        <w:rPr>
          <w:sz w:val="22"/>
          <w:szCs w:val="22"/>
        </w:rPr>
        <w:t xml:space="preserve">Document version 1.0  ·  July 14, 2026</w:t>
      </w:r>
    </w:p>
    <w:p>
      <w:pPr>
        <w:spacing w:after="400"/>
        <w:jc w:val="center"/>
      </w:pPr>
      <w:r>
        <w:rPr>
          <w:i/>
          <w:iCs/>
          <w:color w:val="5F5E5A"/>
          <w:sz w:val="20"/>
          <w:szCs w:val="20"/>
        </w:rPr>
        <w:t xml:space="preserve">Structure adapted from the IEEE 830 SRS standard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00"/>
      </w:tblGrid>
      <w:tr>
        <w:trPr>
          <w:tblHeader/>
        </w:trPr>
        <w:tc>
          <w:tcPr>
            <w:tcW w:type="dxa" w:w="14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0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6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1.0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July 14, 2026</w:t>
            </w:r>
          </w:p>
        </w:tc>
        <w:tc>
          <w:tcPr>
            <w:tcW w:type="dxa" w:w="5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Initial SRS, produced from the shortlisted hackathon proposal plus added safety, accessibility, and de-stigmatization requirements (marked * throughout).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t xml:space="preserve">Table of contents</w:t>
      </w:r>
    </w:p>
    <w:p>
      <w:pPr>
        <w:spacing w:after="100"/>
        <w:ind w:left="0"/>
      </w:pPr>
      <w:r>
        <w:rPr>
          <w:b/>
          <w:bCs/>
          <w:color w:val="2C2C2A"/>
          <w:sz w:val="22"/>
          <w:szCs w:val="22"/>
        </w:rPr>
        <w:t xml:space="preserve">1. Introduction</w:t>
      </w:r>
    </w:p>
    <w:p>
      <w:pPr>
        <w:spacing w:after="60"/>
        <w:ind w:left="360"/>
      </w:pPr>
      <w:r>
        <w:rPr>
          <w:b w:val="false"/>
          <w:bCs w:val="false"/>
          <w:color w:val="5F5E5A"/>
          <w:sz w:val="20"/>
          <w:szCs w:val="20"/>
        </w:rPr>
        <w:t xml:space="preserve">1.1 Purpose</w:t>
      </w:r>
    </w:p>
    <w:p>
      <w:pPr>
        <w:spacing w:after="60"/>
        <w:ind w:left="360"/>
      </w:pPr>
      <w:r>
        <w:rPr>
          <w:b w:val="false"/>
          <w:bCs w:val="false"/>
          <w:color w:val="5F5E5A"/>
          <w:sz w:val="20"/>
          <w:szCs w:val="20"/>
        </w:rPr>
        <w:t xml:space="preserve">1.2 Scope</w:t>
      </w:r>
    </w:p>
    <w:p>
      <w:pPr>
        <w:spacing w:after="60"/>
        <w:ind w:left="360"/>
      </w:pPr>
      <w:r>
        <w:rPr>
          <w:b w:val="false"/>
          <w:bCs w:val="false"/>
          <w:color w:val="5F5E5A"/>
          <w:sz w:val="20"/>
          <w:szCs w:val="20"/>
        </w:rPr>
        <w:t xml:space="preserve">1.3 Intended audience</w:t>
      </w:r>
    </w:p>
    <w:p>
      <w:pPr>
        <w:spacing w:after="60"/>
        <w:ind w:left="360"/>
      </w:pPr>
      <w:r>
        <w:rPr>
          <w:b w:val="false"/>
          <w:bCs w:val="false"/>
          <w:color w:val="5F5E5A"/>
          <w:sz w:val="20"/>
          <w:szCs w:val="20"/>
        </w:rPr>
        <w:t xml:space="preserve">1.4 Definitions, acronyms, and abbreviations</w:t>
      </w:r>
    </w:p>
    <w:p>
      <w:pPr>
        <w:spacing w:after="60"/>
        <w:ind w:left="360"/>
      </w:pPr>
      <w:r>
        <w:rPr>
          <w:b w:val="false"/>
          <w:bCs w:val="false"/>
          <w:color w:val="5F5E5A"/>
          <w:sz w:val="20"/>
          <w:szCs w:val="20"/>
        </w:rPr>
        <w:t xml:space="preserve">1.5 References</w:t>
      </w:r>
    </w:p>
    <w:p>
      <w:pPr>
        <w:spacing w:after="60"/>
        <w:ind w:left="360"/>
      </w:pPr>
      <w:r>
        <w:rPr>
          <w:b w:val="false"/>
          <w:bCs w:val="false"/>
          <w:color w:val="5F5E5A"/>
          <w:sz w:val="20"/>
          <w:szCs w:val="20"/>
        </w:rPr>
        <w:t xml:space="preserve">1.6 Document conventions</w:t>
      </w:r>
    </w:p>
    <w:p>
      <w:pPr>
        <w:spacing w:after="100"/>
        <w:ind w:left="0"/>
      </w:pPr>
      <w:r>
        <w:rPr>
          <w:b/>
          <w:bCs/>
          <w:color w:val="2C2C2A"/>
          <w:sz w:val="22"/>
          <w:szCs w:val="22"/>
        </w:rPr>
        <w:t xml:space="preserve">2. Overall description</w:t>
      </w:r>
    </w:p>
    <w:p>
      <w:pPr>
        <w:spacing w:after="60"/>
        <w:ind w:left="360"/>
      </w:pPr>
      <w:r>
        <w:rPr>
          <w:b w:val="false"/>
          <w:bCs w:val="false"/>
          <w:color w:val="5F5E5A"/>
          <w:sz w:val="20"/>
          <w:szCs w:val="20"/>
        </w:rPr>
        <w:t xml:space="preserve">2.1 Product perspective</w:t>
      </w:r>
    </w:p>
    <w:p>
      <w:pPr>
        <w:spacing w:after="60"/>
        <w:ind w:left="360"/>
      </w:pPr>
      <w:r>
        <w:rPr>
          <w:b w:val="false"/>
          <w:bCs w:val="false"/>
          <w:color w:val="5F5E5A"/>
          <w:sz w:val="20"/>
          <w:szCs w:val="20"/>
        </w:rPr>
        <w:t xml:space="preserve">2.2 Product functions (summary)</w:t>
      </w:r>
    </w:p>
    <w:p>
      <w:pPr>
        <w:spacing w:after="60"/>
        <w:ind w:left="360"/>
      </w:pPr>
      <w:r>
        <w:rPr>
          <w:b w:val="false"/>
          <w:bCs w:val="false"/>
          <w:color w:val="5F5E5A"/>
          <w:sz w:val="20"/>
          <w:szCs w:val="20"/>
        </w:rPr>
        <w:t xml:space="preserve">2.3 User classes and characteristics</w:t>
      </w:r>
    </w:p>
    <w:p>
      <w:pPr>
        <w:spacing w:after="60"/>
        <w:ind w:left="360"/>
      </w:pPr>
      <w:r>
        <w:rPr>
          <w:b w:val="false"/>
          <w:bCs w:val="false"/>
          <w:color w:val="5F5E5A"/>
          <w:sz w:val="20"/>
          <w:szCs w:val="20"/>
        </w:rPr>
        <w:t xml:space="preserve">2.4 Operating environment</w:t>
      </w:r>
    </w:p>
    <w:p>
      <w:pPr>
        <w:spacing w:after="60"/>
        <w:ind w:left="360"/>
      </w:pPr>
      <w:r>
        <w:rPr>
          <w:b w:val="false"/>
          <w:bCs w:val="false"/>
          <w:color w:val="5F5E5A"/>
          <w:sz w:val="20"/>
          <w:szCs w:val="20"/>
        </w:rPr>
        <w:t xml:space="preserve">2.5 Design and implementation constraints</w:t>
      </w:r>
    </w:p>
    <w:p>
      <w:pPr>
        <w:spacing w:after="60"/>
        <w:ind w:left="360"/>
      </w:pPr>
      <w:r>
        <w:rPr>
          <w:b w:val="false"/>
          <w:bCs w:val="false"/>
          <w:color w:val="5F5E5A"/>
          <w:sz w:val="20"/>
          <w:szCs w:val="20"/>
        </w:rPr>
        <w:t xml:space="preserve">2.6 Assumptions and dependencies</w:t>
      </w:r>
    </w:p>
    <w:p>
      <w:pPr>
        <w:spacing w:after="100"/>
        <w:ind w:left="0"/>
      </w:pPr>
      <w:r>
        <w:rPr>
          <w:b/>
          <w:bCs/>
          <w:color w:val="2C2C2A"/>
          <w:sz w:val="22"/>
          <w:szCs w:val="22"/>
        </w:rPr>
        <w:t xml:space="preserve">3. Functional requirements (modules A-G)</w:t>
      </w:r>
    </w:p>
    <w:p>
      <w:pPr>
        <w:spacing w:after="100"/>
        <w:ind w:left="0"/>
      </w:pPr>
      <w:r>
        <w:rPr>
          <w:b/>
          <w:bCs/>
          <w:color w:val="2C2C2A"/>
          <w:sz w:val="22"/>
          <w:szCs w:val="22"/>
        </w:rPr>
        <w:t xml:space="preserve">4. Non-functional requirements</w:t>
      </w:r>
    </w:p>
    <w:p>
      <w:pPr>
        <w:spacing w:after="100"/>
        <w:ind w:left="0"/>
      </w:pPr>
      <w:r>
        <w:rPr>
          <w:b/>
          <w:bCs/>
          <w:color w:val="2C2C2A"/>
          <w:sz w:val="22"/>
          <w:szCs w:val="22"/>
        </w:rPr>
        <w:t xml:space="preserve">5. External interface requirements</w:t>
      </w:r>
    </w:p>
    <w:p>
      <w:pPr>
        <w:spacing w:after="60"/>
        <w:ind w:left="360"/>
      </w:pPr>
      <w:r>
        <w:rPr>
          <w:b w:val="false"/>
          <w:bCs w:val="false"/>
          <w:color w:val="5F5E5A"/>
          <w:sz w:val="20"/>
          <w:szCs w:val="20"/>
        </w:rPr>
        <w:t xml:space="preserve">5.1 User interfaces</w:t>
      </w:r>
    </w:p>
    <w:p>
      <w:pPr>
        <w:spacing w:after="60"/>
        <w:ind w:left="360"/>
      </w:pPr>
      <w:r>
        <w:rPr>
          <w:b w:val="false"/>
          <w:bCs w:val="false"/>
          <w:color w:val="5F5E5A"/>
          <w:sz w:val="20"/>
          <w:szCs w:val="20"/>
        </w:rPr>
        <w:t xml:space="preserve">5.2 Hardware interfaces</w:t>
      </w:r>
    </w:p>
    <w:p>
      <w:pPr>
        <w:spacing w:after="60"/>
        <w:ind w:left="360"/>
      </w:pPr>
      <w:r>
        <w:rPr>
          <w:b w:val="false"/>
          <w:bCs w:val="false"/>
          <w:color w:val="5F5E5A"/>
          <w:sz w:val="20"/>
          <w:szCs w:val="20"/>
        </w:rPr>
        <w:t xml:space="preserve">5.3 Software interfaces</w:t>
      </w:r>
    </w:p>
    <w:p>
      <w:pPr>
        <w:spacing w:after="60"/>
        <w:ind w:left="360"/>
      </w:pPr>
      <w:r>
        <w:rPr>
          <w:b w:val="false"/>
          <w:bCs w:val="false"/>
          <w:color w:val="5F5E5A"/>
          <w:sz w:val="20"/>
          <w:szCs w:val="20"/>
        </w:rPr>
        <w:t xml:space="preserve">5.4 Communication interfaces</w:t>
      </w:r>
    </w:p>
    <w:p>
      <w:pPr>
        <w:spacing w:after="100"/>
        <w:ind w:left="0"/>
      </w:pPr>
      <w:r>
        <w:rPr>
          <w:b/>
          <w:bCs/>
          <w:color w:val="2C2C2A"/>
          <w:sz w:val="22"/>
          <w:szCs w:val="22"/>
        </w:rPr>
        <w:t xml:space="preserve">6. System architecture overview</w:t>
      </w:r>
    </w:p>
    <w:p>
      <w:pPr>
        <w:spacing w:after="100"/>
        <w:ind w:left="0"/>
      </w:pPr>
      <w:r>
        <w:rPr>
          <w:b/>
          <w:bCs/>
          <w:color w:val="2C2C2A"/>
          <w:sz w:val="22"/>
          <w:szCs w:val="22"/>
        </w:rPr>
        <w:t xml:space="preserve">7. Safety requirements (non-negotiable)</w:t>
      </w:r>
    </w:p>
    <w:p>
      <w:pPr>
        <w:spacing w:after="100"/>
        <w:ind w:left="0"/>
      </w:pPr>
      <w:r>
        <w:rPr>
          <w:b/>
          <w:bCs/>
          <w:color w:val="2C2C2A"/>
          <w:sz w:val="22"/>
          <w:szCs w:val="22"/>
        </w:rPr>
        <w:t xml:space="preserve">8. Phased implementation plan</w:t>
      </w:r>
    </w:p>
    <w:p>
      <w:pPr>
        <w:spacing w:after="100"/>
        <w:ind w:left="0"/>
      </w:pPr>
      <w:r>
        <w:rPr>
          <w:b/>
          <w:bCs/>
          <w:color w:val="2C2C2A"/>
          <w:sz w:val="22"/>
          <w:szCs w:val="22"/>
        </w:rPr>
        <w:t xml:space="preserve">9. Traceability to judging criteria</w:t>
      </w:r>
    </w:p>
    <w:p>
      <w:pPr>
        <w:spacing w:after="100"/>
        <w:ind w:left="0"/>
      </w:pPr>
      <w:r>
        <w:rPr>
          <w:b/>
          <w:bCs/>
          <w:color w:val="2C2C2A"/>
          <w:sz w:val="22"/>
          <w:szCs w:val="22"/>
        </w:rPr>
        <w:t xml:space="preserve">10. Appendices</w:t>
      </w:r>
    </w:p>
    <w:p>
      <w:pPr>
        <w:spacing w:after="60"/>
        <w:ind w:left="360"/>
      </w:pPr>
      <w:r>
        <w:rPr>
          <w:b w:val="false"/>
          <w:bCs w:val="false"/>
          <w:color w:val="5F5E5A"/>
          <w:sz w:val="20"/>
          <w:szCs w:val="20"/>
        </w:rPr>
        <w:t xml:space="preserve">Appendix A — sample Gemma 4 system prompt</w:t>
      </w:r>
    </w:p>
    <w:p>
      <w:pPr>
        <w:spacing w:after="60"/>
        <w:ind w:left="360"/>
      </w:pPr>
      <w:r>
        <w:rPr>
          <w:b w:val="false"/>
          <w:bCs w:val="false"/>
          <w:color w:val="5F5E5A"/>
          <w:sz w:val="20"/>
          <w:szCs w:val="20"/>
        </w:rPr>
        <w:t xml:space="preserve">Appendix B — verified crisis resource directory (Pakistan)</w:t>
      </w:r>
    </w:p>
    <w:p>
      <w:r>
        <w:br w:type="page"/>
      </w:r>
    </w:p>
    <w:p>
      <w:pPr>
        <w:pStyle w:val="Heading1"/>
        <w:spacing w:after="160" w:before="340"/>
      </w:pPr>
      <w:r>
        <w:t xml:space="preserve">1. Introduction</w:t>
      </w:r>
    </w:p>
    <w:p>
      <w:pPr>
        <w:pStyle w:val="Heading2"/>
        <w:spacing w:after="120" w:before="260"/>
      </w:pPr>
      <w:r>
        <w:t xml:space="preserve">1.1 Purpose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This document specifies the functional and non-functional requirements for Sukoon AI, an Urdu-first conversational well-being companion built on Gemma 4 for the Build with Gemma NUTECH Islamabad hackathon. It is written to be implementable within the hackathon's compressed timeline and to map directly onto the published judging criteria.</w:t>
      </w:r>
    </w:p>
    <w:p>
      <w:pPr>
        <w:pStyle w:val="Heading2"/>
        <w:spacing w:after="120" w:before="260"/>
      </w:pPr>
      <w:r>
        <w:t xml:space="preserve">1.2 Scope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Sukoon AI is a web-based chat companion that listens, validates feelings, and offers culturally appropriate coping suggestions in Urdu script, Roman Urdu, or English. It is explicitly not a diagnostic or clinical tool. In scope for the hackathon build: text chat, an optional voice input, a safety/crisis-escalation layer, and an anonymized analytics view for the demo. Out of scope for the hackathon build: user accounts, payment, native mobile apps, and integration with electronic health records.</w:t>
      </w:r>
    </w:p>
    <w:p>
      <w:pPr>
        <w:pStyle w:val="Heading2"/>
        <w:spacing w:after="120" w:before="260"/>
      </w:pPr>
      <w:r>
        <w:t xml:space="preserve">1.3 Intended audience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Primary users: Pakistani residents experiencing everyday stress, anxiety, or isolation who are unlikely to seek formal help due to stigma.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At-risk users: people expressing self-harm or crisis-level distress, who need to be routed to real human help, not kept in conversation with the AI.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Secondary audience: hackathon judges evaluating Gemma integration, innovation, functionality, and the writeup.</w:t>
      </w:r>
    </w:p>
    <w:p>
      <w:pPr>
        <w:spacing w:after="160" w:line="300"/>
      </w:pPr>
      <w:r>
        <w:rPr>
          <w:b w:val="false"/>
          <w:bCs w:val="false"/>
          <w:i/>
          <w:iCs/>
          <w:color w:val="2C2C2A"/>
          <w:sz w:val="22"/>
          <w:szCs w:val="22"/>
        </w:rPr>
        <w:t xml:space="preserve">User characteristics vary widely in English literacy, smartphone comfort, and willingness to discuss mental health at all — the design should not assume a tech-fluent, English-fluent user.</w:t>
      </w:r>
    </w:p>
    <w:p>
      <w:pPr>
        <w:pStyle w:val="Heading2"/>
        <w:spacing w:after="120" w:before="260"/>
      </w:pPr>
      <w:r>
        <w:t xml:space="preserve">1.4 Definitions, acronyms, and abbreviations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8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SRS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Software Requirements Specification — this document.</w:t>
            </w:r>
          </w:p>
        </w:tc>
      </w:tr>
      <w:tr>
        <w:tc>
          <w:tcPr>
            <w:tcW w:type="dxa" w:w="22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FR / NFR</w:t>
            </w:r>
          </w:p>
        </w:tc>
        <w:tc>
          <w:tcPr>
            <w:tcW w:type="dxa" w:w="68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Functional Requirement / Non-Functional Requirement.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MVP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Minimum Viable Product.</w:t>
            </w:r>
          </w:p>
        </w:tc>
      </w:tr>
      <w:tr>
        <w:tc>
          <w:tcPr>
            <w:tcW w:type="dxa" w:w="22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LLM</w:t>
            </w:r>
          </w:p>
        </w:tc>
        <w:tc>
          <w:tcPr>
            <w:tcW w:type="dxa" w:w="68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Large Language Model.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PII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Personally Identifiable Information.</w:t>
            </w:r>
          </w:p>
        </w:tc>
      </w:tr>
      <w:tr>
        <w:tc>
          <w:tcPr>
            <w:tcW w:type="dxa" w:w="22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MoSCoW</w:t>
            </w:r>
          </w:p>
        </w:tc>
        <w:tc>
          <w:tcPr>
            <w:tcW w:type="dxa" w:w="68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Prioritization scheme: Must have, Should have, Could have, Won't have this time.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Risk level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output of the safety classifier: none, elevated, or crisis.</w:t>
            </w:r>
          </w:p>
        </w:tc>
      </w:tr>
      <w:tr>
        <w:tc>
          <w:tcPr>
            <w:tcW w:type="dxa" w:w="22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Roman Urdu</w:t>
            </w:r>
          </w:p>
        </w:tc>
        <w:tc>
          <w:tcPr>
            <w:tcW w:type="dxa" w:w="68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Urdu written using the Latin alphabet, common in Pakistani texting and chat.</w:t>
            </w:r>
          </w:p>
        </w:tc>
      </w:tr>
    </w:tbl>
    <w:p>
      <w:pPr>
        <w:pStyle w:val="Heading2"/>
        <w:spacing w:after="120" w:before="260"/>
      </w:pPr>
      <w:r>
        <w:t xml:space="preserve">1.5 References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Google, "Gemma 4: byte for byte, the most capable open models" — blog.google, April 2, 2026.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Google AI for Developers, Gemma 4 model card — ai.google.dev/gemma/docs/core/model_card_4.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Umang Pakistan mental health helpline — umang.com.pk.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Rozan Pakistan — rozan.org.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UNFPA Pakistan, National Youth Helpline — pakistan.unfpa.org.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Data protection landscape in Pakistan — recordinglaw.com and dlapiperdataprotection.com, accessed July 2026.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"Build with Gemma: NUTECH Islamabad" shortlist notice (source document for this SRS).</w:t>
      </w:r>
    </w:p>
    <w:p>
      <w:pPr>
        <w:pStyle w:val="Heading2"/>
        <w:spacing w:after="120" w:before="260"/>
      </w:pPr>
      <w:r>
        <w:t xml:space="preserve">1.6 Document conventions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Requirements are identified by a module letter and number (e.g. C2). An asterisk after the ID (e.g. C2*) marks a requirement that extends beyond the original submitted proposal, added to strengthen safety, accessibility, or the innovation/impact score. Priority uses MoSCoW: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2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Required for a defensible, safe hackathon submission — do not present without these.</w:t>
            </w:r>
          </w:p>
        </w:tc>
      </w:tr>
      <w:tr>
        <w:tc>
          <w:tcPr>
            <w:tcW w:type="dxa" w:w="18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Should</w:t>
            </w:r>
          </w:p>
        </w:tc>
        <w:tc>
          <w:tcPr>
            <w:tcW w:type="dxa" w:w="72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Materially improves the demo and score; implement if time allows after all Musts.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Could</w:t>
            </w:r>
          </w:p>
        </w:tc>
        <w:tc>
          <w:tcPr>
            <w:tcW w:type="dxa" w:w="7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Nice to have; only after all Must and Should items are done.</w:t>
            </w:r>
          </w:p>
        </w:tc>
      </w:tr>
      <w:tr>
        <w:tc>
          <w:tcPr>
            <w:tcW w:type="dxa" w:w="18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Won't</w:t>
            </w:r>
          </w:p>
        </w:tc>
        <w:tc>
          <w:tcPr>
            <w:tcW w:type="dxa" w:w="72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Explicitly out of scope for this hackathon build.</w:t>
            </w:r>
          </w:p>
        </w:tc>
      </w:tr>
    </w:tbl>
    <w:p>
      <w:pPr>
        <w:pStyle w:val="Heading1"/>
        <w:spacing w:after="160" w:before="340"/>
      </w:pPr>
      <w:r>
        <w:t xml:space="preserve">2. Overall description</w:t>
      </w:r>
    </w:p>
    <w:p>
      <w:pPr>
        <w:pStyle w:val="Heading2"/>
        <w:spacing w:after="120" w:before="260"/>
      </w:pPr>
      <w:r>
        <w:t xml:space="preserve">2.1 Product perspective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Sukoon AI is a new, standalone product. It positions itself alongside — never as a replacement for — existing licensed mental-health services and crisis helplines in Pakistan (Appendix B). Its value is being the low-friction first step: anonymous, judgment-free, and in the user's own language, for people who would not otherwise reach out at all.</w:t>
      </w:r>
    </w:p>
    <w:p>
      <w:pPr>
        <w:pStyle w:val="Heading2"/>
        <w:spacing w:after="120" w:before="260"/>
      </w:pPr>
      <w:r>
        <w:t xml:space="preserve">2.2 Product functions (summary)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Culturally aware, Urdu-first conversational support (Module A).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Optional voice input using Gemma 4's native audio understanding (Module B).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Real-time safety classification and crisis escalation (Module C).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Privacy-first, anonymous-by-default data handling (Module D).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Accessible, low-bandwidth-friendly interface (Module E).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Anonymized impact dashboard for the demo (Module F).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Optional de-stigmatization / awareness features (Module G).</w:t>
      </w:r>
    </w:p>
    <w:p>
      <w:pPr>
        <w:pStyle w:val="Heading2"/>
        <w:spacing w:after="120" w:before="260"/>
      </w:pPr>
      <w:r>
        <w:t xml:space="preserve">2.3 User classes and characteristics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2800"/>
      </w:tblGrid>
      <w:tr>
        <w:trPr>
          <w:tblHeader/>
        </w:trPr>
        <w:tc>
          <w:tcPr>
            <w:tcW w:type="dxa" w:w="18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44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Characteristics</w:t>
            </w:r>
          </w:p>
        </w:tc>
        <w:tc>
          <w:tcPr>
            <w:tcW w:type="dxa" w:w="28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 for design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General public user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Mixed English literacy; may write in Roman Urdu or Urdu script; first time discussing mental health with anyone or anything.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Primary</w:t>
            </w:r>
          </w:p>
        </w:tc>
      </w:tr>
      <w:tr>
        <w:tc>
          <w:tcPr>
            <w:tcW w:type="dxa" w:w="18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At-risk user</w:t>
            </w:r>
          </w:p>
        </w:tc>
        <w:tc>
          <w:tcPr>
            <w:tcW w:type="dxa" w:w="44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Same as above, but expressing crisis-level distress; needs to reach a human quickly, not stay in AI conversation.</w:t>
            </w:r>
          </w:p>
        </w:tc>
        <w:tc>
          <w:tcPr>
            <w:tcW w:type="dxa" w:w="28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Primary, safety-critical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Hackathon judge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Time-limited; needs to see Gemma 4 usage, safety design, and a working prototype within minutes.</w:t>
            </w:r>
          </w:p>
        </w:tc>
        <w:tc>
          <w:tcPr>
            <w:tcW w:type="dxa" w:w="2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Secondary, demo-driving</w:t>
            </w:r>
          </w:p>
        </w:tc>
      </w:tr>
    </w:tbl>
    <w:p>
      <w:pPr>
        <w:pStyle w:val="Heading2"/>
        <w:spacing w:after="120" w:before="260"/>
      </w:pPr>
      <w:r>
        <w:t xml:space="preserve">2.4 Operating environment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Modern evergreen mobile or desktop browser; Node.js backend; Gemma 4 accessed via API or local/edge inference for the smaller model sizes. No native app required for the hackathon build.</w:t>
      </w:r>
    </w:p>
    <w:p>
      <w:pPr>
        <w:pStyle w:val="Heading2"/>
        <w:spacing w:after="120" w:before="260"/>
      </w:pPr>
      <w:r>
        <w:t xml:space="preserve">2.5 Design and implementation constraints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Per the hackathon rules, no code may be pushed to GitHub and no repository created before hackathon day (see Phase 0/1).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The Kaggle Writeup and final submission are due July 15, alongside the live presentation at the NUTECH Seminar Hall.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The core model must be Gemma 4, per the hackathon's judging rubric.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Build time is effectively a single hackathon day — the phased plan in Section 8 is time-boxed accordingly.</w:t>
      </w:r>
    </w:p>
    <w:p>
      <w:pPr>
        <w:pStyle w:val="Heading2"/>
        <w:spacing w:after="120" w:before="260"/>
      </w:pPr>
      <w:r>
        <w:t xml:space="preserve">2.6 Assumptions and dependencies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Gemma 4 API access/quota is available and stable through the demo window.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The venue provides reliable internet for a live, unscripted demo.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Listed helpline numbers remain reachable — verify immediately before the demo (Appendix B).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Users have access to a smartphone or computer with a modern browser.</w:t>
      </w:r>
    </w:p>
    <w:p>
      <w:pPr>
        <w:pStyle w:val="Heading1"/>
        <w:spacing w:after="160" w:before="340"/>
      </w:pPr>
      <w:r>
        <w:t xml:space="preserve">3. Functional requirements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Requirements are grouped by module. IDs marked with * are additions beyond the original proposal — see Section 1.6.</w:t>
      </w:r>
    </w:p>
    <w:p>
      <w:pPr>
        <w:pStyle w:val="Heading3"/>
        <w:spacing w:after="100" w:before="200"/>
      </w:pPr>
      <w:r>
        <w:t xml:space="preserve">Module A — Conversational core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400"/>
        <w:gridCol w:w="1600"/>
      </w:tblGrid>
      <w:tr>
        <w:trPr>
          <w:tblHeader/>
        </w:trPr>
        <w:tc>
          <w:tcPr>
            <w:tcW w:type="dxa" w:w="9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1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6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A1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provide a single-window chat interface where users can type in Urdu script or Roman Urdu.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A2</w:t>
            </w:r>
          </w:p>
        </w:tc>
        <w:tc>
          <w:tcPr>
            <w:tcW w:type="dxa" w:w="5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send every user message to Gemma 4 together with a fixed system prompt establishing the Sukoon persona (empathetic, non-clinical, culturally aware). See Appendix A.</w:t>
            </w:r>
          </w:p>
        </w:tc>
        <w:tc>
          <w:tcPr>
            <w:tcW w:type="dxa" w:w="14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  <w:tc>
          <w:tcPr>
            <w:tcW w:type="dxa" w:w="16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A3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stream Gemma 4's reply back to the user incrementally to reduce perceived latency.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Should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A4</w:t>
            </w:r>
          </w:p>
        </w:tc>
        <w:tc>
          <w:tcPr>
            <w:tcW w:type="dxa" w:w="5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detect whether the user is writing in Urdu script, Roman Urdu, or English, and reply in the same register by default.</w:t>
            </w:r>
          </w:p>
        </w:tc>
        <w:tc>
          <w:tcPr>
            <w:tcW w:type="dxa" w:w="14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  <w:tc>
          <w:tcPr>
            <w:tcW w:type="dxa" w:w="16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A5*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let the user choose a secular or faith-informed framing for coping suggestions, and respect that choice for the rest of the session.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Should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4</w:t>
            </w:r>
          </w:p>
        </w:tc>
      </w:tr>
      <w:tr>
        <w:tc>
          <w:tcPr>
            <w:tcW w:type="dxa" w:w="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A6*</w:t>
            </w:r>
          </w:p>
        </w:tc>
        <w:tc>
          <w:tcPr>
            <w:tcW w:type="dxa" w:w="5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offer at least three quick-start prompts (e.g. exam stress, family pressure) so first-time users don't face a blank input box.</w:t>
            </w:r>
          </w:p>
        </w:tc>
        <w:tc>
          <w:tcPr>
            <w:tcW w:type="dxa" w:w="14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Should</w:t>
            </w:r>
          </w:p>
        </w:tc>
        <w:tc>
          <w:tcPr>
            <w:tcW w:type="dxa" w:w="16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5</w:t>
            </w:r>
          </w:p>
        </w:tc>
      </w:tr>
    </w:tbl>
    <w:p>
      <w:pPr>
        <w:pStyle w:val="Heading3"/>
        <w:spacing w:after="100" w:before="200"/>
      </w:pPr>
      <w:r>
        <w:t xml:space="preserve">Module B — Voice and multimodal input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400"/>
        <w:gridCol w:w="1600"/>
      </w:tblGrid>
      <w:tr>
        <w:trPr>
          <w:tblHeader/>
        </w:trPr>
        <w:tc>
          <w:tcPr>
            <w:tcW w:type="dxa" w:w="9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1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6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B1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let users record voice input via a mic button and submit it directly to Gemma 4 for native audio understanding, without a separate speech-to-text service.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Should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4</w:t>
            </w:r>
          </w:p>
        </w:tc>
      </w:tr>
      <w:tr>
        <w:tc>
          <w:tcPr>
            <w:tcW w:type="dxa" w:w="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B2</w:t>
            </w:r>
          </w:p>
        </w:tc>
        <w:tc>
          <w:tcPr>
            <w:tcW w:type="dxa" w:w="5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show a live recording indicator while capturing voice input.</w:t>
            </w:r>
          </w:p>
        </w:tc>
        <w:tc>
          <w:tcPr>
            <w:tcW w:type="dxa" w:w="14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Could</w:t>
            </w:r>
          </w:p>
        </w:tc>
        <w:tc>
          <w:tcPr>
            <w:tcW w:type="dxa" w:w="16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4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B3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let the user review or cancel a recording before it is sent.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 (if B1 shipped)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4</w:t>
            </w:r>
          </w:p>
        </w:tc>
      </w:tr>
    </w:tbl>
    <w:p>
      <w:pPr>
        <w:pStyle w:val="Heading3"/>
        <w:spacing w:after="100" w:before="200"/>
      </w:pPr>
      <w:r>
        <w:t xml:space="preserve">Module C — Safety and crisis management (safety-critical)</w:t>
      </w:r>
    </w:p>
    <w:p>
      <w:pPr>
        <w:spacing w:after="160" w:line="300"/>
      </w:pPr>
      <w:r>
        <w:rPr>
          <w:b/>
          <w:bCs/>
          <w:i w:val="false"/>
          <w:iCs w:val="false"/>
          <w:color w:val="2C2C2A"/>
          <w:sz w:val="22"/>
          <w:szCs w:val="22"/>
        </w:rPr>
        <w:t xml:space="preserve">This module did not exist in the original proposal. It is the single highest-priority addition in this SRS: an anonymous companion aimed at people with mental health struggles must have a real escalation path.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400"/>
        <w:gridCol w:w="1600"/>
      </w:tblGrid>
      <w:tr>
        <w:trPr>
          <w:tblHeader/>
        </w:trPr>
        <w:tc>
          <w:tcPr>
            <w:tcW w:type="dxa" w:w="9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1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6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C1*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run a structured risk-classification pass on every user turn, returning a JSON risk_level of none, elevated, or crisis via Gemma 4's function-calling/structured output.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C2*</w:t>
            </w:r>
          </w:p>
        </w:tc>
        <w:tc>
          <w:tcPr>
            <w:tcW w:type="dxa" w:w="5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When risk_level = crisis, the system shall interrupt normal persona behaviour and show a dedicated safety card with at least two verified Pakistani helpline numbers and a tap-to-call action. See Appendix B.</w:t>
            </w:r>
          </w:p>
        </w:tc>
        <w:tc>
          <w:tcPr>
            <w:tcW w:type="dxa" w:w="14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  <w:tc>
          <w:tcPr>
            <w:tcW w:type="dxa" w:w="16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C3*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never generate a clinical diagnosis or prescribe a medication or dosage, under any prompt.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C4*</w:t>
            </w:r>
          </w:p>
        </w:tc>
        <w:tc>
          <w:tcPr>
            <w:tcW w:type="dxa" w:w="5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show a persistent, non-dismissible crisis-helpline access point at all times, regardless of detected risk level.</w:t>
            </w:r>
          </w:p>
        </w:tc>
        <w:tc>
          <w:tcPr>
            <w:tcW w:type="dxa" w:w="14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  <w:tc>
          <w:tcPr>
            <w:tcW w:type="dxa" w:w="16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C5*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log crisis-flagged events as a timestamp and anonymous session ID only, with no message content, for reliability review.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Should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C6*</w:t>
            </w:r>
          </w:p>
        </w:tc>
        <w:tc>
          <w:tcPr>
            <w:tcW w:type="dxa" w:w="5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show a standing disclaimer, visible on first use and reachable thereafter, that Sukoon is peer support, not a licensed therapist.</w:t>
            </w:r>
          </w:p>
        </w:tc>
        <w:tc>
          <w:tcPr>
            <w:tcW w:type="dxa" w:w="14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  <w:tc>
          <w:tcPr>
            <w:tcW w:type="dxa" w:w="16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2</w:t>
            </w:r>
          </w:p>
        </w:tc>
      </w:tr>
    </w:tbl>
    <w:p>
      <w:pPr>
        <w:pStyle w:val="Heading3"/>
        <w:spacing w:after="100" w:before="200"/>
      </w:pPr>
      <w:r>
        <w:t xml:space="preserve">Module D — Privacy and data handling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400"/>
        <w:gridCol w:w="1600"/>
      </w:tblGrid>
      <w:tr>
        <w:trPr>
          <w:tblHeader/>
        </w:trPr>
        <w:tc>
          <w:tcPr>
            <w:tcW w:type="dxa" w:w="9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1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6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D1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not require account creation, a phone number, or an email address to use core chat functionality.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D2</w:t>
            </w:r>
          </w:p>
        </w:tc>
        <w:tc>
          <w:tcPr>
            <w:tcW w:type="dxa" w:w="5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not store raw conversation text linked to any persistent user identifier.</w:t>
            </w:r>
          </w:p>
        </w:tc>
        <w:tc>
          <w:tcPr>
            <w:tcW w:type="dxa" w:w="14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  <w:tc>
          <w:tcPr>
            <w:tcW w:type="dxa" w:w="16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D3*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store only aggregate, anonymized topic/sentiment trend data (e.g. daily counts by category) for the analytics dashboard.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D4*</w:t>
            </w:r>
          </w:p>
        </w:tc>
        <w:tc>
          <w:tcPr>
            <w:tcW w:type="dxa" w:w="5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provide a visible "clear session" control that immediately deletes local conversation state.</w:t>
            </w:r>
          </w:p>
        </w:tc>
        <w:tc>
          <w:tcPr>
            <w:tcW w:type="dxa" w:w="14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Should</w:t>
            </w:r>
          </w:p>
        </w:tc>
        <w:tc>
          <w:tcPr>
            <w:tcW w:type="dxa" w:w="16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D5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All client-server communication shall be encrypted in transit (TLS 1.2 or later).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2</w:t>
            </w:r>
          </w:p>
        </w:tc>
      </w:tr>
    </w:tbl>
    <w:p>
      <w:pPr>
        <w:pStyle w:val="Heading3"/>
        <w:spacing w:after="100" w:before="200"/>
      </w:pPr>
      <w:r>
        <w:t xml:space="preserve">Module E — Localization and accessibility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400"/>
        <w:gridCol w:w="1600"/>
      </w:tblGrid>
      <w:tr>
        <w:trPr>
          <w:tblHeader/>
        </w:trPr>
        <w:tc>
          <w:tcPr>
            <w:tcW w:type="dxa" w:w="9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1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6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E1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UI shall correctly render mixed left-to-right (Roman Urdu/English) and right-to-left (Urdu script) text without layout breakage.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E2*</w:t>
            </w:r>
          </w:p>
        </w:tc>
        <w:tc>
          <w:tcPr>
            <w:tcW w:type="dxa" w:w="5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support adjustable font size for users with limited eyesight or older users.</w:t>
            </w:r>
          </w:p>
        </w:tc>
        <w:tc>
          <w:tcPr>
            <w:tcW w:type="dxa" w:w="14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Should</w:t>
            </w:r>
          </w:p>
        </w:tc>
        <w:tc>
          <w:tcPr>
            <w:tcW w:type="dxa" w:w="16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E3*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remain usable on low-bandwidth (3G-equivalent) connections, with a lightweight initial payload.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Should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E4</w:t>
            </w:r>
          </w:p>
        </w:tc>
        <w:tc>
          <w:tcPr>
            <w:tcW w:type="dxa" w:w="5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Primary controls (mic, send, helpline) shall use large touch targets paired with icon and label, for low-literacy users.</w:t>
            </w:r>
          </w:p>
        </w:tc>
        <w:tc>
          <w:tcPr>
            <w:tcW w:type="dxa" w:w="14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  <w:tc>
          <w:tcPr>
            <w:tcW w:type="dxa" w:w="16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2</w:t>
            </w:r>
          </w:p>
        </w:tc>
      </w:tr>
    </w:tbl>
    <w:p>
      <w:pPr>
        <w:pStyle w:val="Heading3"/>
        <w:spacing w:after="100" w:before="200"/>
      </w:pPr>
      <w:r>
        <w:t xml:space="preserve">Module F — Analytics dashboard (for demo and judges)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400"/>
        <w:gridCol w:w="1600"/>
      </w:tblGrid>
      <w:tr>
        <w:trPr>
          <w:tblHeader/>
        </w:trPr>
        <w:tc>
          <w:tcPr>
            <w:tcW w:type="dxa" w:w="9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1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6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F1*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provide a simple dashboard of anonymized aggregate stats (total conversations, top stress categories, escalation count) for the hackathon demo.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Should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F2</w:t>
            </w:r>
          </w:p>
        </w:tc>
        <w:tc>
          <w:tcPr>
            <w:tcW w:type="dxa" w:w="5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dashboard shall never display individual message content.</w:t>
            </w:r>
          </w:p>
        </w:tc>
        <w:tc>
          <w:tcPr>
            <w:tcW w:type="dxa" w:w="14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  <w:tc>
          <w:tcPr>
            <w:tcW w:type="dxa" w:w="16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5</w:t>
            </w:r>
          </w:p>
        </w:tc>
      </w:tr>
    </w:tbl>
    <w:p>
      <w:pPr>
        <w:pStyle w:val="Heading3"/>
        <w:spacing w:after="100" w:before="200"/>
      </w:pPr>
      <w:r>
        <w:t xml:space="preserve">Module G — De-stigmatization and awareness (recommended additions)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Optional, roadmap-facing features that speak directly to the "nobody talks about mental health" problem statement, without adding hackathon-day build risk.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1400"/>
        <w:gridCol w:w="1600"/>
      </w:tblGrid>
      <w:tr>
        <w:trPr>
          <w:tblHeader/>
        </w:trPr>
        <w:tc>
          <w:tcPr>
            <w:tcW w:type="dxa" w:w="9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1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6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G1*</w:t>
            </w:r>
          </w:p>
        </w:tc>
        <w:tc>
          <w:tcPr>
            <w:tcW w:type="dxa" w:w="5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should show an anonymized, aggregate social-proof message (e.g. "1,200 people talked about exam stress this week") to reduce felt isolation.</w:t>
            </w:r>
          </w:p>
        </w:tc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Could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5 / roadmap</w:t>
            </w:r>
          </w:p>
        </w:tc>
      </w:tr>
      <w:tr>
        <w:tc>
          <w:tcPr>
            <w:tcW w:type="dxa" w:w="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G2*</w:t>
            </w:r>
          </w:p>
        </w:tc>
        <w:tc>
          <w:tcPr>
            <w:tcW w:type="dxa" w:w="5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could surface a short, vetted psychoeducational fact card periodically, normalizing therapy and help-seeking.</w:t>
            </w:r>
          </w:p>
        </w:tc>
        <w:tc>
          <w:tcPr>
            <w:tcW w:type="dxa" w:w="14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Could</w:t>
            </w:r>
          </w:p>
        </w:tc>
        <w:tc>
          <w:tcPr>
            <w:tcW w:type="dxa" w:w="16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7 / roadmap</w:t>
            </w:r>
          </w:p>
        </w:tc>
      </w:tr>
    </w:tbl>
    <w:p>
      <w:pPr>
        <w:pStyle w:val="Heading1"/>
        <w:spacing w:after="160" w:before="340"/>
      </w:pPr>
      <w:r>
        <w:t xml:space="preserve">4. Non-functional requirements</w:t>
      </w:r>
    </w:p>
    <w:p>
      <w:pPr>
        <w:pStyle w:val="Heading3"/>
        <w:spacing w:after="100" w:before="200"/>
      </w:pPr>
      <w:r>
        <w:t xml:space="preserve">4.1 Performance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00"/>
        <w:gridCol w:w="2000"/>
      </w:tblGrid>
      <w:tr>
        <w:trPr>
          <w:tblHeader/>
        </w:trPr>
        <w:tc>
          <w:tcPr>
            <w:tcW w:type="dxa" w:w="9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1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0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NFR-P1</w:t>
            </w:r>
          </w:p>
        </w:tc>
        <w:tc>
          <w:tcPr>
            <w:tcW w:type="dxa" w:w="6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return the first token of a Gemma 4 reply within 3 seconds under normal load.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NFR-P2</w:t>
            </w:r>
          </w:p>
        </w:tc>
        <w:tc>
          <w:tcPr>
            <w:tcW w:type="dxa" w:w="6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 voice round trip (record to first reply token) shall complete within 6 seconds for a 15-second clip.</w:t>
            </w:r>
          </w:p>
        </w:tc>
        <w:tc>
          <w:tcPr>
            <w:tcW w:type="dxa" w:w="20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3"/>
        <w:spacing w:after="100" w:before="200"/>
      </w:pPr>
      <w:r>
        <w:t xml:space="preserve">4.2 Usability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00"/>
        <w:gridCol w:w="2000"/>
      </w:tblGrid>
      <w:tr>
        <w:trPr>
          <w:tblHeader/>
        </w:trPr>
        <w:tc>
          <w:tcPr>
            <w:tcW w:type="dxa" w:w="9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1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0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NFR-U1</w:t>
            </w:r>
          </w:p>
        </w:tc>
        <w:tc>
          <w:tcPr>
            <w:tcW w:type="dxa" w:w="6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 first-time user shall be able to send their first message within 30 seconds of landing on the page, with no instructions required.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NFR-U2</w:t>
            </w:r>
          </w:p>
        </w:tc>
        <w:tc>
          <w:tcPr>
            <w:tcW w:type="dxa" w:w="6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interface shall meet WCAG 2.1 AA minimum colour-contrast ratios.</w:t>
            </w:r>
          </w:p>
        </w:tc>
        <w:tc>
          <w:tcPr>
            <w:tcW w:type="dxa" w:w="20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3"/>
        <w:spacing w:after="100" w:before="200"/>
      </w:pPr>
      <w:r>
        <w:t xml:space="preserve">4.3 Reliability and availability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00"/>
        <w:gridCol w:w="2000"/>
      </w:tblGrid>
      <w:tr>
        <w:trPr>
          <w:tblHeader/>
        </w:trPr>
        <w:tc>
          <w:tcPr>
            <w:tcW w:type="dxa" w:w="9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1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0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NFR-R1</w:t>
            </w:r>
          </w:p>
        </w:tc>
        <w:tc>
          <w:tcPr>
            <w:tcW w:type="dxa" w:w="6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If the Gemma 4 endpoint is unreachable, the system shall show a clear error and retry option rather than a blank or broken UI.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NFR-R2</w:t>
            </w:r>
          </w:p>
        </w:tc>
        <w:tc>
          <w:tcPr>
            <w:tcW w:type="dxa" w:w="6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demo build shall maintain effectively 100% uptime during the July 15 presentation window (single-session, judge-facing reliability, not a production SLA).</w:t>
            </w:r>
          </w:p>
        </w:tc>
        <w:tc>
          <w:tcPr>
            <w:tcW w:type="dxa" w:w="20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3"/>
        <w:spacing w:after="100" w:before="200"/>
      </w:pPr>
      <w:r>
        <w:t xml:space="preserve">4.4 Security and privacy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00"/>
        <w:gridCol w:w="2000"/>
      </w:tblGrid>
      <w:tr>
        <w:trPr>
          <w:tblHeader/>
        </w:trPr>
        <w:tc>
          <w:tcPr>
            <w:tcW w:type="dxa" w:w="9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1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0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NFR-S1</w:t>
            </w:r>
          </w:p>
        </w:tc>
        <w:tc>
          <w:tcPr>
            <w:tcW w:type="dxa" w:w="6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No personally identifiable information shall be sent to or stored by any third-party analytics tool.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NFR-S2</w:t>
            </w:r>
          </w:p>
        </w:tc>
        <w:tc>
          <w:tcPr>
            <w:tcW w:type="dxa" w:w="6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API keys and credentials shall never be exposed in client-side code or committed to the repository.</w:t>
            </w:r>
          </w:p>
        </w:tc>
        <w:tc>
          <w:tcPr>
            <w:tcW w:type="dxa" w:w="20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3"/>
        <w:spacing w:after="100" w:before="200"/>
      </w:pPr>
      <w:r>
        <w:t xml:space="preserve">4.5 Legal and compliance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00"/>
        <w:gridCol w:w="2000"/>
      </w:tblGrid>
      <w:tr>
        <w:trPr>
          <w:tblHeader/>
        </w:trPr>
        <w:tc>
          <w:tcPr>
            <w:tcW w:type="dxa" w:w="9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1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0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NFR-C1</w:t>
            </w:r>
          </w:p>
        </w:tc>
        <w:tc>
          <w:tcPr>
            <w:tcW w:type="dxa" w:w="6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As of mid-2026 Pakistan has no enacted, comprehensive data-protection law; the closest instrument is the Prevention of Electronic Crimes Act (PECA) 2016, amended in 2025, a criminal statute rather than a privacy framework. Because there is no binding data-minimization rule to rely on, the system shall still follow data-minimization and consent-by-default practice equivalent to internationally recognized standards (see D1-D3, D5).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3"/>
        <w:spacing w:after="100" w:before="200"/>
      </w:pPr>
      <w:r>
        <w:t xml:space="preserve">4.6 Scalability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00"/>
        <w:gridCol w:w="2000"/>
      </w:tblGrid>
      <w:tr>
        <w:trPr>
          <w:tblHeader/>
        </w:trPr>
        <w:tc>
          <w:tcPr>
            <w:tcW w:type="dxa" w:w="9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1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0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NFR-SC1</w:t>
            </w:r>
          </w:p>
        </w:tc>
        <w:tc>
          <w:tcPr>
            <w:tcW w:type="dxa" w:w="6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backend shall be able to scale horizontally independent of the Gemma 4 inference endpoint.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Could</w:t>
            </w:r>
          </w:p>
        </w:tc>
      </w:tr>
    </w:tbl>
    <w:p>
      <w:pPr>
        <w:pStyle w:val="Heading3"/>
        <w:spacing w:after="100" w:before="200"/>
      </w:pPr>
      <w:r>
        <w:t xml:space="preserve">4.7 Maintainability and portability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00"/>
        <w:gridCol w:w="2000"/>
      </w:tblGrid>
      <w:tr>
        <w:trPr>
          <w:tblHeader/>
        </w:trPr>
        <w:tc>
          <w:tcPr>
            <w:tcW w:type="dxa" w:w="9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1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0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NFR-M1</w:t>
            </w:r>
          </w:p>
        </w:tc>
        <w:tc>
          <w:tcPr>
            <w:tcW w:type="dxa" w:w="6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persona/system-prompt configuration shall be separated from application logic so it can be updated without a backend redeploy.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NFR-M2</w:t>
            </w:r>
          </w:p>
        </w:tc>
        <w:tc>
          <w:tcPr>
            <w:tcW w:type="dxa" w:w="6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frontend shall run on any evergreen browser (Chrome, Edge, Safari, Firefox) with no plugins required.</w:t>
            </w:r>
          </w:p>
        </w:tc>
        <w:tc>
          <w:tcPr>
            <w:tcW w:type="dxa" w:w="20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3"/>
        <w:spacing w:after="100" w:before="200"/>
      </w:pPr>
      <w:r>
        <w:t xml:space="preserve">4.8 Ethical and safety non-functionals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100"/>
        <w:gridCol w:w="2000"/>
      </w:tblGrid>
      <w:tr>
        <w:trPr>
          <w:tblHeader/>
        </w:trPr>
        <w:tc>
          <w:tcPr>
            <w:tcW w:type="dxa" w:w="9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1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0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NFR-E1</w:t>
            </w:r>
          </w:p>
        </w:tc>
        <w:tc>
          <w:tcPr>
            <w:tcW w:type="dxa" w:w="6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The system shall never simulate being a licensed human therapist or claim clinical credentials, in any language or register.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NFR-E2</w:t>
            </w:r>
          </w:p>
        </w:tc>
        <w:tc>
          <w:tcPr>
            <w:tcW w:type="dxa" w:w="6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Latency from a crisis-level classification to the safety card being shown shall not exceed 2 seconds.</w:t>
            </w:r>
          </w:p>
        </w:tc>
        <w:tc>
          <w:tcPr>
            <w:tcW w:type="dxa" w:w="20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1"/>
        <w:spacing w:after="160" w:before="340"/>
      </w:pPr>
      <w:r>
        <w:t xml:space="preserve">5. External interface requirements</w:t>
      </w:r>
    </w:p>
    <w:p>
      <w:pPr>
        <w:pStyle w:val="Heading2"/>
        <w:spacing w:after="120" w:before="260"/>
      </w:pPr>
      <w:r>
        <w:t xml:space="preserve">5.1 User interfaces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Single-window chat view, mic button, and a persistent helpline access point (FR C4).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Dedicated, visually distinct safety card for crisis-level replies (FR C2).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Mixed-direction text rendering for Urdu script and Roman Urdu/English (FR E1).</w:t>
      </w:r>
    </w:p>
    <w:p>
      <w:pPr>
        <w:pStyle w:val="Heading2"/>
        <w:spacing w:after="120" w:before="260"/>
      </w:pPr>
      <w:r>
        <w:t xml:space="preserve">5.2 Hardware interfaces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Device microphone, accessed via standard browser permissions, for voice input (Module B).</w:t>
      </w:r>
    </w:p>
    <w:p>
      <w:pPr>
        <w:pStyle w:val="Heading2"/>
        <w:spacing w:after="120" w:before="260"/>
      </w:pPr>
      <w:r>
        <w:t xml:space="preserve">5.3 Software interfaces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Gemma 4 API (or local/edge inference for E2B/E4B sizes) for conversation and risk classification.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A lightweight datastore (SQLite for the demo build is sufficient) for anonymized aggregate trend data only.</w:t>
      </w:r>
    </w:p>
    <w:p>
      <w:pPr>
        <w:pStyle w:val="Heading2"/>
        <w:spacing w:after="120" w:before="260"/>
      </w:pPr>
      <w:r>
        <w:t xml:space="preserve">5.4 Communication interfaces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HTTPS for all client-server traffic; TLS 1.2 or later (NFR-S security requirements).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WebSocket or server-sent events for streaming replies (FR A3).</w:t>
      </w:r>
    </w:p>
    <w:p>
      <w:pPr>
        <w:pStyle w:val="Heading1"/>
        <w:spacing w:after="160" w:before="340"/>
      </w:pPr>
      <w:r>
        <w:t xml:space="preserve">6. System architecture overview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At a high level, a user message (voice or text) is sent to the Gemma 4 conversational core, which replies using the Sukoon persona system prompt. In parallel, a structured risk-classification pass scores the same turn. Low or moderate risk produces a comforting, culturally aware reply; crisis-level risk produces a brief, calm reply plus an immediate safety card with real helpline numbers. Both paths write only anonymized, aggregate sentiment data to storage — never raw message content tied to an identifier. This flow was illustrated as a diagram earlier in this conversation and should be reproduced in the Kaggle Writeup.</w:t>
      </w:r>
    </w:p>
    <w:p>
      <w:pPr>
        <w:pStyle w:val="Heading1"/>
        <w:spacing w:after="160" w:before="340"/>
      </w:pPr>
      <w:r>
        <w:t xml:space="preserve">7. Safety requirements (non-negotiable)</w:t>
      </w:r>
    </w:p>
    <w:p>
      <w:pPr>
        <w:spacing w:after="160" w:line="300"/>
      </w:pPr>
      <w:r>
        <w:rPr>
          <w:b/>
          <w:bCs/>
          <w:i w:val="false"/>
          <w:iCs w:val="false"/>
          <w:color w:val="2C2C2A"/>
          <w:sz w:val="22"/>
          <w:szCs w:val="22"/>
        </w:rPr>
        <w:t xml:space="preserve">Because Sukoon AI will be used by people in real emotional distress, the following are treated as release-blocking, not aspirational. They consolidate Module C and the ethical NFRs above.</w:t>
      </w:r>
    </w:p>
    <w:p>
      <w:pPr>
        <w:pStyle w:val="Heading3"/>
        <w:spacing w:after="100" w:before="200"/>
      </w:pPr>
      <w:r>
        <w:t xml:space="preserve">Must never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Provide a clinical diagnosis or a medication/dosage recommendation, in any language or framing.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Simulate being a licensed therapist or claim clinical credentials.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Bury or hide helpline access behind menus during a crisis-flagged conversation.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Store raw, crisis-flagged conversation content.</w:t>
      </w:r>
    </w:p>
    <w:p>
      <w:pPr>
        <w:pStyle w:val="Heading3"/>
        <w:spacing w:after="100" w:before="200"/>
      </w:pPr>
      <w:r>
        <w:t xml:space="preserve">Must always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Complete risk classification before a reply is shown to the user (FR C1).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Surface a real, verified Pakistani helpline within 2 seconds of detecting crisis-level risk (NFR-E2).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 w:val="false"/>
          <w:bCs w:val="false"/>
          <w:color w:val="2C2C2A"/>
          <w:sz w:val="22"/>
          <w:szCs w:val="22"/>
        </w:rPr>
        <w:t xml:space="preserve">Keep the disclaimer and helpline access visible at all times, not only when risk is detected (FR C4, C6).</w:t>
      </w:r>
    </w:p>
    <w:p>
      <w:pPr>
        <w:pStyle w:val="Heading1"/>
        <w:spacing w:after="160" w:before="340"/>
      </w:pPr>
      <w:r>
        <w:t xml:space="preserve">8. Phased implementation plan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Phases are time-boxed against the actual hackathon rules: no repository or commits before hackathon day, with submission and presentation both on July 15. Adjust the hour blocks to the real on-site schedule once known.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900"/>
        <w:gridCol w:w="2100"/>
      </w:tblGrid>
      <w:tr>
        <w:trPr>
          <w:tblHeader/>
        </w:trPr>
        <w:tc>
          <w:tcPr>
            <w:tcW w:type="dxa" w:w="15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5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Time-box</w:t>
            </w:r>
          </w:p>
        </w:tc>
        <w:tc>
          <w:tcPr>
            <w:tcW w:type="dxa" w:w="39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Goal and key deliverables</w:t>
            </w:r>
          </w:p>
        </w:tc>
        <w:tc>
          <w:tcPr>
            <w:tcW w:type="dxa" w:w="21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Requirements covered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0 — Pre-hackathon readiness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Today, July 14 (no repo, no commits)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Finalize this SRS, draft the Gemma 4 system prompt (Appendix A), sketch wireframes, confirm Gemma 4 API/quota access, verify helpline numbers (Appendix B), rehearse the problem narrative.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Groundwork for A2, C1-C6</w:t>
            </w:r>
          </w:p>
        </w:tc>
      </w:tr>
      <w:tr>
        <w:tc>
          <w:tcPr>
            <w:tcW w:type="dxa" w:w="15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1 — Setup</w:t>
            </w:r>
          </w:p>
        </w:tc>
        <w:tc>
          <w:tcPr>
            <w:tcW w:type="dxa" w:w="15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Hour 0-1 of hackathon day</w:t>
            </w:r>
          </w:p>
        </w:tc>
        <w:tc>
          <w:tcPr>
            <w:tcW w:type="dxa" w:w="3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Create the GitHub repo and initial commit (per event rules), scaffold frontend and backend, wire up the Gemma 4 API call.</w:t>
            </w:r>
          </w:p>
        </w:tc>
        <w:tc>
          <w:tcPr>
            <w:tcW w:type="dxa" w:w="2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Environment only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2 — Core conversational MVP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Hour 1-4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Working single-window chat: send message, get streamed Urdu/Roman Urdu reply, disclaimer visible, no diagnosis in prompt, no PII stored, HTTPS.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A1-A4, C3, C6, D1, D2, D5, E1, E4</w:t>
            </w:r>
          </w:p>
        </w:tc>
      </w:tr>
      <w:tr>
        <w:tc>
          <w:tcPr>
            <w:tcW w:type="dxa" w:w="15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3 — Safety layer</w:t>
            </w:r>
          </w:p>
        </w:tc>
        <w:tc>
          <w:tcPr>
            <w:tcW w:type="dxa" w:w="15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Hour 4-7</w:t>
            </w:r>
          </w:p>
        </w:tc>
        <w:tc>
          <w:tcPr>
            <w:tcW w:type="dxa" w:w="3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Add the structured risk-classification pass and the crisis safety card with real helpline numbers; persistent helpline access; anonymized crisis-event logging.</w:t>
            </w:r>
          </w:p>
        </w:tc>
        <w:tc>
          <w:tcPr>
            <w:tcW w:type="dxa" w:w="2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C1, C2, C4, C5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4 — Voice and cultural depth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Hour 7-9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Add mic input using Gemma 4's native audio understanding; add secular/faith-informed framing choice.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B1-B3, A5</w:t>
            </w:r>
          </w:p>
        </w:tc>
      </w:tr>
      <w:tr>
        <w:tc>
          <w:tcPr>
            <w:tcW w:type="dxa" w:w="15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5 — Dashboard, accessibility, polish</w:t>
            </w:r>
          </w:p>
        </w:tc>
        <w:tc>
          <w:tcPr>
            <w:tcW w:type="dxa" w:w="15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Hour 9-11</w:t>
            </w:r>
          </w:p>
        </w:tc>
        <w:tc>
          <w:tcPr>
            <w:tcW w:type="dxa" w:w="3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Build the anonymized aggregate dashboard, quick-start prompts, clear-session control, font-size control, lightweight asset pass.</w:t>
            </w:r>
          </w:p>
        </w:tc>
        <w:tc>
          <w:tcPr>
            <w:tcW w:type="dxa" w:w="2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D3, D4, A6, E2, E3, F1, F2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6 — Test, record, write up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Hour 11-12.5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End-to-end test of the safety path, record the demo video (kept offline until submission), draft the Kaggle Writeup from this SRS.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NFR-R1, NFR-E2 verification</w:t>
            </w:r>
          </w:p>
        </w:tc>
      </w:tr>
      <w:tr>
        <w:tc>
          <w:tcPr>
            <w:tcW w:type="dxa" w:w="15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7 — Submission and rehearsal</w:t>
            </w:r>
          </w:p>
        </w:tc>
        <w:tc>
          <w:tcPr>
            <w:tcW w:type="dxa" w:w="15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Hour 12.5 to deadline</w:t>
            </w:r>
          </w:p>
        </w:tc>
        <w:tc>
          <w:tcPr>
            <w:tcW w:type="dxa" w:w="3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Push final commits, publish the demo video, submit the Kaggle Writeup, rehearse the live pitch at NUTECH Seminar Hall.</w:t>
            </w:r>
          </w:p>
        </w:tc>
        <w:tc>
          <w:tcPr>
            <w:tcW w:type="dxa" w:w="2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All Must-priority items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 8 — Post-hackathon roadmap (not required for judging)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Beyond July 15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Social-proof and psychoeducation features (G1, G2), clinician-reviewed content review, warm-handoff partnership with Umang/Rozan, offline-first PWA, Punjabi/Pashto/Sindhi expansion.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G1, G2, NFR-SC1</w:t>
            </w:r>
          </w:p>
        </w:tc>
      </w:tr>
    </w:tbl>
    <w:p>
      <w:pPr>
        <w:pStyle w:val="Heading1"/>
        <w:spacing w:after="160" w:before="340"/>
      </w:pPr>
      <w:r>
        <w:t xml:space="preserve">9. Traceability to judging criteria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Maps this SRS directly onto the published weighting, so build effort tracks the score, not just feature count.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3300"/>
        <w:gridCol w:w="2700"/>
      </w:tblGrid>
      <w:tr>
        <w:trPr>
          <w:tblHeader/>
        </w:trPr>
        <w:tc>
          <w:tcPr>
            <w:tcW w:type="dxa" w:w="21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Judging criterion</w:t>
            </w:r>
          </w:p>
        </w:tc>
        <w:tc>
          <w:tcPr>
            <w:tcW w:type="dxa" w:w="9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33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SRS coverage</w:t>
            </w:r>
          </w:p>
        </w:tc>
        <w:tc>
          <w:tcPr>
            <w:tcW w:type="dxa" w:w="27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show the judges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Gemma Integration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30%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A2-A4 (persona + system role), C1 (structured output / function calling for risk), B1 (native audio input), NFR-M1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Show the system prompt, show a live risk-classification JSON in the browser console or a debug panel, and use the mic to demonstrate native audio understanding.</w:t>
            </w:r>
          </w:p>
        </w:tc>
      </w:tr>
      <w:tr>
        <w:tc>
          <w:tcPr>
            <w:tcW w:type="dxa" w:w="2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Innovation and impact</w:t>
            </w:r>
          </w:p>
        </w:tc>
        <w:tc>
          <w:tcPr>
            <w:tcW w:type="dxa" w:w="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30%</w:t>
            </w:r>
          </w:p>
        </w:tc>
        <w:tc>
          <w:tcPr>
            <w:tcW w:type="dxa" w:w="33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Whole safety layer (Module C), destigmatization features (G1, G2), cultural framing choice (A5)</w:t>
            </w:r>
          </w:p>
        </w:tc>
        <w:tc>
          <w:tcPr>
            <w:tcW w:type="dxa" w:w="27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Lead with the problem statement, then show the crisis safety card and the anonymized social-proof stat — this is the part a generic chatbot demo won't have.</w:t>
            </w:r>
          </w:p>
        </w:tc>
      </w:tr>
      <w:tr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Functionality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20%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Phases 1-5 deliverables, NFR-P1, NFR-R1, NFR-R2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 working, unscripted live demo that survives an unreachable-API test without breaking.</w:t>
            </w:r>
          </w:p>
        </w:tc>
      </w:tr>
      <w:tr>
        <w:tc>
          <w:tcPr>
            <w:tcW w:type="dxa" w:w="21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Presentation and writeup</w:t>
            </w:r>
          </w:p>
        </w:tc>
        <w:tc>
          <w:tcPr>
            <w:tcW w:type="dxa" w:w="9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20%</w:t>
            </w:r>
          </w:p>
        </w:tc>
        <w:tc>
          <w:tcPr>
            <w:tcW w:type="dxa" w:w="33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This SRS document end to end</w:t>
            </w:r>
          </w:p>
        </w:tc>
        <w:tc>
          <w:tcPr>
            <w:tcW w:type="dxa" w:w="27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Structure the Kaggle Writeup using this SRS's section order: problem, requirements, architecture, phased build, safety design.</w:t>
            </w:r>
          </w:p>
        </w:tc>
      </w:tr>
    </w:tbl>
    <w:p>
      <w:pPr>
        <w:pStyle w:val="Heading1"/>
        <w:spacing w:after="160" w:before="340"/>
      </w:pPr>
      <w:r>
        <w:t xml:space="preserve">10. Appendices</w:t>
      </w:r>
    </w:p>
    <w:p>
      <w:pPr>
        <w:pStyle w:val="Heading2"/>
        <w:spacing w:after="120" w:before="260"/>
      </w:pPr>
      <w:r>
        <w:t xml:space="preserve">Appendix A — sample Gemma 4 system prompt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C2C2A"/>
          <w:sz w:val="22"/>
          <w:szCs w:val="22"/>
        </w:rPr>
        <w:t xml:space="preserve">Condensed prompt operationalizing FR A2, C1, C3, and C6. Expand with a few worked examples during Phase 2, and keep it in a config file separate from application code (NFR-M1).</w:t>
      </w:r>
    </w:p>
    <w:p>
      <w:pPr>
        <w:shd w:fill="F1EFE8" w:color="auto" w:val="clear"/>
        <w:spacing w:after="240" w:before="120" w:line="300"/>
        <w:ind w:left="160" w:right="160"/>
      </w:pPr>
      <w:r>
        <w:rPr>
          <w:rFonts w:ascii="Consolas" w:cs="Consolas" w:eastAsia="Consolas" w:hAnsi="Consolas"/>
          <w:color w:val="2C2C2A"/>
          <w:sz w:val="18"/>
          <w:szCs w:val="18"/>
        </w:rPr>
        <w:t xml:space="preserve">You are Sukoon, a warm, non-judgmental listener for people in Pakistan.</w:t>
      </w:r>
      <w:r>
        <w:rPr>
          <w:rFonts w:ascii="Consolas" w:cs="Consolas" w:eastAsia="Consolas" w:hAnsi="Consolas"/>
          <w:color w:val="2C2C2A"/>
          <w:sz w:val="18"/>
          <w:szCs w:val="18"/>
        </w:rPr>
        <w:br/>
        <w:t xml:space="preserve">Always reply in the user's own register: Urdu script, Roman Urdu, or English.</w:t>
      </w:r>
      <w:r>
        <w:rPr>
          <w:rFonts w:ascii="Consolas" w:cs="Consolas" w:eastAsia="Consolas" w:hAnsi="Consolas"/>
          <w:color w:val="2C2C2A"/>
          <w:sz w:val="18"/>
          <w:szCs w:val="18"/>
        </w:rPr>
        <w:br/>
        <w:t xml:space="preserve">Validate feelings first. Offer gentle, practical coping ideas suited to local life. Never give a diagnosis, never give a medication or dosage, never claim to be a licensed therapist.</w:t>
      </w:r>
      <w:r>
        <w:rPr>
          <w:rFonts w:ascii="Consolas" w:cs="Consolas" w:eastAsia="Consolas" w:hAnsi="Consolas"/>
          <w:color w:val="2C2C2A"/>
          <w:sz w:val="18"/>
          <w:szCs w:val="18"/>
        </w:rPr>
        <w:br/>
        <w:t xml:space="preserve">Respect the user's chosen framing (secular or faith-informed) for coping suggestions.</w:t>
      </w:r>
      <w:r>
        <w:rPr>
          <w:rFonts w:ascii="Consolas" w:cs="Consolas" w:eastAsia="Consolas" w:hAnsi="Consolas"/>
          <w:color w:val="2C2C2A"/>
          <w:sz w:val="18"/>
          <w:szCs w:val="18"/>
        </w:rPr>
        <w:br/>
        <w:t xml:space="preserve">On every turn, in addition to your reply, also output a JSON risk object: {"risk_level": "none|elevated|crisis", "flags": [...]}.</w:t>
      </w:r>
      <w:r>
        <w:rPr>
          <w:rFonts w:ascii="Consolas" w:cs="Consolas" w:eastAsia="Consolas" w:hAnsi="Consolas"/>
          <w:color w:val="2C2C2A"/>
          <w:sz w:val="18"/>
          <w:szCs w:val="18"/>
        </w:rPr>
        <w:br/>
        <w:t xml:space="preserve">If risk_level is "crisis": keep your reply brief and calm. Do not try to counsel the crisis away yourself — the application will surface the safety card. Your job is to stay warm, not to resolve the emergency.</w:t>
      </w:r>
    </w:p>
    <w:p>
      <w:pPr>
        <w:pStyle w:val="Heading2"/>
        <w:spacing w:after="120" w:before="260"/>
      </w:pPr>
      <w:r>
        <w:t xml:space="preserve">Appendix B — verified crisis resource directory (Pakistan)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00"/>
      </w:tblGrid>
      <w:tr>
        <w:trPr>
          <w:tblHeader/>
        </w:trPr>
        <w:tc>
          <w:tcPr>
            <w:tcW w:type="dxa" w:w="32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4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Contact</w:t>
            </w:r>
          </w:p>
        </w:tc>
        <w:tc>
          <w:tcPr>
            <w:tcW w:type="dxa" w:w="3400"/>
            <w:shd w:fill="0F6E5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Umang — Pakistan's 24/7 mental health helpline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0311 7786264 (also listed as 0311-77UMANG)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General mental health support, staffed by clinical psychologists and psychiatrists</w:t>
            </w:r>
          </w:p>
        </w:tc>
      </w:tr>
      <w:tr>
        <w:tc>
          <w:tcPr>
            <w:tcW w:type="dxa" w:w="32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Rozan counselling line</w:t>
            </w:r>
          </w:p>
        </w:tc>
        <w:tc>
          <w:tcPr>
            <w:tcW w:type="dxa" w:w="24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0800-22444</w:t>
            </w:r>
          </w:p>
        </w:tc>
        <w:tc>
          <w:tcPr>
            <w:tcW w:type="dxa" w:w="3400"/>
            <w:shd w:fill="F1EFE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Women- and youth-focused psychosocial support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National Youth Helpline (UNFPA/HEC)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0800-69457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Psychosocial, reproductive-health, and educational concerns for youth</w:t>
            </w:r>
          </w:p>
        </w:tc>
      </w:tr>
    </w:tbl>
    <w:p>
      <w:pPr>
        <w:spacing w:after="220" w:before="60"/>
      </w:pPr>
      <w:r>
        <w:rPr>
          <w:i/>
          <w:iCs/>
          <w:color w:val="5F5E5A"/>
          <w:sz w:val="19"/>
          <w:szCs w:val="19"/>
        </w:rPr>
        <w:t xml:space="preserve">Different directories list slightly different numbers for the same service. Call and confirm each number the morning of the demo, and keep this list updatable without a redeploy (NFR-M1).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F5E5A"/>
        <w:sz w:val="16"/>
        <w:szCs w:val="16"/>
      </w:rPr>
      <w:t xml:space="preserve">v1.0</w:t>
    </w:r>
    <w:r>
      <w:rPr>
        <w:color w:val="5F5E5A"/>
        <w:sz w:val="16"/>
        <w:szCs w:val="16"/>
      </w:rPr>
      <w:t xml:space="preserve">	Page </w:t>
    </w:r>
    <w:r>
      <w:rPr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5E5A"/>
        <w:sz w:val="16"/>
        <w:szCs w:val="16"/>
      </w:rPr>
      <w:t xml:space="preserve"> of </w:t>
    </w:r>
    <w:r>
      <w:rPr>
        <w:color w:val="5F5E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5E5A"/>
        <w:sz w:val="16"/>
        <w:szCs w:val="16"/>
      </w:rPr>
      <w:t xml:space="preserve">Sukoon AI (سکون) —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40"/>
    </w:pPr>
    <w:rPr>
      <w:b/>
      <w:bCs/>
      <w:color w:val="0F6E56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60"/>
    </w:pPr>
    <w:rPr>
      <w:b/>
      <w:bCs/>
      <w:color w:val="0F6E56"/>
      <w:sz w:val="25"/>
      <w:szCs w:val="25"/>
    </w:rPr>
  </w:style>
  <w:style w:type="paragraph" w:styleId="Heading3">
    <w:name w:val="Heading 3"/>
    <w:basedOn w:val="Normal"/>
    <w:next w:val="Normal"/>
    <w:pPr>
      <w:spacing w:after="100" w:before="200"/>
    </w:pPr>
    <w:rPr>
      <w:b/>
      <w:bCs/>
      <w:color w:val="44444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2026-07-14T04:35:10.821Z</dcterms:created>
  <dcterms:modified xsi:type="dcterms:W3CDTF">2026-07-14T04:35:10.821Z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