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0C0E"/>
          <w:sz w:val="40"/>
          <w:szCs w:val="40"/>
        </w:rPr>
        <w:t xml:space="preserve">SYLTRA SMART®</w:t>
      </w:r>
    </w:p>
    <w:p>
      <w:pPr>
        <w:bidi/>
        <w:spacing w:after="60"/>
        <w:jc w:val="center"/>
      </w:pPr>
      <w:r>
        <w:rPr>
          <w:rFonts w:ascii="Arial" w:cs="Arial" w:eastAsia="Arial" w:hAnsi="Arial"/>
          <w:b/>
          <w:bCs/>
          <w:color w:val="0A5FFF"/>
          <w:sz w:val="34"/>
          <w:szCs w:val="34"/>
          <w:rtl/>
        </w:rPr>
        <w:t xml:space="preserve">اتفاقية الشركاء المؤسسين</w:t>
      </w:r>
    </w:p>
    <w:p>
      <w:pPr>
        <w:bidi/>
        <w:spacing w:after="300"/>
        <w:jc w:val="center"/>
      </w:pPr>
      <w:r>
        <w:rPr>
          <w:rFonts w:ascii="Arial" w:cs="Arial" w:eastAsia="Arial" w:hAnsi="Arial"/>
          <w:color w:val="5B616B"/>
          <w:sz w:val="22"/>
          <w:szCs w:val="22"/>
          <w:rtl/>
        </w:rPr>
        <w:t xml:space="preserve">شركة تحت التأسيس : الرياض، المملكة العربية السعودية</w:t>
      </w:r>
    </w:p>
    <w:p>
      <w:pPr>
        <w:pStyle w:val="Heading1"/>
        <w:bidi/>
        <w:spacing w:after="160" w:before="360"/>
        <w:jc w:val="right"/>
      </w:pPr>
      <w:r>
        <w:rPr>
          <w:rFonts w:ascii="Arial" w:cs="Arial" w:eastAsia="Arial" w:hAnsi="Arial"/>
          <w:b/>
          <w:bCs/>
          <w:color w:val="0B0C0E"/>
          <w:sz w:val="28"/>
          <w:szCs w:val="28"/>
          <w:rtl/>
        </w:rPr>
        <w:t xml:space="preserve">التمهيد</w:t>
      </w:r>
    </w:p>
    <w:p>
      <w:pPr>
        <w:bidi/>
        <w:spacing w:after="120" w:line="330"/>
        <w:jc w:val="right"/>
      </w:pPr>
      <w:r>
        <w:rPr>
          <w:rFonts w:ascii="Arial" w:cs="Arial" w:eastAsia="Arial" w:hAnsi="Arial"/>
          <w:b w:val="false"/>
          <w:bCs w:val="false"/>
          <w:color w:val="1B1D21"/>
          <w:sz w:val="22"/>
          <w:szCs w:val="22"/>
          <w:rtl/>
        </w:rPr>
        <w:t xml:space="preserve">أُبرمت هذه الاتفاقية في مدينة الرياض بتاريخ [   /   /     ]م، بين الأطراف الموقّعين أدناه بصفتهم شركاء مؤسسين لمشروع SYLTRA SMART (ويشار إليه لاحقًا بـ«الشركة»)، وهو مشروع تقني متخصص في أنظمة البيوت والمباني الذكية ومنصة الذكاء البيئي المتكيّف SYLTRA Adaptive، والشركة في طور التأسيس والتسجيل الرسمي في المملكة العربية السعودية.</w:t>
      </w:r>
    </w:p>
    <w:p>
      <w:pPr>
        <w:bidi/>
        <w:spacing w:after="120" w:line="330"/>
        <w:jc w:val="right"/>
      </w:pPr>
      <w:r>
        <w:rPr>
          <w:rFonts w:ascii="Arial" w:cs="Arial" w:eastAsia="Arial" w:hAnsi="Arial"/>
          <w:b w:val="false"/>
          <w:bCs w:val="false"/>
          <w:color w:val="1B1D21"/>
          <w:sz w:val="22"/>
          <w:szCs w:val="22"/>
          <w:rtl/>
        </w:rPr>
        <w:t xml:space="preserve">وحيث إن الأطراف يرغبون في تنظيم علاقتهم وحقوقهم والتزاماتهم قبل وبعد التأسيس الرسمي، فقد اتفقوا على ما يلي:</w:t>
      </w:r>
    </w:p>
    <w:p>
      <w:pPr>
        <w:pStyle w:val="Heading1"/>
        <w:bidi/>
        <w:spacing w:after="160" w:before="360"/>
        <w:jc w:val="right"/>
      </w:pPr>
      <w:r>
        <w:rPr>
          <w:rFonts w:ascii="Arial" w:cs="Arial" w:eastAsia="Arial" w:hAnsi="Arial"/>
          <w:b/>
          <w:bCs/>
          <w:color w:val="0B0C0E"/>
          <w:sz w:val="28"/>
          <w:szCs w:val="28"/>
          <w:rtl/>
        </w:rPr>
        <w:t xml:space="preserve">المادة (1) : الأطراف وتوزيع الحصص</w:t>
      </w:r>
    </w:p>
    <w:tbl>
      <w:tblPr>
        <w:bidiVisual/>
        <w:tblW w:type="dxa" w:w="9400"/>
        <w:tblBorders>
          <w:top w:val="single" w:color="DFE2E6" w:sz="4"/>
          <w:left w:val="single" w:color="DFE2E6" w:sz="4"/>
          <w:bottom w:val="single" w:color="DFE2E6" w:sz="4"/>
          <w:right w:val="single" w:color="DFE2E6" w:sz="4"/>
          <w:insideH w:val="single" w:color="DFE2E6" w:sz="4"/>
          <w:insideV w:val="single" w:color="DFE2E6" w:sz="4"/>
        </w:tblBorders>
      </w:tblPr>
      <w:tblGrid>
        <w:gridCol w:w="3600"/>
        <w:gridCol w:w="2800"/>
        <w:gridCol w:w="1500"/>
        <w:gridCol w:w="1500"/>
      </w:tblGrid>
      <w:tr>
        <w:tc>
          <w:tcPr>
            <w:tcW w:type="dxa" w:w="360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الاسم</w:t>
            </w:r>
          </w:p>
        </w:tc>
        <w:tc>
          <w:tcPr>
            <w:tcW w:type="dxa" w:w="280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الدور</w:t>
            </w:r>
          </w:p>
        </w:tc>
        <w:tc>
          <w:tcPr>
            <w:tcW w:type="dxa" w:w="150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الحصة</w:t>
            </w:r>
          </w:p>
        </w:tc>
        <w:tc>
          <w:tcPr>
            <w:tcW w:type="dxa" w:w="150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الهوية</w:t>
            </w:r>
          </w:p>
        </w:tc>
      </w:tr>
      <w:tr>
        <w:tc>
          <w:tcPr>
            <w:tcW w:type="dxa" w:w="36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أنس عليمام</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المؤسس والرئيس التنفيذي</w:t>
            </w:r>
          </w:p>
        </w:tc>
        <w:tc>
          <w:tcPr>
            <w:tcW w:type="dxa" w:w="15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33.33%</w:t>
            </w:r>
          </w:p>
        </w:tc>
        <w:tc>
          <w:tcPr>
            <w:tcW w:type="dxa" w:w="15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[رقم]</w:t>
            </w:r>
          </w:p>
        </w:tc>
      </w:tr>
      <w:tr>
        <w:tc>
          <w:tcPr>
            <w:tcW w:type="dxa" w:w="36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صلاح [الاسم الكامل]</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[الدور]</w:t>
            </w:r>
          </w:p>
        </w:tc>
        <w:tc>
          <w:tcPr>
            <w:tcW w:type="dxa" w:w="15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33.33%</w:t>
            </w:r>
          </w:p>
        </w:tc>
        <w:tc>
          <w:tcPr>
            <w:tcW w:type="dxa" w:w="15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[رقم]</w:t>
            </w:r>
          </w:p>
        </w:tc>
      </w:tr>
      <w:tr>
        <w:tc>
          <w:tcPr>
            <w:tcW w:type="dxa" w:w="36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إيثار [الاسم الكامل]</w:t>
            </w:r>
          </w:p>
        </w:tc>
        <w:tc>
          <w:tcPr>
            <w:tcW w:type="dxa" w:w="28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[الدور]</w:t>
            </w:r>
          </w:p>
        </w:tc>
        <w:tc>
          <w:tcPr>
            <w:tcW w:type="dxa" w:w="1500"/>
            <w:tcMar>
              <w:top w:type="dxa" w:w="80"/>
              <w:left w:type="dxa" w:w="120"/>
              <w:bottom w:type="dxa" w:w="80"/>
              <w:right w:type="dxa" w:w="120"/>
            </w:tcMar>
          </w:tcPr>
          <w:p>
            <w:pPr>
              <w:bidi/>
              <w:jc w:val="right"/>
            </w:pPr>
            <w:r>
              <w:rPr>
                <w:rFonts w:ascii="Arial" w:cs="Arial" w:eastAsia="Arial" w:hAnsi="Arial"/>
                <w:b/>
                <w:bCs/>
                <w:color w:val="1B1D21"/>
                <w:sz w:val="21"/>
                <w:szCs w:val="21"/>
                <w:rtl/>
              </w:rPr>
              <w:t xml:space="preserve">33.34%</w:t>
            </w:r>
          </w:p>
        </w:tc>
        <w:tc>
          <w:tcPr>
            <w:tcW w:type="dxa" w:w="150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[رقم]</w:t>
            </w:r>
          </w:p>
        </w:tc>
      </w:tr>
    </w:tbl>
    <w:p>
      <w:pPr>
        <w:spacing w:after="120"/>
      </w:pPr>
    </w:p>
    <w:p>
      <w:pPr>
        <w:bidi/>
        <w:spacing w:after="120" w:line="330"/>
        <w:jc w:val="right"/>
      </w:pPr>
      <w:r>
        <w:rPr>
          <w:rFonts w:ascii="Arial" w:cs="Arial" w:eastAsia="Arial" w:hAnsi="Arial"/>
          <w:b w:val="false"/>
          <w:bCs w:val="false"/>
          <w:color w:val="1B1D21"/>
          <w:sz w:val="22"/>
          <w:szCs w:val="22"/>
          <w:rtl/>
        </w:rPr>
        <w:t xml:space="preserve">تُثبَّت هذه النسب في عقد التأسيس والسجل التجاري عند إتمام التسجيل الرسمي، وأي تعديل عليها لا يكون نافذًا إلا بموافقة كتابية من جميع الشركاء.</w:t>
      </w:r>
    </w:p>
    <w:p>
      <w:pPr>
        <w:pStyle w:val="Heading1"/>
        <w:bidi/>
        <w:spacing w:after="160" w:before="360"/>
        <w:jc w:val="right"/>
      </w:pPr>
      <w:r>
        <w:rPr>
          <w:rFonts w:ascii="Arial" w:cs="Arial" w:eastAsia="Arial" w:hAnsi="Arial"/>
          <w:b/>
          <w:bCs/>
          <w:color w:val="0B0C0E"/>
          <w:sz w:val="28"/>
          <w:szCs w:val="28"/>
          <w:rtl/>
        </w:rPr>
        <w:t xml:space="preserve">المادة (2) : رأس المال والمساهمات</w:t>
      </w:r>
    </w:p>
    <w:p>
      <w:pPr>
        <w:bidi/>
        <w:spacing w:after="120" w:line="330"/>
        <w:jc w:val="right"/>
      </w:pPr>
      <w:r>
        <w:rPr>
          <w:rFonts w:ascii="Arial" w:cs="Arial" w:eastAsia="Arial" w:hAnsi="Arial"/>
          <w:b w:val="false"/>
          <w:bCs w:val="false"/>
          <w:color w:val="1B1D21"/>
          <w:sz w:val="22"/>
          <w:szCs w:val="22"/>
          <w:rtl/>
        </w:rPr>
        <w:t xml:space="preserve">رأس مال الشركة عند التأسيس [            ] ريال سعودي، يساهم فيه الشركاء بنسب حصصهم ما لم يُتفق كتابيًا على خلاف ذلك.</w:t>
      </w:r>
    </w:p>
    <w:p>
      <w:pPr>
        <w:pStyle w:val="ListParagraph"/>
        <w:numPr>
          <w:ilvl w:val="0"/>
          <w:numId w:val="2"/>
        </w:numPr>
        <w:bidi/>
        <w:spacing w:after="80" w:line="320"/>
        <w:jc w:val="right"/>
      </w:pPr>
      <w:r>
        <w:rPr>
          <w:rFonts w:ascii="Arial" w:cs="Arial" w:eastAsia="Arial" w:hAnsi="Arial"/>
          <w:color w:val="1B1D21"/>
          <w:sz w:val="22"/>
          <w:szCs w:val="22"/>
          <w:rtl/>
        </w:rPr>
        <w:t xml:space="preserve">تُقيَّد جميع المساهمات النقدية في حساب الشركة البنكي فور فتحه، وتُوثَّق المساهمات العينية (أجهزة، معدات، حقوق) بمحضر تقييم موقّع من جميع الشركاء.</w:t>
      </w:r>
    </w:p>
    <w:p>
      <w:pPr>
        <w:pStyle w:val="ListParagraph"/>
        <w:numPr>
          <w:ilvl w:val="0"/>
          <w:numId w:val="2"/>
        </w:numPr>
        <w:bidi/>
        <w:spacing w:after="80" w:line="320"/>
        <w:jc w:val="right"/>
      </w:pPr>
      <w:r>
        <w:rPr>
          <w:rFonts w:ascii="Arial" w:cs="Arial" w:eastAsia="Arial" w:hAnsi="Arial"/>
          <w:color w:val="1B1D21"/>
          <w:sz w:val="22"/>
          <w:szCs w:val="22"/>
          <w:rtl/>
        </w:rPr>
        <w:t xml:space="preserve">لا يُعد أي إنفاق شخصي على المشروع دينًا على الشركة ما لم يوثَّق ويُعتمد كتابيًا.</w:t>
      </w:r>
    </w:p>
    <w:p>
      <w:pPr>
        <w:pStyle w:val="Heading1"/>
        <w:bidi/>
        <w:spacing w:after="160" w:before="360"/>
        <w:jc w:val="right"/>
      </w:pPr>
      <w:r>
        <w:rPr>
          <w:rFonts w:ascii="Arial" w:cs="Arial" w:eastAsia="Arial" w:hAnsi="Arial"/>
          <w:b/>
          <w:bCs/>
          <w:color w:val="0B0C0E"/>
          <w:sz w:val="28"/>
          <w:szCs w:val="28"/>
          <w:rtl/>
        </w:rPr>
        <w:t xml:space="preserve">المادة (3) : الأدوار والالتزام بالعمل</w:t>
      </w:r>
    </w:p>
    <w:p>
      <w:pPr>
        <w:pStyle w:val="ListParagraph"/>
        <w:numPr>
          <w:ilvl w:val="0"/>
          <w:numId w:val="2"/>
        </w:numPr>
        <w:bidi/>
        <w:spacing w:after="80" w:line="320"/>
        <w:jc w:val="right"/>
      </w:pPr>
      <w:r>
        <w:rPr>
          <w:rFonts w:ascii="Arial" w:cs="Arial" w:eastAsia="Arial" w:hAnsi="Arial"/>
          <w:color w:val="1B1D21"/>
          <w:sz w:val="22"/>
          <w:szCs w:val="22"/>
          <w:rtl/>
        </w:rPr>
        <w:t xml:space="preserve">يلتزم كل شريك بأداء دوره المحدد في المادة (1) بتفرّغ كافٍ لتحقيق أهداف الشركة، ويُحدَّد نطاق عمل كل دور في ملحق وظيفي يُرفق بهذه الاتفاقية.</w:t>
      </w:r>
    </w:p>
    <w:p>
      <w:pPr>
        <w:pStyle w:val="ListParagraph"/>
        <w:numPr>
          <w:ilvl w:val="0"/>
          <w:numId w:val="2"/>
        </w:numPr>
        <w:bidi/>
        <w:spacing w:after="80" w:line="320"/>
        <w:jc w:val="right"/>
      </w:pPr>
      <w:r>
        <w:rPr>
          <w:rFonts w:ascii="Arial" w:cs="Arial" w:eastAsia="Arial" w:hAnsi="Arial"/>
          <w:color w:val="1B1D21"/>
          <w:sz w:val="22"/>
          <w:szCs w:val="22"/>
          <w:rtl/>
        </w:rPr>
        <w:t xml:space="preserve">القرارات التشغيلية اليومية من صلاحية الرئيس التنفيذي ضمن الميزانية المعتمدة.</w:t>
      </w:r>
    </w:p>
    <w:p>
      <w:pPr>
        <w:pStyle w:val="ListParagraph"/>
        <w:numPr>
          <w:ilvl w:val="0"/>
          <w:numId w:val="2"/>
        </w:numPr>
        <w:bidi/>
        <w:spacing w:after="80" w:line="320"/>
        <w:jc w:val="right"/>
      </w:pPr>
      <w:r>
        <w:rPr>
          <w:rFonts w:ascii="Arial" w:cs="Arial" w:eastAsia="Arial" w:hAnsi="Arial"/>
          <w:color w:val="1B1D21"/>
          <w:sz w:val="22"/>
          <w:szCs w:val="22"/>
          <w:rtl/>
        </w:rPr>
        <w:t xml:space="preserve">القرارات الجوهرية التالية تتطلب موافقة جميع الشركاء: تعديل الحصص أو رأس المال، دخول شريك أو مستثمر جديد، الاقتراض باسم الشركة، بيع أصول جوهرية، تعديل النشاط الرئيسي، التصفية أو الاندماج.</w:t>
      </w:r>
    </w:p>
    <w:p>
      <w:pPr>
        <w:pStyle w:val="Heading1"/>
        <w:bidi/>
        <w:spacing w:after="160" w:before="360"/>
        <w:jc w:val="right"/>
      </w:pPr>
      <w:r>
        <w:rPr>
          <w:rFonts w:ascii="Arial" w:cs="Arial" w:eastAsia="Arial" w:hAnsi="Arial"/>
          <w:b/>
          <w:bCs/>
          <w:color w:val="0B0C0E"/>
          <w:sz w:val="28"/>
          <w:szCs w:val="28"/>
          <w:rtl/>
        </w:rPr>
        <w:t xml:space="preserve">المادة (4) : الاستحقاق التدريجي للحصص (Vesting)</w:t>
      </w:r>
    </w:p>
    <w:p>
      <w:pPr>
        <w:bidi/>
        <w:spacing w:after="120" w:line="330"/>
        <w:jc w:val="right"/>
      </w:pPr>
      <w:r>
        <w:rPr>
          <w:rFonts w:ascii="Arial" w:cs="Arial" w:eastAsia="Arial" w:hAnsi="Arial"/>
          <w:b w:val="false"/>
          <w:bCs w:val="false"/>
          <w:color w:val="1B1D21"/>
          <w:sz w:val="22"/>
          <w:szCs w:val="22"/>
          <w:rtl/>
        </w:rPr>
        <w:t xml:space="preserve">حمايةً للشركة من الانسحاب المبكر، تخضع حصص جميع الشركاء لاستحقاق تدريجي على أربع سنوات من تاريخ هذه الاتفاقية:</w:t>
      </w:r>
    </w:p>
    <w:p>
      <w:pPr>
        <w:pStyle w:val="ListParagraph"/>
        <w:numPr>
          <w:ilvl w:val="0"/>
          <w:numId w:val="2"/>
        </w:numPr>
        <w:bidi/>
        <w:spacing w:after="80" w:line="320"/>
        <w:jc w:val="right"/>
      </w:pPr>
      <w:r>
        <w:rPr>
          <w:rFonts w:ascii="Arial" w:cs="Arial" w:eastAsia="Arial" w:hAnsi="Arial"/>
          <w:color w:val="1B1D21"/>
          <w:sz w:val="22"/>
          <w:szCs w:val="22"/>
          <w:rtl/>
        </w:rPr>
        <w:t xml:space="preserve">سنة أولى تجريبية (Cliff): لا يستحق الشريك أي جزء من حصته قبل إتمام 12 شهرًا؛ فإذا انسحب أو أُخرج لإخلال جسيم قبل إتمامها، آلت كامل حصته للشركاء المستمرين بالتناسب مقابل قيمتها الاسمية.</w:t>
      </w:r>
    </w:p>
    <w:p>
      <w:pPr>
        <w:pStyle w:val="ListParagraph"/>
        <w:numPr>
          <w:ilvl w:val="0"/>
          <w:numId w:val="2"/>
        </w:numPr>
        <w:bidi/>
        <w:spacing w:after="80" w:line="320"/>
        <w:jc w:val="right"/>
      </w:pPr>
      <w:r>
        <w:rPr>
          <w:rFonts w:ascii="Arial" w:cs="Arial" w:eastAsia="Arial" w:hAnsi="Arial"/>
          <w:color w:val="1B1D21"/>
          <w:sz w:val="22"/>
          <w:szCs w:val="22"/>
          <w:rtl/>
        </w:rPr>
        <w:t xml:space="preserve">بعد السنة الأولى يستحق الشريك 25% من حصته، ثم يستحق الباقي بواقع 1/36 شهريًا حتى اكتمال الأربع سنوات.</w:t>
      </w:r>
    </w:p>
    <w:p>
      <w:pPr>
        <w:pStyle w:val="ListParagraph"/>
        <w:numPr>
          <w:ilvl w:val="0"/>
          <w:numId w:val="2"/>
        </w:numPr>
        <w:bidi/>
        <w:spacing w:after="80" w:line="320"/>
        <w:jc w:val="right"/>
      </w:pPr>
      <w:r>
        <w:rPr>
          <w:rFonts w:ascii="Arial" w:cs="Arial" w:eastAsia="Arial" w:hAnsi="Arial"/>
          <w:color w:val="1B1D21"/>
          <w:sz w:val="22"/>
          <w:szCs w:val="22"/>
          <w:rtl/>
        </w:rPr>
        <w:t xml:space="preserve">الحصص غير المستحقة لشريك منسحب تؤول للشركاء المستمرين بالتناسب مقابل قيمتها الاسمية، وتُسدَّد قيمة الحصص المستحقة وفق تقييم المادة (6).</w:t>
      </w:r>
    </w:p>
    <w:p>
      <w:pPr>
        <w:pStyle w:val="Heading1"/>
        <w:bidi/>
        <w:spacing w:after="160" w:before="360"/>
        <w:jc w:val="right"/>
      </w:pPr>
      <w:r>
        <w:rPr>
          <w:rFonts w:ascii="Arial" w:cs="Arial" w:eastAsia="Arial" w:hAnsi="Arial"/>
          <w:b/>
          <w:bCs/>
          <w:color w:val="0B0C0E"/>
          <w:sz w:val="28"/>
          <w:szCs w:val="28"/>
          <w:rtl/>
        </w:rPr>
        <w:t xml:space="preserve">المادة (5) : التصرف بالحصص وحق الشفعة</w:t>
      </w:r>
    </w:p>
    <w:p>
      <w:pPr>
        <w:pStyle w:val="ListParagraph"/>
        <w:numPr>
          <w:ilvl w:val="0"/>
          <w:numId w:val="2"/>
        </w:numPr>
        <w:bidi/>
        <w:spacing w:after="80" w:line="320"/>
        <w:jc w:val="right"/>
      </w:pPr>
      <w:r>
        <w:rPr>
          <w:rFonts w:ascii="Arial" w:cs="Arial" w:eastAsia="Arial" w:hAnsi="Arial"/>
          <w:color w:val="1B1D21"/>
          <w:sz w:val="22"/>
          <w:szCs w:val="22"/>
          <w:rtl/>
        </w:rPr>
        <w:t xml:space="preserve">لا يجوز لأي شريك بيع أو رهن أو التنازل عن حصته أو جزء منها للغير إلا بعد عرضها كتابيًا على الشركاء الآخرين (حق الشفعة)، ولهم أولوية الشراء بنفس السعر والشروط خلال 30 يومًا من الإخطار.</w:t>
      </w:r>
    </w:p>
    <w:p>
      <w:pPr>
        <w:pStyle w:val="ListParagraph"/>
        <w:numPr>
          <w:ilvl w:val="0"/>
          <w:numId w:val="2"/>
        </w:numPr>
        <w:bidi/>
        <w:spacing w:after="80" w:line="320"/>
        <w:jc w:val="right"/>
      </w:pPr>
      <w:r>
        <w:rPr>
          <w:rFonts w:ascii="Arial" w:cs="Arial" w:eastAsia="Arial" w:hAnsi="Arial"/>
          <w:color w:val="1B1D21"/>
          <w:sz w:val="22"/>
          <w:szCs w:val="22"/>
          <w:rtl/>
        </w:rPr>
        <w:t xml:space="preserve">أي تصرف يخالف هذه المادة يُعد باطلًا ولا يُعتد به بين الشركاء.</w:t>
      </w:r>
    </w:p>
    <w:p>
      <w:pPr>
        <w:pStyle w:val="ListParagraph"/>
        <w:numPr>
          <w:ilvl w:val="0"/>
          <w:numId w:val="2"/>
        </w:numPr>
        <w:bidi/>
        <w:spacing w:after="80" w:line="320"/>
        <w:jc w:val="right"/>
      </w:pPr>
      <w:r>
        <w:rPr>
          <w:rFonts w:ascii="Arial" w:cs="Arial" w:eastAsia="Arial" w:hAnsi="Arial"/>
          <w:color w:val="1B1D21"/>
          <w:sz w:val="22"/>
          <w:szCs w:val="22"/>
          <w:rtl/>
        </w:rPr>
        <w:t xml:space="preserve">عند دخول مستثمر خارجي بموافقة جميع الشركاء، تُخفَّف حصص الشركاء بالتناسب (Pro-Rata) ما لم يُتفق كتابيًا على خلاف ذلك.</w:t>
      </w:r>
    </w:p>
    <w:p>
      <w:pPr>
        <w:pStyle w:val="Heading1"/>
        <w:bidi/>
        <w:spacing w:after="160" w:before="360"/>
        <w:jc w:val="right"/>
      </w:pPr>
      <w:r>
        <w:rPr>
          <w:rFonts w:ascii="Arial" w:cs="Arial" w:eastAsia="Arial" w:hAnsi="Arial"/>
          <w:b/>
          <w:bCs/>
          <w:color w:val="0B0C0E"/>
          <w:sz w:val="28"/>
          <w:szCs w:val="28"/>
          <w:rtl/>
        </w:rPr>
        <w:t xml:space="preserve">المادة (6) : الانسحاب والإخراج والتقييم</w:t>
      </w:r>
    </w:p>
    <w:p>
      <w:pPr>
        <w:pStyle w:val="ListParagraph"/>
        <w:numPr>
          <w:ilvl w:val="0"/>
          <w:numId w:val="2"/>
        </w:numPr>
        <w:bidi/>
        <w:spacing w:after="80" w:line="320"/>
        <w:jc w:val="right"/>
      </w:pPr>
      <w:r>
        <w:rPr>
          <w:rFonts w:ascii="Arial" w:cs="Arial" w:eastAsia="Arial" w:hAnsi="Arial"/>
          <w:color w:val="1B1D21"/>
          <w:sz w:val="22"/>
          <w:szCs w:val="22"/>
          <w:rtl/>
        </w:rPr>
        <w:t xml:space="preserve">الانسحاب الاختياري: يلتزم الشريك الراغب في الانسحاب بإخطار كتابي قبل 90 يومًا، مع فترة تسليم منظم للمهام والمعلومات.</w:t>
      </w:r>
    </w:p>
    <w:p>
      <w:pPr>
        <w:pStyle w:val="ListParagraph"/>
        <w:numPr>
          <w:ilvl w:val="0"/>
          <w:numId w:val="2"/>
        </w:numPr>
        <w:bidi/>
        <w:spacing w:after="80" w:line="320"/>
        <w:jc w:val="right"/>
      </w:pPr>
      <w:r>
        <w:rPr>
          <w:rFonts w:ascii="Arial" w:cs="Arial" w:eastAsia="Arial" w:hAnsi="Arial"/>
          <w:color w:val="1B1D21"/>
          <w:sz w:val="22"/>
          <w:szCs w:val="22"/>
          <w:rtl/>
        </w:rPr>
        <w:t xml:space="preserve">الإخراج للإخلال الجسيم: يجوز بموافقة بقية الشركاء بالإجماع إخراج الشريك في حالات: الإضرار العمد بالشركة، منافستها، إفشاء أسرارها، الغياب غير المبرر المتواصل عن أداء دوره أكثر من 60 يومًا، أو الإدانة بجريمة مخلة بالشرف.</w:t>
      </w:r>
    </w:p>
    <w:p>
      <w:pPr>
        <w:pStyle w:val="ListParagraph"/>
        <w:numPr>
          <w:ilvl w:val="0"/>
          <w:numId w:val="2"/>
        </w:numPr>
        <w:bidi/>
        <w:spacing w:after="80" w:line="320"/>
        <w:jc w:val="right"/>
      </w:pPr>
      <w:r>
        <w:rPr>
          <w:rFonts w:ascii="Arial" w:cs="Arial" w:eastAsia="Arial" w:hAnsi="Arial"/>
          <w:color w:val="1B1D21"/>
          <w:sz w:val="22"/>
          <w:szCs w:val="22"/>
          <w:rtl/>
        </w:rPr>
        <w:t xml:space="preserve">التقييم: تُقيَّم حصة المنسحب أو المُخرَج (المستحقة فقط) بواسطة مقيّم مالي مستقل يُعيَّن باتفاق الطرفين، وتُسدَّد قيمتها على أقساط لا تتجاوز 12 شهرًا حمايةً لسيولة الشركة.</w:t>
      </w:r>
    </w:p>
    <w:p>
      <w:pPr>
        <w:pStyle w:val="ListParagraph"/>
        <w:numPr>
          <w:ilvl w:val="0"/>
          <w:numId w:val="2"/>
        </w:numPr>
        <w:bidi/>
        <w:spacing w:after="80" w:line="320"/>
        <w:jc w:val="right"/>
      </w:pPr>
      <w:r>
        <w:rPr>
          <w:rFonts w:ascii="Arial" w:cs="Arial" w:eastAsia="Arial" w:hAnsi="Arial"/>
          <w:color w:val="1B1D21"/>
          <w:sz w:val="22"/>
          <w:szCs w:val="22"/>
          <w:rtl/>
        </w:rPr>
        <w:t xml:space="preserve">الوفاة أو العجز الكلي: تؤول الحقوق المالية للحصة المستحقة للورثة الشرعيين، دون حق الإدارة أو التصويت إلا بموافقة بقية الشركاء.</w:t>
      </w:r>
    </w:p>
    <w:p>
      <w:pPr>
        <w:pStyle w:val="Heading1"/>
        <w:bidi/>
        <w:spacing w:after="160" w:before="360"/>
        <w:jc w:val="right"/>
      </w:pPr>
      <w:r>
        <w:rPr>
          <w:rFonts w:ascii="Arial" w:cs="Arial" w:eastAsia="Arial" w:hAnsi="Arial"/>
          <w:b/>
          <w:bCs/>
          <w:color w:val="0B0C0E"/>
          <w:sz w:val="28"/>
          <w:szCs w:val="28"/>
          <w:rtl/>
        </w:rPr>
        <w:t xml:space="preserve">المادة (7) : حظر المنافسة وعدم الاستقطاب</w:t>
      </w:r>
    </w:p>
    <w:p>
      <w:pPr>
        <w:pStyle w:val="ListParagraph"/>
        <w:numPr>
          <w:ilvl w:val="0"/>
          <w:numId w:val="2"/>
        </w:numPr>
        <w:bidi/>
        <w:spacing w:after="80" w:line="320"/>
        <w:jc w:val="right"/>
      </w:pPr>
      <w:r>
        <w:rPr>
          <w:rFonts w:ascii="Arial" w:cs="Arial" w:eastAsia="Arial" w:hAnsi="Arial"/>
          <w:color w:val="1B1D21"/>
          <w:sz w:val="22"/>
          <w:szCs w:val="22"/>
          <w:rtl/>
        </w:rPr>
        <w:t xml:space="preserve">يلتزم كل شريك، طوال مدة شراكته ولمدة 24 شهرًا بعد خروجه، بعدم تأسيس أو إدارة أو العمل أو المساهمة في أي نشاط منافس للشركة في مجال أنظمة المباني الذكية ومنصات إدارتها داخل المملكة العربية السعودية.</w:t>
      </w:r>
    </w:p>
    <w:p>
      <w:pPr>
        <w:pStyle w:val="ListParagraph"/>
        <w:numPr>
          <w:ilvl w:val="0"/>
          <w:numId w:val="2"/>
        </w:numPr>
        <w:bidi/>
        <w:spacing w:after="80" w:line="320"/>
        <w:jc w:val="right"/>
      </w:pPr>
      <w:r>
        <w:rPr>
          <w:rFonts w:ascii="Arial" w:cs="Arial" w:eastAsia="Arial" w:hAnsi="Arial"/>
          <w:color w:val="1B1D21"/>
          <w:sz w:val="22"/>
          <w:szCs w:val="22"/>
          <w:rtl/>
        </w:rPr>
        <w:t xml:space="preserve">يمتد الالتزام إلى عدم استقطاب موظفي الشركة أو عملائها أو مورديها أو وكلائها لمدة 24 شهرًا بعد الخروج.</w:t>
      </w:r>
    </w:p>
    <w:p>
      <w:pPr>
        <w:pStyle w:val="Heading1"/>
        <w:bidi/>
        <w:spacing w:after="160" w:before="360"/>
        <w:jc w:val="right"/>
      </w:pPr>
      <w:r>
        <w:rPr>
          <w:rFonts w:ascii="Arial" w:cs="Arial" w:eastAsia="Arial" w:hAnsi="Arial"/>
          <w:b/>
          <w:bCs/>
          <w:color w:val="0B0C0E"/>
          <w:sz w:val="28"/>
          <w:szCs w:val="28"/>
          <w:rtl/>
        </w:rPr>
        <w:t xml:space="preserve">المادة (8) : السرية</w:t>
      </w:r>
    </w:p>
    <w:p>
      <w:pPr>
        <w:bidi/>
        <w:spacing w:after="120" w:line="330"/>
        <w:jc w:val="right"/>
      </w:pPr>
      <w:r>
        <w:rPr>
          <w:rFonts w:ascii="Arial" w:cs="Arial" w:eastAsia="Arial" w:hAnsi="Arial"/>
          <w:b w:val="false"/>
          <w:bCs w:val="false"/>
          <w:color w:val="1B1D21"/>
          <w:sz w:val="22"/>
          <w:szCs w:val="22"/>
          <w:rtl/>
        </w:rPr>
        <w:t xml:space="preserve">تُعد سرية بطبيعتها جميع المعلومات التقنية والتجارية والمالية للشركة، ويشمل ذلك على وجه الخصوص: تصميم وبنية منصة SYLTRA Adaptive وخوارزمياتها، الشيفرة المصدرية، هيكل التسعير والتكاليف، قوائم العملاء والموردين، والخطط الاستثمارية. يستمر التزام السرية لمدة خمس سنوات بعد خروج الشريك أيًا كان سببه.</w:t>
      </w:r>
    </w:p>
    <w:p>
      <w:pPr>
        <w:pStyle w:val="Heading1"/>
        <w:bidi/>
        <w:spacing w:after="160" w:before="360"/>
        <w:jc w:val="right"/>
      </w:pPr>
      <w:r>
        <w:rPr>
          <w:rFonts w:ascii="Arial" w:cs="Arial" w:eastAsia="Arial" w:hAnsi="Arial"/>
          <w:b/>
          <w:bCs/>
          <w:color w:val="0B0C0E"/>
          <w:sz w:val="28"/>
          <w:szCs w:val="28"/>
          <w:rtl/>
        </w:rPr>
        <w:t xml:space="preserve">المادة (9) : الملكية الفكرية</w:t>
      </w:r>
    </w:p>
    <w:p>
      <w:pPr>
        <w:pStyle w:val="ListParagraph"/>
        <w:numPr>
          <w:ilvl w:val="0"/>
          <w:numId w:val="2"/>
        </w:numPr>
        <w:bidi/>
        <w:spacing w:after="80" w:line="320"/>
        <w:jc w:val="right"/>
      </w:pPr>
      <w:r>
        <w:rPr>
          <w:rFonts w:ascii="Arial" w:cs="Arial" w:eastAsia="Arial" w:hAnsi="Arial"/>
          <w:color w:val="1B1D21"/>
          <w:sz w:val="22"/>
          <w:szCs w:val="22"/>
          <w:rtl/>
        </w:rPr>
        <w:t xml:space="preserve">جميع حقوق الملكية الفكرية المتعلقة بالمشروع : بما فيها العلامة التجارية SYLTRA، منصة SYLTRA Adaptive، الشيفرة المصدرية، التصاميم، الوثائق، والمحتوى : ملك خالص للشركة، بصرف النظر عمّن أنشأها من الشركاء قبل هذه الاتفاقية أو بعدها.</w:t>
      </w:r>
    </w:p>
    <w:p>
      <w:pPr>
        <w:pStyle w:val="ListParagraph"/>
        <w:numPr>
          <w:ilvl w:val="0"/>
          <w:numId w:val="2"/>
        </w:numPr>
        <w:bidi/>
        <w:spacing w:after="80" w:line="320"/>
        <w:jc w:val="right"/>
      </w:pPr>
      <w:r>
        <w:rPr>
          <w:rFonts w:ascii="Arial" w:cs="Arial" w:eastAsia="Arial" w:hAnsi="Arial"/>
          <w:color w:val="1B1D21"/>
          <w:sz w:val="22"/>
          <w:szCs w:val="22"/>
          <w:rtl/>
        </w:rPr>
        <w:t xml:space="preserve">يتنازل كل شريك بموجب هذه الاتفاقية تنازلًا نهائيًا للشركة عن أي حقوق شخصية على ما أنشأه أو يُنشئه ضمن نطاق المشروع، ويلتزم بتوقيع أي مستندات لازمة لإثبات ذلك عند التسجيل الرسمي.</w:t>
      </w:r>
    </w:p>
    <w:p>
      <w:pPr>
        <w:pStyle w:val="Heading1"/>
        <w:bidi/>
        <w:spacing w:after="160" w:before="360"/>
        <w:jc w:val="right"/>
      </w:pPr>
      <w:r>
        <w:rPr>
          <w:rFonts w:ascii="Arial" w:cs="Arial" w:eastAsia="Arial" w:hAnsi="Arial"/>
          <w:b/>
          <w:bCs/>
          <w:color w:val="0B0C0E"/>
          <w:sz w:val="28"/>
          <w:szCs w:val="28"/>
          <w:rtl/>
        </w:rPr>
        <w:t xml:space="preserve">المادة (10) : القانون الواجب التطبيق وتسوية النزاعات</w:t>
      </w:r>
    </w:p>
    <w:p>
      <w:pPr>
        <w:pStyle w:val="ListParagraph"/>
        <w:numPr>
          <w:ilvl w:val="0"/>
          <w:numId w:val="2"/>
        </w:numPr>
        <w:bidi/>
        <w:spacing w:after="80" w:line="320"/>
        <w:jc w:val="right"/>
      </w:pPr>
      <w:r>
        <w:rPr>
          <w:rFonts w:ascii="Arial" w:cs="Arial" w:eastAsia="Arial" w:hAnsi="Arial"/>
          <w:color w:val="1B1D21"/>
          <w:sz w:val="22"/>
          <w:szCs w:val="22"/>
          <w:rtl/>
        </w:rPr>
        <w:t xml:space="preserve">تخضع هذه الاتفاقية وتُفسَّر وفق الأنظمة المعمول بها في المملكة العربية السعودية.</w:t>
      </w:r>
    </w:p>
    <w:p>
      <w:pPr>
        <w:pStyle w:val="ListParagraph"/>
        <w:numPr>
          <w:ilvl w:val="0"/>
          <w:numId w:val="2"/>
        </w:numPr>
        <w:bidi/>
        <w:spacing w:after="80" w:line="320"/>
        <w:jc w:val="right"/>
      </w:pPr>
      <w:r>
        <w:rPr>
          <w:rFonts w:ascii="Arial" w:cs="Arial" w:eastAsia="Arial" w:hAnsi="Arial"/>
          <w:color w:val="1B1D21"/>
          <w:sz w:val="22"/>
          <w:szCs w:val="22"/>
          <w:rtl/>
        </w:rPr>
        <w:t xml:space="preserve">يسعى الشركاء لحل أي خلاف وديًا خلال 30 يومًا، فإن تعذّر أُحيل النزاع إلى التحكيم وفق نظام التحكيم السعودي بمحكّم واحد يُعيَّن باتفاق الأطراف، ويكون مقر التحكيم مدينة الرياض.</w:t>
      </w:r>
    </w:p>
    <w:p>
      <w:pPr>
        <w:pStyle w:val="Heading1"/>
        <w:bidi/>
        <w:spacing w:after="160" w:before="360"/>
        <w:jc w:val="right"/>
      </w:pPr>
      <w:r>
        <w:rPr>
          <w:rFonts w:ascii="Arial" w:cs="Arial" w:eastAsia="Arial" w:hAnsi="Arial"/>
          <w:b/>
          <w:bCs/>
          <w:color w:val="0B0C0E"/>
          <w:sz w:val="28"/>
          <w:szCs w:val="28"/>
          <w:rtl/>
        </w:rPr>
        <w:t xml:space="preserve">المادة (11) : أحكام عامة</w:t>
      </w:r>
    </w:p>
    <w:p>
      <w:pPr>
        <w:pStyle w:val="ListParagraph"/>
        <w:numPr>
          <w:ilvl w:val="0"/>
          <w:numId w:val="2"/>
        </w:numPr>
        <w:bidi/>
        <w:spacing w:after="80" w:line="320"/>
        <w:jc w:val="right"/>
      </w:pPr>
      <w:r>
        <w:rPr>
          <w:rFonts w:ascii="Arial" w:cs="Arial" w:eastAsia="Arial" w:hAnsi="Arial"/>
          <w:color w:val="1B1D21"/>
          <w:sz w:val="22"/>
          <w:szCs w:val="22"/>
          <w:rtl/>
        </w:rPr>
        <w:t xml:space="preserve">تُعد هذه الاتفاقية ملزمة للأطراف من تاريخ توقيعها، وتبقى نافذة بعد التأسيس الرسمي فيما لا يتعارض مع عقد التأسيس؛ وعند التعارض يُعدَّل عقد التأسيس ليعكس ما ورد هنا.</w:t>
      </w:r>
    </w:p>
    <w:p>
      <w:pPr>
        <w:pStyle w:val="ListParagraph"/>
        <w:numPr>
          <w:ilvl w:val="0"/>
          <w:numId w:val="2"/>
        </w:numPr>
        <w:bidi/>
        <w:spacing w:after="80" w:line="320"/>
        <w:jc w:val="right"/>
      </w:pPr>
      <w:r>
        <w:rPr>
          <w:rFonts w:ascii="Arial" w:cs="Arial" w:eastAsia="Arial" w:hAnsi="Arial"/>
          <w:color w:val="1B1D21"/>
          <w:sz w:val="22"/>
          <w:szCs w:val="22"/>
          <w:rtl/>
        </w:rPr>
        <w:t xml:space="preserve">لا يُعتد بأي تعديل أو تنازل عن أي بند إلا كتابيًا وبتوقيع جميع الشركاء.</w:t>
      </w:r>
    </w:p>
    <w:p>
      <w:pPr>
        <w:pStyle w:val="ListParagraph"/>
        <w:numPr>
          <w:ilvl w:val="0"/>
          <w:numId w:val="2"/>
        </w:numPr>
        <w:bidi/>
        <w:spacing w:after="80" w:line="320"/>
        <w:jc w:val="right"/>
      </w:pPr>
      <w:r>
        <w:rPr>
          <w:rFonts w:ascii="Arial" w:cs="Arial" w:eastAsia="Arial" w:hAnsi="Arial"/>
          <w:color w:val="1B1D21"/>
          <w:sz w:val="22"/>
          <w:szCs w:val="22"/>
          <w:rtl/>
        </w:rPr>
        <w:t xml:space="preserve">إذا قضي ببطلان أي بند، يبقى باقي البنود نافذًا، ويُستبدل البند الباطل بأقرب صياغة صحيحة تحقق غرضه.</w:t>
      </w:r>
    </w:p>
    <w:p>
      <w:pPr>
        <w:pStyle w:val="ListParagraph"/>
        <w:numPr>
          <w:ilvl w:val="0"/>
          <w:numId w:val="2"/>
        </w:numPr>
        <w:bidi/>
        <w:spacing w:after="80" w:line="320"/>
        <w:jc w:val="right"/>
      </w:pPr>
      <w:r>
        <w:rPr>
          <w:rFonts w:ascii="Arial" w:cs="Arial" w:eastAsia="Arial" w:hAnsi="Arial"/>
          <w:color w:val="1B1D21"/>
          <w:sz w:val="22"/>
          <w:szCs w:val="22"/>
          <w:rtl/>
        </w:rPr>
        <w:t xml:space="preserve">حُررت هذه الاتفاقية من ثلاث نسخ أصلية، بيد كل شريك نسخة للعمل بموجبها.</w:t>
      </w:r>
    </w:p>
    <w:p>
      <w:pPr>
        <w:pStyle w:val="Heading1"/>
        <w:bidi/>
        <w:spacing w:after="160" w:before="360"/>
        <w:jc w:val="right"/>
      </w:pPr>
      <w:r>
        <w:rPr>
          <w:rFonts w:ascii="Arial" w:cs="Arial" w:eastAsia="Arial" w:hAnsi="Arial"/>
          <w:b/>
          <w:bCs/>
          <w:color w:val="0B0C0E"/>
          <w:sz w:val="28"/>
          <w:szCs w:val="28"/>
          <w:rtl/>
        </w:rPr>
        <w:t xml:space="preserve">التوقيعات</w:t>
      </w:r>
    </w:p>
    <w:tbl>
      <w:tblPr>
        <w:bidiVisual/>
        <w:tblW w:type="dxa" w:w="9400"/>
        <w:tblBorders>
          <w:top w:val="single" w:color="DFE2E6" w:sz="4"/>
          <w:left w:val="single" w:color="DFE2E6" w:sz="4"/>
          <w:bottom w:val="single" w:color="DFE2E6" w:sz="4"/>
          <w:right w:val="single" w:color="DFE2E6" w:sz="4"/>
          <w:insideH w:val="single" w:color="DFE2E6" w:sz="4"/>
          <w:insideV w:val="single" w:color="DFE2E6" w:sz="4"/>
        </w:tblBorders>
      </w:tblPr>
      <w:tblGrid>
        <w:gridCol w:w="3130"/>
        <w:gridCol w:w="3130"/>
        <w:gridCol w:w="3140"/>
      </w:tblGrid>
      <w:tr>
        <w:tc>
          <w:tcPr>
            <w:tcW w:type="dxa" w:w="313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الشريك الأول</w:t>
            </w:r>
          </w:p>
        </w:tc>
        <w:tc>
          <w:tcPr>
            <w:tcW w:type="dxa" w:w="313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الشريك الثاني</w:t>
            </w:r>
          </w:p>
        </w:tc>
        <w:tc>
          <w:tcPr>
            <w:tcW w:type="dxa" w:w="3140"/>
            <w:shd w:fill="0B0C0E" w:val="clear"/>
            <w:tcMar>
              <w:top w:type="dxa" w:w="80"/>
              <w:left w:type="dxa" w:w="120"/>
              <w:bottom w:type="dxa" w:w="80"/>
              <w:right w:type="dxa" w:w="120"/>
            </w:tcMar>
          </w:tcPr>
          <w:p>
            <w:pPr>
              <w:bidi/>
              <w:jc w:val="right"/>
            </w:pPr>
            <w:r>
              <w:rPr>
                <w:rFonts w:ascii="Arial" w:cs="Arial" w:eastAsia="Arial" w:hAnsi="Arial"/>
                <w:b/>
                <w:bCs/>
                <w:color w:val="FFFFFF"/>
                <w:sz w:val="21"/>
                <w:szCs w:val="21"/>
                <w:rtl/>
              </w:rPr>
              <w:t xml:space="preserve">الشريك الثالث</w:t>
            </w:r>
          </w:p>
        </w:tc>
      </w:tr>
      <w:tr>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الاسم: أنس عليمام</w:t>
            </w:r>
          </w:p>
        </w:tc>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الاسم: صلاح [الاسم]</w:t>
            </w:r>
          </w:p>
        </w:tc>
        <w:tc>
          <w:tcPr>
            <w:tcW w:type="dxa" w:w="314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الاسم: إيثار [الاسم]</w:t>
            </w:r>
          </w:p>
        </w:tc>
      </w:tr>
      <w:tr>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التوقيع:</w:t>
            </w:r>
          </w:p>
        </w:tc>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التوقيع:</w:t>
            </w:r>
          </w:p>
        </w:tc>
        <w:tc>
          <w:tcPr>
            <w:tcW w:type="dxa" w:w="314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التوقيع:</w:t>
            </w:r>
          </w:p>
        </w:tc>
      </w:tr>
      <w:tr>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التاريخ:      /      /</w:t>
            </w:r>
          </w:p>
        </w:tc>
        <w:tc>
          <w:tcPr>
            <w:tcW w:type="dxa" w:w="313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التاريخ:      /      /</w:t>
            </w:r>
          </w:p>
        </w:tc>
        <w:tc>
          <w:tcPr>
            <w:tcW w:type="dxa" w:w="3140"/>
            <w:tcMar>
              <w:top w:type="dxa" w:w="80"/>
              <w:left w:type="dxa" w:w="120"/>
              <w:bottom w:type="dxa" w:w="80"/>
              <w:right w:type="dxa" w:w="120"/>
            </w:tcMar>
          </w:tcPr>
          <w:p>
            <w:pPr>
              <w:bidi/>
              <w:jc w:val="right"/>
            </w:pPr>
            <w:r>
              <w:rPr>
                <w:rFonts w:ascii="Arial" w:cs="Arial" w:eastAsia="Arial" w:hAnsi="Arial"/>
                <w:b w:val="false"/>
                <w:bCs w:val="false"/>
                <w:color w:val="1B1D21"/>
                <w:sz w:val="21"/>
                <w:szCs w:val="21"/>
                <w:rtl/>
              </w:rPr>
              <w:t xml:space="preserve">التاريخ:      /      /</w:t>
            </w:r>
          </w:p>
        </w:tc>
      </w:tr>
    </w:tbl>
    <w:p>
      <w:pPr>
        <w:spacing w:before="300"/>
      </w:pPr>
    </w:p>
    <w:p>
      <w:pPr>
        <w:bidi/>
        <w:spacing w:after="120" w:line="330"/>
        <w:jc w:val="right"/>
      </w:pPr>
      <w:r>
        <w:rPr>
          <w:rFonts w:ascii="Arial" w:cs="Arial" w:eastAsia="Arial" w:hAnsi="Arial"/>
          <w:b w:val="false"/>
          <w:bCs w:val="false"/>
          <w:color w:val="5B616B"/>
          <w:sz w:val="22"/>
          <w:szCs w:val="22"/>
          <w:rtl/>
        </w:rPr>
        <w:t xml:space="preserve">ملاحظة: هذه الوثيقة مسودة اتفاق تنظيمي بين الشركاء المؤسسين، ويُنصح بمراجعتها من محامٍ مرخّص في المملكة العربية السعودية قبل التوقيع، وتوثيقها ضمن عقد التأسيس عند التسجيل الرسمي.</w:t>
      </w:r>
    </w:p>
    <w:sectPr>
      <w:pgSz w:w="11906" w:h="16838" w:orient="portrait"/>
      <w:pgMar w:top="1247" w:right="1133" w:bottom="124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2026-08-19T16:26:59.608Z</dcterms:created>
  <dcterms:modified xsi:type="dcterms:W3CDTF">2026-08-19T16:26:59.619Z</dcterms:modified>
</cp:coreProperties>
</file>

<file path=docProps/custom.xml><?xml version="1.0" encoding="utf-8"?>
<Properties xmlns="http://schemas.openxmlformats.org/officeDocument/2006/custom-properties" xmlns:vt="http://schemas.openxmlformats.org/officeDocument/2006/docPropsVTypes"/>
</file>