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11905"/>
      </w:tblGrid>
      <w:tr>
        <w:trPr>
          <w:trHeight w:val="16781" w:hRule="exact"/>
        </w:trPr>
        <w:tc>
          <w:tcPr>
            <w:tcW w:type="dxa" w:w="11906"/>
            <w:shd w:val="clear" w:color="auto" w:fill="0B0C0E"/>
            <w:tcBorders>
              <w:top w:val="nil"/>
              <w:bottom w:val="nil"/>
              <w:start w:val="nil"/>
              <w:end w:val="nil"/>
            </w:tcBorders>
            <w:tcMar>
              <w:top w:w="1300" w:type="dxa"/>
              <w:bottom w:w="1000" w:type="dxa"/>
              <w:start w:w="1130" w:type="dxa"/>
              <w:end w:w="1130" w:type="dxa"/>
            </w:tcMar>
            <w:vAlign w:val="top"/>
          </w:tcPr>
          <w:p>
            <w:pPr>
              <w:spacing w:before="0" w:after="0" w:line="240" w:lineRule="auto"/>
              <w:jc w:val="left"/>
            </w:pPr>
            <w:r>
              <w:drawing>
                <wp:inline xmlns:a="http://schemas.openxmlformats.org/drawingml/2006/main" xmlns:pic="http://schemas.openxmlformats.org/drawingml/2006/picture">
                  <wp:extent cx="3168000" cy="863857"/>
                  <wp:docPr id="1" name="Picture 1"/>
                  <wp:cNvGraphicFramePr>
                    <a:graphicFrameLocks noChangeAspect="1"/>
                  </wp:cNvGraphicFramePr>
                  <a:graphic>
                    <a:graphicData uri="http://schemas.openxmlformats.org/drawingml/2006/picture">
                      <pic:pic>
                        <pic:nvPicPr>
                          <pic:cNvPr id="0" name="health-lockup-full.png"/>
                          <pic:cNvPicPr/>
                        </pic:nvPicPr>
                        <pic:blipFill>
                          <a:blip r:embed="rId9"/>
                          <a:stretch>
                            <a:fillRect/>
                          </a:stretch>
                        </pic:blipFill>
                        <pic:spPr>
                          <a:xfrm>
                            <a:off x="0" y="0"/>
                            <a:ext cx="3168000" cy="863857"/>
                          </a:xfrm>
                          <a:prstGeom prst="rect"/>
                        </pic:spPr>
                      </pic:pic>
                    </a:graphicData>
                  </a:graphic>
                </wp:inline>
              </w:drawing>
            </w:r>
          </w:p>
          <w:p>
            <w:pPr>
              <w:spacing w:before="0" w:after="0" w:line="240" w:lineRule="auto"/>
              <w:jc w:val="left"/>
            </w:pPr>
            <w:r>
              <w:rPr>
                <w:rFonts w:ascii="IBM Plex Sans" w:hAnsi="IBM Plex Sans" w:cs="IBM Plex Sans" w:eastAsia="IBM Plex Sans"/>
                <w:color w:val="0B0C0E"/>
                <w:sz w:val="300"/>
                <w:szCs w:val="300"/>
              </w:rPr>
            </w:r>
          </w:p>
          <w:p>
            <w:pPr>
              <w:spacing w:before="0" w:after="360" w:line="288" w:lineRule="auto"/>
              <w:jc w:val="left"/>
            </w:pPr>
            <w:r>
              <w:rPr>
                <w:rFonts w:ascii="IBM Plex Mono" w:hAnsi="IBM Plex Mono" w:cs="IBM Plex Mono" w:eastAsia="IBM Plex Mono"/>
                <w:color w:val="22E06B"/>
                <w:sz w:val="18"/>
                <w:szCs w:val="18"/>
              </w:rPr>
              <w:t>Company Profile · 2026</w:t>
            </w:r>
          </w:p>
          <w:p>
            <w:pPr>
              <w:spacing w:before="0" w:after="200" w:line="276" w:lineRule="auto"/>
              <w:jc w:val="left"/>
            </w:pPr>
            <w:r>
              <w:rPr>
                <w:rFonts w:ascii="IBM Plex Sans" w:hAnsi="IBM Plex Sans" w:cs="IBM Plex Sans" w:eastAsia="IBM Plex Sans"/>
                <w:b/>
                <w:color w:val="ECEDEF"/>
                <w:sz w:val="68"/>
                <w:szCs w:val="68"/>
                <w:bCs/>
              </w:rPr>
              <w:t>Your home knows when something changes.</w:t>
            </w:r>
          </w:p>
          <w:p>
            <w:pPr>
              <w:spacing w:before="0" w:after="0" w:line="336" w:lineRule="auto"/>
              <w:jc w:val="left"/>
            </w:pPr>
            <w:r>
              <w:rPr>
                <w:rFonts w:ascii="IBM Plex Sans" w:hAnsi="IBM Plex Sans" w:cs="IBM Plex Sans" w:eastAsia="IBM Plex Sans"/>
                <w:color w:val="C7CCD3"/>
                <w:sz w:val="30"/>
                <w:szCs w:val="30"/>
              </w:rPr>
              <w:t>A home that understands your health and knows when you need someone.</w:t>
            </w:r>
          </w:p>
          <w:p>
            <w:pPr>
              <w:spacing w:before="0" w:after="0" w:line="240" w:lineRule="auto"/>
              <w:jc w:val="left"/>
            </w:pPr>
            <w:r>
              <w:rPr>
                <w:rFonts w:ascii="IBM Plex Sans" w:hAnsi="IBM Plex Sans" w:cs="IBM Plex Sans" w:eastAsia="IBM Plex Sans"/>
                <w:color w:val="0B0C0E"/>
                <w:sz w:val="380"/>
                <w:szCs w:val="380"/>
              </w:rPr>
            </w:r>
          </w:p>
          <w:p>
            <w:pPr>
              <w:spacing w:before="0" w:after="80" w:line="312" w:lineRule="auto"/>
              <w:jc w:val="left"/>
            </w:pPr>
            <w:r>
              <w:rPr>
                <w:rFonts w:ascii="IBM Plex Mono" w:hAnsi="IBM Plex Mono" w:cs="IBM Plex Mono" w:eastAsia="IBM Plex Mono"/>
                <w:color w:val="C7CCD3"/>
                <w:sz w:val="18"/>
                <w:szCs w:val="18"/>
              </w:rPr>
              <w:t>Connected Health and Wellness Technology</w:t>
            </w:r>
          </w:p>
          <w:p>
            <w:pPr>
              <w:spacing w:before="0" w:after="0" w:line="312" w:lineRule="auto"/>
              <w:jc w:val="left"/>
            </w:pPr>
            <w:r>
              <w:rPr>
                <w:rFonts w:ascii="IBM Plex Sans" w:hAnsi="IBM Plex Sans" w:cs="IBM Plex Sans" w:eastAsia="IBM Plex Sans"/>
                <w:b/>
                <w:color w:val="ECEDEF"/>
                <w:sz w:val="21"/>
                <w:szCs w:val="21"/>
                <w:bCs/>
              </w:rPr>
              <w:t>A SYLTRA ONE Company</w:t>
            </w:r>
          </w:p>
        </w:tc>
      </w:tr>
    </w:tbl>
    <w:p>
      <w:pPr>
        <w:sectPr>
          <w:footerReference w:type="default" r:id="rId11"/>
          <w:pgSz w:w="11906" w:h="16838"/>
          <w:pgMar w:top="0" w:right="0" w:bottom="0" w:left="0" w:header="0" w:footer="0" w:gutter="0"/>
          <w:cols w:space="720"/>
          <w:docGrid w:linePitch="360"/>
        </w:sectPr>
      </w:pPr>
    </w:p>
    <w:p>
      <w:pPr>
        <w:keepNext/>
        <w:spacing w:before="0" w:after="200" w:line="240" w:lineRule="auto"/>
        <w:jc w:val="left"/>
      </w:pPr>
      <w:r>
        <w:drawing>
          <wp:inline xmlns:a="http://schemas.openxmlformats.org/drawingml/2006/main" xmlns:pic="http://schemas.openxmlformats.org/drawingml/2006/picture">
            <wp:extent cx="6192000" cy="2132432"/>
            <wp:docPr id="2" name="Picture 2"/>
            <wp:cNvGraphicFramePr>
              <a:graphicFrameLocks noChangeAspect="1"/>
            </wp:cNvGraphicFramePr>
            <a:graphic>
              <a:graphicData uri="http://schemas.openxmlformats.org/drawingml/2006/picture">
                <pic:pic>
                  <pic:nvPicPr>
                    <pic:cNvPr id="0" name="hero_health-hero.jpg"/>
                    <pic:cNvPicPr/>
                  </pic:nvPicPr>
                  <pic:blipFill>
                    <a:blip r:embed="rId12"/>
                    <a:stretch>
                      <a:fillRect/>
                    </a:stretch>
                  </pic:blipFill>
                  <pic:spPr>
                    <a:xfrm>
                      <a:off x="0" y="0"/>
                      <a:ext cx="6192000" cy="2132432"/>
                    </a:xfrm>
                    <a:prstGeom prst="rect"/>
                  </pic:spPr>
                </pic:pic>
              </a:graphicData>
            </a:graphic>
          </wp:inline>
        </w:drawing>
      </w:r>
    </w:p>
    <w:p>
      <w:pPr>
        <w:keepNext/>
        <w:spacing w:before="0" w:after="120" w:line="288" w:lineRule="auto"/>
        <w:jc w:val="left"/>
      </w:pPr>
      <w:r>
        <w:rPr>
          <w:rFonts w:ascii="IBM Plex Mono" w:hAnsi="IBM Plex Mono" w:cs="IBM Plex Mono" w:eastAsia="IBM Plex Mono"/>
          <w:color w:val="1AA653"/>
          <w:sz w:val="18"/>
          <w:szCs w:val="18"/>
        </w:rPr>
        <w:t xml:space="preserve">01    </w:t>
      </w:r>
      <w:r>
        <w:rPr>
          <w:rFonts w:ascii="IBM Plex Sans" w:hAnsi="IBM Plex Sans" w:cs="IBM Plex Sans" w:eastAsia="IBM Plex Sans"/>
          <w:b/>
          <w:color w:val="1AA653"/>
          <w:sz w:val="18"/>
          <w:szCs w:val="18"/>
          <w:bCs/>
        </w:rPr>
        <w:t>Definition</w:t>
      </w:r>
    </w:p>
    <w:p>
      <w:pPr>
        <w:keepNext/>
        <w:spacing w:before="0" w:after="160" w:line="288" w:lineRule="auto"/>
        <w:jc w:val="left"/>
      </w:pPr>
      <w:r>
        <w:rPr>
          <w:rFonts w:ascii="IBM Plex Sans" w:hAnsi="IBM Plex Sans" w:cs="IBM Plex Sans" w:eastAsia="IBM Plex Sans"/>
          <w:b/>
          <w:color w:val="0B0C0E"/>
          <w:sz w:val="40"/>
          <w:szCs w:val="40"/>
          <w:bCs/>
        </w:rPr>
        <w:t>A health intelligence layer inside your home.</w:t>
      </w:r>
    </w:p>
    <w:p>
      <w:pPr>
        <w:keepNext/>
        <w:spacing w:before="0" w:after="160" w:line="360" w:lineRule="auto"/>
        <w:jc w:val="left"/>
      </w:pPr>
      <w:r>
        <w:rPr>
          <w:rFonts w:ascii="IBM Plex Sans" w:hAnsi="IBM Plex Sans" w:cs="IBM Plex Sans" w:eastAsia="IBM Plex Sans"/>
          <w:color w:val="2A2D33"/>
          <w:sz w:val="21"/>
          <w:szCs w:val="21"/>
        </w:rPr>
        <w:t>SYLTRA HEALTH is a health technology company within SYLTRA ONE. It connects what your body says with how your home moves, what its environment reads, and the people you trust, in one context. It learns your normal pattern, adapts your space, notices an unusual change, checks in with you, and reaches the most suitable person under a plan you approved in advance.</w:t>
      </w:r>
    </w:p>
    <w:p>
      <w:pPr>
        <w:spacing w:before="0" w:after="120" w:line="360" w:lineRule="auto"/>
        <w:jc w:val="left"/>
      </w:pPr>
      <w:r>
        <w:rPr>
          <w:rFonts w:ascii="IBM Plex Sans" w:hAnsi="IBM Plex Sans" w:cs="IBM Plex Sans" w:eastAsia="IBM Plex Sans"/>
          <w:color w:val="0B0C0E"/>
          <w:sz w:val="19"/>
          <w:szCs w:val="19"/>
        </w:rPr>
        <w:t>Most health apps show data after it is recorded. SYLTRA HEALTH turns data into an understanding of context, and then into a response in the real world.</w:t>
      </w:r>
    </w:p>
    <w:tbl>
      <w:tblPr>
        <w:tblW w:type="auto" w:w="0"/>
        <w:jc w:val="center"/>
        <w:tblLayout w:type="fixed"/>
        <w:tblLook w:firstColumn="1" w:firstRow="1" w:lastColumn="0" w:lastRow="0" w:noHBand="0" w:noVBand="1" w:val="04A0"/>
        <w:tblLayout w:type="fixed"/>
      </w:tblPr>
      <w:tblGrid>
        <w:gridCol w:w="3250"/>
        <w:gridCol w:w="3250"/>
        <w:gridCol w:w="3250"/>
      </w:tblGrid>
      <w:tr>
        <w:trPr>
          <w:cantSplit/>
        </w:trPr>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It watches</w:t>
            </w:r>
          </w:p>
          <w:p>
            <w:pPr>
              <w:spacing w:before="0" w:after="0" w:line="336" w:lineRule="auto"/>
              <w:jc w:val="left"/>
            </w:pPr>
            <w:r>
              <w:rPr>
                <w:rFonts w:ascii="IBM Plex Sans" w:hAnsi="IBM Plex Sans" w:cs="IBM Plex Sans" w:eastAsia="IBM Plex Sans"/>
                <w:color w:val="2A2D33"/>
                <w:sz w:val="17"/>
                <w:szCs w:val="17"/>
              </w:rPr>
              <w:t>It gathers your body and home signals quietly in the background, with your consent.</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It understands</w:t>
            </w:r>
          </w:p>
          <w:p>
            <w:pPr>
              <w:spacing w:before="0" w:after="0" w:line="336" w:lineRule="auto"/>
              <w:jc w:val="left"/>
            </w:pPr>
            <w:r>
              <w:rPr>
                <w:rFonts w:ascii="IBM Plex Sans" w:hAnsi="IBM Plex Sans" w:cs="IBM Plex Sans" w:eastAsia="IBM Plex Sans"/>
                <w:color w:val="2A2D33"/>
                <w:sz w:val="17"/>
                <w:szCs w:val="17"/>
              </w:rPr>
              <w:t>It learns your normal pattern, so it knows an ordinary day from one unlike you.</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It responds</w:t>
            </w:r>
          </w:p>
          <w:p>
            <w:pPr>
              <w:spacing w:before="0" w:after="0" w:line="336" w:lineRule="auto"/>
              <w:jc w:val="left"/>
            </w:pPr>
            <w:r>
              <w:rPr>
                <w:rFonts w:ascii="IBM Plex Sans" w:hAnsi="IBM Plex Sans" w:cs="IBM Plex Sans" w:eastAsia="IBM Plex Sans"/>
                <w:color w:val="2A2D33"/>
                <w:sz w:val="17"/>
                <w:szCs w:val="17"/>
              </w:rPr>
              <w:t>It adapts your space, checks in on a change, and reaches the right person if you need.</w:t>
            </w:r>
          </w:p>
        </w:tc>
      </w:tr>
    </w:tbl>
    <w:p>
      <w:pPr>
        <w:spacing w:before="0" w:after="0" w:line="240" w:lineRule="auto"/>
        <w:jc w:val="left"/>
      </w:pPr>
      <w:r>
        <w:rPr>
          <w:rFonts w:ascii="IBM Plex Sans" w:hAnsi="IBM Plex Sans" w:cs="IBM Plex Sans" w:eastAsia="IBM Plex Sans"/>
          <w:color w:val="0B0C0E"/>
          <w:sz w:val="12"/>
          <w:szCs w:val="12"/>
        </w:rPr>
      </w:r>
    </w:p>
    <w:p>
      <w:pPr>
        <w:keepNext/>
        <w:spacing w:before="160" w:after="120" w:line="312" w:lineRule="auto"/>
        <w:jc w:val="left"/>
      </w:pPr>
      <w:r>
        <w:rPr>
          <w:rFonts w:ascii="IBM Plex Sans" w:hAnsi="IBM Plex Sans" w:cs="IBM Plex Sans" w:eastAsia="IBM Plex Sans"/>
          <w:b/>
          <w:color w:val="0B0C0E"/>
          <w:sz w:val="28"/>
          <w:szCs w:val="28"/>
          <w:bCs/>
        </w:rPr>
        <w:t>Who it is for</w:t>
      </w:r>
    </w:p>
    <w:tbl>
      <w:tblPr>
        <w:tblW w:type="auto" w:w="0"/>
        <w:jc w:val="center"/>
        <w:tblLayout w:type="fixed"/>
        <w:tblLook w:firstColumn="1" w:firstRow="1" w:lastColumn="0" w:lastRow="0" w:noHBand="0" w:noVBand="1" w:val="04A0"/>
        <w:tblLayout w:type="fixed"/>
      </w:tblPr>
      <w:tblGrid>
        <w:gridCol w:w="4875"/>
        <w:gridCol w:w="4875"/>
      </w:tblGrid>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Individuals</w:t>
            </w:r>
          </w:p>
          <w:p>
            <w:pPr>
              <w:keepNext/>
              <w:spacing w:before="0" w:after="0" w:line="336" w:lineRule="auto"/>
              <w:jc w:val="left"/>
            </w:pPr>
            <w:r>
              <w:rPr>
                <w:rFonts w:ascii="IBM Plex Sans" w:hAnsi="IBM Plex Sans" w:cs="IBM Plex Sans" w:eastAsia="IBM Plex Sans"/>
                <w:color w:val="2A2D33"/>
                <w:sz w:val="17"/>
                <w:szCs w:val="17"/>
              </w:rPr>
              <w:t>A clearer view of sleep, activity and daily routines.</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Older adults</w:t>
            </w:r>
          </w:p>
          <w:p>
            <w:pPr>
              <w:keepNext/>
              <w:spacing w:before="0" w:after="0" w:line="336" w:lineRule="auto"/>
              <w:jc w:val="left"/>
            </w:pPr>
            <w:r>
              <w:rPr>
                <w:rFonts w:ascii="IBM Plex Sans" w:hAnsi="IBM Plex Sans" w:cs="IBM Plex Sans" w:eastAsia="IBM Plex Sans"/>
                <w:color w:val="2A2D33"/>
                <w:sz w:val="17"/>
                <w:szCs w:val="17"/>
              </w:rPr>
              <w:t>Daily visibility that respects independence and reassures families, with the user's permission.</w:t>
            </w:r>
          </w:p>
        </w:tc>
      </w:tr>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Chronic conditions</w:t>
            </w:r>
          </w:p>
          <w:p>
            <w:pPr>
              <w:spacing w:before="0" w:after="0" w:line="336" w:lineRule="auto"/>
              <w:jc w:val="left"/>
            </w:pPr>
            <w:r>
              <w:rPr>
                <w:rFonts w:ascii="IBM Plex Sans" w:hAnsi="IBM Plex Sans" w:cs="IBM Plex Sans" w:eastAsia="IBM Plex Sans"/>
                <w:color w:val="2A2D33"/>
                <w:sz w:val="17"/>
                <w:szCs w:val="17"/>
              </w:rPr>
              <w:t>Readings and routines brought together to support follow-up.</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Care providers</w:t>
            </w:r>
          </w:p>
          <w:p>
            <w:pPr>
              <w:spacing w:before="0" w:after="0" w:line="336" w:lineRule="auto"/>
              <w:jc w:val="left"/>
            </w:pPr>
            <w:r>
              <w:rPr>
                <w:rFonts w:ascii="IBM Plex Sans" w:hAnsi="IBM Plex Sans" w:cs="IBM Plex Sans" w:eastAsia="IBM Plex Sans"/>
                <w:color w:val="2A2D33"/>
                <w:sz w:val="17"/>
                <w:szCs w:val="17"/>
              </w:rPr>
              <w:t>Organized summaries that users choose to share between visits.</w:t>
            </w:r>
          </w:p>
        </w:tc>
      </w:tr>
    </w:tbl>
    <w:p>
      <w:pPr>
        <w:spacing w:before="0" w:after="0" w:line="240" w:lineRule="auto"/>
        <w:jc w:val="left"/>
      </w:pPr>
      <w:r>
        <w:rPr>
          <w:rFonts w:ascii="IBM Plex Sans" w:hAnsi="IBM Plex Sans" w:cs="IBM Plex Sans" w:eastAsia="IBM Plex Sans"/>
          <w:color w:val="0B0C0E"/>
          <w:sz w:val="12"/>
          <w:szCs w:val="12"/>
        </w:rPr>
      </w:r>
    </w:p>
    <w:p>
      <w:pPr>
        <w:spacing w:before="0" w:after="0" w:line="240" w:lineRule="auto"/>
        <w:jc w:val="left"/>
      </w:pPr>
      <w:r>
        <w:rPr>
          <w:rFonts w:ascii="IBM Plex Sans" w:hAnsi="IBM Plex Sans" w:cs="IBM Plex Sans" w:eastAsia="IBM Plex Sans"/>
          <w:color w:val="0B0C0E"/>
          <w:sz w:val="44"/>
          <w:szCs w:val="44"/>
        </w:rPr>
      </w:r>
    </w:p>
    <w:p>
      <w:pPr>
        <w:keepNext/>
        <w:spacing w:before="0" w:after="120" w:line="288" w:lineRule="auto"/>
        <w:jc w:val="left"/>
      </w:pPr>
      <w:r>
        <w:rPr>
          <w:rFonts w:ascii="IBM Plex Mono" w:hAnsi="IBM Plex Mono" w:cs="IBM Plex Mono" w:eastAsia="IBM Plex Mono"/>
          <w:color w:val="1AA653"/>
          <w:sz w:val="18"/>
          <w:szCs w:val="18"/>
        </w:rPr>
        <w:t xml:space="preserve">02    </w:t>
      </w:r>
      <w:r>
        <w:rPr>
          <w:rFonts w:ascii="IBM Plex Sans" w:hAnsi="IBM Plex Sans" w:cs="IBM Plex Sans" w:eastAsia="IBM Plex Sans"/>
          <w:b/>
          <w:color w:val="1AA653"/>
          <w:sz w:val="18"/>
          <w:szCs w:val="18"/>
          <w:bCs/>
        </w:rPr>
        <w:t>The problem</w:t>
      </w:r>
    </w:p>
    <w:p>
      <w:pPr>
        <w:keepNext/>
        <w:spacing w:before="0" w:after="160" w:line="288" w:lineRule="auto"/>
        <w:jc w:val="left"/>
      </w:pPr>
      <w:r>
        <w:rPr>
          <w:rFonts w:ascii="IBM Plex Sans" w:hAnsi="IBM Plex Sans" w:cs="IBM Plex Sans" w:eastAsia="IBM Plex Sans"/>
          <w:b/>
          <w:color w:val="0B0C0E"/>
          <w:sz w:val="40"/>
          <w:szCs w:val="40"/>
          <w:bCs/>
        </w:rPr>
        <w:t>One reading does not tell the whole story.</w:t>
      </w:r>
    </w:p>
    <w:p>
      <w:pPr>
        <w:keepNext/>
        <w:spacing w:before="0" w:after="160" w:line="360" w:lineRule="auto"/>
        <w:jc w:val="left"/>
      </w:pPr>
      <w:r>
        <w:rPr>
          <w:rFonts w:ascii="IBM Plex Sans" w:hAnsi="IBM Plex Sans" w:cs="IBM Plex Sans" w:eastAsia="IBM Plex Sans"/>
          <w:color w:val="2A2D33"/>
          <w:sz w:val="21"/>
          <w:szCs w:val="21"/>
        </w:rPr>
        <w:t>Health data is split between the watch, the phone and the measuring devices. Home and movement data sits apart from the state of the person living there. That separation produces three problems:</w:t>
      </w:r>
    </w:p>
    <w:tbl>
      <w:tblPr>
        <w:tblW w:type="auto" w:w="0"/>
        <w:jc w:val="center"/>
        <w:tblLayout w:type="fixed"/>
        <w:tblLook w:firstColumn="1" w:firstRow="1" w:lastColumn="0" w:lastRow="0" w:noHBand="0" w:noVBand="1" w:val="04A0"/>
        <w:tblLayout w:type="fixed"/>
      </w:tblPr>
      <w:tblGrid>
        <w:gridCol w:w="680"/>
        <w:gridCol w:w="9070"/>
      </w:tblGrid>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01</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Numbers without context</w:t>
            </w:r>
          </w:p>
          <w:p>
            <w:pPr>
              <w:keepNext/>
              <w:spacing w:before="0" w:after="0" w:line="336" w:lineRule="auto"/>
              <w:jc w:val="left"/>
            </w:pPr>
            <w:r>
              <w:rPr>
                <w:rFonts w:ascii="IBM Plex Sans" w:hAnsi="IBM Plex Sans" w:cs="IBM Plex Sans" w:eastAsia="IBM Plex Sans"/>
                <w:color w:val="2A2D33"/>
                <w:sz w:val="17"/>
                <w:szCs w:val="17"/>
              </w:rPr>
              <w:t>The user sees many readings and nothing that ties them to each other, or to the day.</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02</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A home that ignores its resident</w:t>
            </w:r>
          </w:p>
          <w:p>
            <w:pPr>
              <w:keepNext/>
              <w:spacing w:before="0" w:after="0" w:line="336" w:lineRule="auto"/>
              <w:jc w:val="left"/>
            </w:pPr>
            <w:r>
              <w:rPr>
                <w:rFonts w:ascii="IBM Plex Sans" w:hAnsi="IBM Plex Sans" w:cs="IBM Plex Sans" w:eastAsia="IBM Plex Sans"/>
                <w:color w:val="2A2D33"/>
                <w:sz w:val="17"/>
                <w:szCs w:val="17"/>
              </w:rPr>
              <w:t>The home answers commands and routines. It knows nothing about how the person inside is doing.</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spacing w:before="40" w:after="0" w:line="312" w:lineRule="auto"/>
              <w:jc w:val="left"/>
            </w:pPr>
            <w:r>
              <w:rPr>
                <w:rFonts w:ascii="IBM Plex Mono" w:hAnsi="IBM Plex Mono" w:cs="IBM Plex Mono" w:eastAsia="IBM Plex Mono"/>
                <w:color w:val="1AA653"/>
                <w:sz w:val="22"/>
                <w:szCs w:val="22"/>
              </w:rPr>
              <w:t>03</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Alerts that do not know who can help</w:t>
            </w:r>
          </w:p>
          <w:p>
            <w:pPr>
              <w:spacing w:before="0" w:after="0" w:line="336" w:lineRule="auto"/>
              <w:jc w:val="left"/>
            </w:pPr>
            <w:r>
              <w:rPr>
                <w:rFonts w:ascii="IBM Plex Sans" w:hAnsi="IBM Plex Sans" w:cs="IBM Plex Sans" w:eastAsia="IBM Plex Sans"/>
                <w:color w:val="2A2D33"/>
                <w:sz w:val="17"/>
                <w:szCs w:val="17"/>
              </w:rPr>
              <w:t>When something unusual happens, notifications scatter to everyone, and nobody knows who is closest or who can actually get there.</w:t>
            </w:r>
          </w:p>
        </w:tc>
      </w:tr>
    </w:tbl>
    <w:p>
      <w:pPr>
        <w:spacing w:before="0" w:after="0" w:line="240" w:lineRule="auto"/>
        <w:jc w:val="left"/>
      </w:pPr>
      <w:r>
        <w:rPr>
          <w:rFonts w:ascii="IBM Plex Sans" w:hAnsi="IBM Plex Sans" w:cs="IBM Plex Sans" w:eastAsia="IBM Plex Sans"/>
          <w:color w:val="0B0C0E"/>
          <w:sz w:val="16"/>
          <w:szCs w:val="16"/>
        </w:rPr>
      </w:r>
    </w:p>
    <w:p>
      <w:pPr>
        <w:spacing w:before="200" w:after="200" w:line="324" w:lineRule="auto"/>
        <w:jc w:val="left"/>
      </w:pPr>
      <w:r>
        <w:rPr>
          <w:rFonts w:ascii="IBM Plex Sans" w:hAnsi="IBM Plex Sans" w:cs="IBM Plex Sans" w:eastAsia="IBM Plex Sans"/>
          <w:b/>
          <w:color w:val="1AA653"/>
          <w:sz w:val="34"/>
          <w:szCs w:val="34"/>
          <w:bCs/>
        </w:rPr>
        <w:t>Your body. Your home. The people close to you. In one context.</w:t>
      </w:r>
    </w:p>
    <w:p>
      <w:pPr>
        <w:spacing w:before="0" w:after="0" w:line="240" w:lineRule="auto"/>
        <w:jc w:val="left"/>
      </w:pPr>
      <w:r>
        <w:rPr>
          <w:rFonts w:ascii="IBM Plex Sans" w:hAnsi="IBM Plex Sans" w:cs="IBM Plex Sans" w:eastAsia="IBM Plex Sans"/>
          <w:color w:val="0B0C0E"/>
          <w:sz w:val="44"/>
          <w:szCs w:val="44"/>
        </w:rPr>
      </w:r>
    </w:p>
    <w:p>
      <w:pPr>
        <w:keepNext/>
        <w:spacing w:before="0" w:after="120" w:line="288" w:lineRule="auto"/>
        <w:jc w:val="left"/>
      </w:pPr>
      <w:r>
        <w:rPr>
          <w:rFonts w:ascii="IBM Plex Mono" w:hAnsi="IBM Plex Mono" w:cs="IBM Plex Mono" w:eastAsia="IBM Plex Mono"/>
          <w:color w:val="1AA653"/>
          <w:sz w:val="18"/>
          <w:szCs w:val="18"/>
        </w:rPr>
        <w:t xml:space="preserve">03    </w:t>
      </w:r>
      <w:r>
        <w:rPr>
          <w:rFonts w:ascii="IBM Plex Sans" w:hAnsi="IBM Plex Sans" w:cs="IBM Plex Sans" w:eastAsia="IBM Plex Sans"/>
          <w:b/>
          <w:color w:val="1AA653"/>
          <w:sz w:val="18"/>
          <w:szCs w:val="18"/>
          <w:bCs/>
        </w:rPr>
        <w:t>Boundaries</w:t>
      </w:r>
    </w:p>
    <w:p>
      <w:pPr>
        <w:keepNext/>
        <w:spacing w:before="0" w:after="160" w:line="288" w:lineRule="auto"/>
        <w:jc w:val="left"/>
      </w:pPr>
      <w:r>
        <w:rPr>
          <w:rFonts w:ascii="IBM Plex Sans" w:hAnsi="IBM Plex Sans" w:cs="IBM Plex Sans" w:eastAsia="IBM Plex Sans"/>
          <w:b/>
          <w:color w:val="0B0C0E"/>
          <w:sz w:val="40"/>
          <w:szCs w:val="40"/>
          <w:bCs/>
        </w:rPr>
        <w:t>What we do, and what we do not do.</w:t>
      </w:r>
    </w:p>
    <w:p>
      <w:pPr>
        <w:keepNext/>
        <w:spacing w:before="0" w:after="160" w:line="360" w:lineRule="auto"/>
        <w:jc w:val="left"/>
      </w:pPr>
      <w:r>
        <w:rPr>
          <w:rFonts w:ascii="IBM Plex Sans" w:hAnsi="IBM Plex Sans" w:cs="IBM Plex Sans" w:eastAsia="IBM Plex Sans"/>
          <w:color w:val="2A2D33"/>
          <w:sz w:val="21"/>
          <w:szCs w:val="21"/>
        </w:rPr>
        <w:t>SYLTRA HEALTH is a layer that understands the pattern, adapts the environment, and turns a meaningful change into verification and a personal response. The limits of that role are written before launch and reviewed with every health claim.</w:t>
      </w:r>
    </w:p>
    <w:tbl>
      <w:tblPr>
        <w:tblW w:type="auto" w:w="0"/>
        <w:jc w:val="center"/>
        <w:tblLayout w:type="fixed"/>
        <w:tblLook w:firstColumn="1" w:firstRow="1" w:lastColumn="0" w:lastRow="0" w:noHBand="0" w:noVBand="1" w:val="04A0"/>
        <w:tblLayout w:type="fixed"/>
      </w:tblPr>
      <w:tblGrid>
        <w:gridCol w:w="4875"/>
        <w:gridCol w:w="4875"/>
      </w:tblGrid>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We detect change</w:t>
            </w:r>
          </w:p>
          <w:p>
            <w:pPr>
              <w:keepNext/>
              <w:spacing w:before="0" w:after="0" w:line="336" w:lineRule="auto"/>
              <w:jc w:val="left"/>
            </w:pPr>
            <w:r>
              <w:rPr>
                <w:rFonts w:ascii="IBM Plex Sans" w:hAnsi="IBM Plex Sans" w:cs="IBM Plex Sans" w:eastAsia="IBM Plex Sans"/>
                <w:color w:val="2A2D33"/>
                <w:sz w:val="17"/>
                <w:szCs w:val="17"/>
              </w:rPr>
              <w:t>We notice unusual changes in pattern, readings, movement and environment.</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We check in first</w:t>
            </w:r>
          </w:p>
          <w:p>
            <w:pPr>
              <w:keepNext/>
              <w:spacing w:before="0" w:after="0" w:line="336" w:lineRule="auto"/>
              <w:jc w:val="left"/>
            </w:pPr>
            <w:r>
              <w:rPr>
                <w:rFonts w:ascii="IBM Plex Sans" w:hAnsi="IBM Plex Sans" w:cs="IBM Plex Sans" w:eastAsia="IBM Plex Sans"/>
                <w:color w:val="2A2D33"/>
                <w:sz w:val="17"/>
                <w:szCs w:val="17"/>
              </w:rPr>
              <w:t>We ask the user directly before any next step.</w:t>
            </w:r>
          </w:p>
        </w:tc>
      </w:tr>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We alert the right person</w:t>
            </w:r>
          </w:p>
          <w:p>
            <w:pPr>
              <w:spacing w:before="0" w:after="0" w:line="336" w:lineRule="auto"/>
              <w:jc w:val="left"/>
            </w:pPr>
            <w:r>
              <w:rPr>
                <w:rFonts w:ascii="IBM Plex Sans" w:hAnsi="IBM Plex Sans" w:cs="IBM Plex Sans" w:eastAsia="IBM Plex Sans"/>
                <w:color w:val="2A2D33"/>
                <w:sz w:val="17"/>
                <w:szCs w:val="17"/>
              </w:rPr>
              <w:t>We reach the most suitable trusted person under the user's plan, with the minimum information.</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We adapt the space</w:t>
            </w:r>
          </w:p>
          <w:p>
            <w:pPr>
              <w:spacing w:before="0" w:after="0" w:line="336" w:lineRule="auto"/>
              <w:jc w:val="left"/>
            </w:pPr>
            <w:r>
              <w:rPr>
                <w:rFonts w:ascii="IBM Plex Sans" w:hAnsi="IBM Plex Sans" w:cs="IBM Plex Sans" w:eastAsia="IBM Plex Sans"/>
                <w:color w:val="2A2D33"/>
                <w:sz w:val="17"/>
                <w:szCs w:val="17"/>
              </w:rPr>
              <w:t>We tie health to the home environment and apply settings the user approved in advance.</w:t>
            </w:r>
          </w:p>
        </w:tc>
      </w:tr>
    </w:tbl>
    <w:p>
      <w:pPr>
        <w:spacing w:before="0" w:after="0" w:line="240" w:lineRule="auto"/>
        <w:jc w:val="left"/>
      </w:pPr>
      <w:r>
        <w:rPr>
          <w:rFonts w:ascii="IBM Plex Sans" w:hAnsi="IBM Plex Sans" w:cs="IBM Plex Sans" w:eastAsia="IBM Plex Sans"/>
          <w:color w:val="0B0C0E"/>
          <w:sz w:val="12"/>
          <w:szCs w:val="12"/>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17181C"/>
            <w:tcBorders>
              <w:top w:val="nil"/>
              <w:bottom w:val="nil"/>
              <w:start w:val="nil"/>
              <w:end w:val="nil"/>
            </w:tcBorders>
            <w:tcMar>
              <w:top w:w="260" w:type="dxa"/>
              <w:bottom w:w="260" w:type="dxa"/>
              <w:start w:w="300" w:type="dxa"/>
              <w:end w:w="300" w:type="dxa"/>
            </w:tcMar>
          </w:tcPr>
          <w:p>
            <w:pPr>
              <w:spacing w:before="0" w:after="160" w:line="312" w:lineRule="auto"/>
              <w:jc w:val="left"/>
            </w:pPr>
            <w:r>
              <w:rPr>
                <w:rFonts w:ascii="IBM Plex Mono" w:hAnsi="IBM Plex Mono" w:cs="IBM Plex Mono" w:eastAsia="IBM Plex Mono"/>
                <w:color w:val="22E06B"/>
                <w:sz w:val="18"/>
                <w:szCs w:val="18"/>
              </w:rPr>
              <w:t>What we do not do</w:t>
            </w:r>
          </w:p>
          <w:p>
            <w:pPr>
              <w:spacing w:before="0" w:after="100" w:line="360" w:lineRule="auto"/>
              <w:jc w:val="left"/>
            </w:pPr>
            <w:r>
              <w:rPr>
                <w:rFonts w:ascii="IBM Plex Sans" w:hAnsi="IBM Plex Sans" w:cs="IBM Plex Sans" w:eastAsia="IBM Plex Sans"/>
                <w:color w:val="ECEDEF"/>
                <w:sz w:val="22"/>
                <w:szCs w:val="22"/>
              </w:rPr>
              <w:t>We do not diagnose, and we do not replace the doctor.</w:t>
            </w:r>
          </w:p>
          <w:p>
            <w:pPr>
              <w:spacing w:before="0" w:after="100" w:line="360" w:lineRule="auto"/>
              <w:jc w:val="left"/>
            </w:pPr>
            <w:r>
              <w:rPr>
                <w:rFonts w:ascii="IBM Plex Sans" w:hAnsi="IBM Plex Sans" w:cs="IBM Plex Sans" w:eastAsia="IBM Plex Sans"/>
                <w:color w:val="ECEDEF"/>
                <w:sz w:val="22"/>
                <w:szCs w:val="22"/>
              </w:rPr>
              <w:t>We are not an emergency service. We do not call an ambulance automatically, and we do not guarantee that help arrives.</w:t>
            </w:r>
          </w:p>
          <w:p>
            <w:pPr>
              <w:spacing w:before="0" w:after="100" w:line="360" w:lineRule="auto"/>
              <w:jc w:val="left"/>
            </w:pPr>
            <w:r>
              <w:rPr>
                <w:rFonts w:ascii="IBM Plex Sans" w:hAnsi="IBM Plex Sans" w:cs="IBM Plex Sans" w:eastAsia="IBM Plex Sans"/>
                <w:color w:val="ECEDEF"/>
                <w:sz w:val="22"/>
                <w:szCs w:val="22"/>
              </w:rPr>
              <w:t>We do not change a dose or a treatment plan. Those decisions stay between the user and the care team.</w:t>
            </w:r>
          </w:p>
          <w:p>
            <w:pPr>
              <w:spacing w:before="0" w:after="100" w:line="360" w:lineRule="auto"/>
              <w:jc w:val="left"/>
            </w:pPr>
            <w:r>
              <w:rPr>
                <w:rFonts w:ascii="IBM Plex Sans" w:hAnsi="IBM Plex Sans" w:cs="IBM Plex Sans" w:eastAsia="IBM Plex Sans"/>
                <w:color w:val="ECEDEF"/>
                <w:sz w:val="22"/>
                <w:szCs w:val="22"/>
              </w:rPr>
              <w:t>We do not collect data because it is available, and we never share more than the minimum necessary.</w:t>
            </w:r>
          </w:p>
        </w:tc>
      </w:tr>
    </w:tbl>
    <w:p>
      <w:pPr>
        <w:spacing w:before="0" w:after="0" w:line="240" w:lineRule="auto"/>
        <w:jc w:val="left"/>
      </w:pPr>
      <w:r>
        <w:rPr>
          <w:rFonts w:ascii="IBM Plex Sans" w:hAnsi="IBM Plex Sans" w:cs="IBM Plex Sans" w:eastAsia="IBM Plex Sans"/>
          <w:color w:val="0B0C0E"/>
          <w:sz w:val="16"/>
          <w:szCs w:val="16"/>
        </w:rPr>
      </w:r>
    </w:p>
    <w:p>
      <w:pPr>
        <w:spacing w:before="0" w:after="160" w:line="348" w:lineRule="auto"/>
        <w:jc w:val="left"/>
      </w:pPr>
      <w:r>
        <w:rPr>
          <w:rFonts w:ascii="IBM Plex Sans" w:hAnsi="IBM Plex Sans" w:cs="IBM Plex Sans" w:eastAsia="IBM Plex Sans"/>
          <w:color w:val="5B6068"/>
          <w:sz w:val="17"/>
          <w:szCs w:val="17"/>
        </w:rPr>
        <w:t>Technology designed to support understanding and follow-up. It does not replace medical evaluation or care. For an emergency or concerning symptoms, contact emergency services or a care provider directly.</w:t>
      </w:r>
    </w:p>
    <w:p>
      <w:pPr>
        <w:spacing w:before="0" w:after="0" w:line="240" w:lineRule="auto"/>
        <w:jc w:val="left"/>
      </w:pPr>
      <w:r>
        <w:rPr>
          <w:rFonts w:ascii="IBM Plex Sans" w:hAnsi="IBM Plex Sans" w:cs="IBM Plex Sans" w:eastAsia="IBM Plex Sans"/>
          <w:color w:val="0B0C0E"/>
          <w:sz w:val="44"/>
          <w:szCs w:val="44"/>
        </w:rPr>
      </w:r>
    </w:p>
    <w:p>
      <w:pPr>
        <w:keepNext/>
        <w:spacing w:before="0" w:after="120" w:line="288" w:lineRule="auto"/>
        <w:jc w:val="left"/>
      </w:pPr>
      <w:r>
        <w:rPr>
          <w:rFonts w:ascii="IBM Plex Mono" w:hAnsi="IBM Plex Mono" w:cs="IBM Plex Mono" w:eastAsia="IBM Plex Mono"/>
          <w:color w:val="1AA653"/>
          <w:sz w:val="18"/>
          <w:szCs w:val="18"/>
        </w:rPr>
        <w:t xml:space="preserve">04    </w:t>
      </w:r>
      <w:r>
        <w:rPr>
          <w:rFonts w:ascii="IBM Plex Sans" w:hAnsi="IBM Plex Sans" w:cs="IBM Plex Sans" w:eastAsia="IBM Plex Sans"/>
          <w:b/>
          <w:color w:val="1AA653"/>
          <w:sz w:val="18"/>
          <w:szCs w:val="18"/>
          <w:bCs/>
        </w:rPr>
        <w:t>How it works</w:t>
      </w:r>
    </w:p>
    <w:p>
      <w:pPr>
        <w:keepNext/>
        <w:spacing w:before="0" w:after="160" w:line="288" w:lineRule="auto"/>
        <w:jc w:val="left"/>
      </w:pPr>
      <w:r>
        <w:rPr>
          <w:rFonts w:ascii="IBM Plex Sans" w:hAnsi="IBM Plex Sans" w:cs="IBM Plex Sans" w:eastAsia="IBM Plex Sans"/>
          <w:b/>
          <w:color w:val="0B0C0E"/>
          <w:sz w:val="40"/>
          <w:szCs w:val="40"/>
          <w:bCs/>
        </w:rPr>
        <w:t>From signals to response.</w:t>
      </w:r>
    </w:p>
    <w:p>
      <w:pPr>
        <w:keepNext/>
        <w:spacing w:before="0" w:after="160" w:line="360" w:lineRule="auto"/>
        <w:jc w:val="left"/>
      </w:pPr>
      <w:r>
        <w:rPr>
          <w:rFonts w:ascii="IBM Plex Sans" w:hAnsi="IBM Plex Sans" w:cs="IBM Plex Sans" w:eastAsia="IBM Plex Sans"/>
          <w:color w:val="2A2D33"/>
          <w:sz w:val="21"/>
          <w:szCs w:val="21"/>
        </w:rPr>
        <w:t>The journey has four steps: connect, learn your pattern, adapt your space, verify and respond.</w:t>
      </w:r>
    </w:p>
    <w:tbl>
      <w:tblPr>
        <w:tblW w:type="auto" w:w="0"/>
        <w:jc w:val="center"/>
        <w:tblLayout w:type="fixed"/>
        <w:tblLook w:firstColumn="1" w:firstRow="1" w:lastColumn="0" w:lastRow="0" w:noHBand="0" w:noVBand="1" w:val="04A0"/>
        <w:tblLayout w:type="fixed"/>
      </w:tblPr>
      <w:tblGrid>
        <w:gridCol w:w="4875"/>
        <w:gridCol w:w="4875"/>
      </w:tblGrid>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Connect</w:t>
            </w:r>
          </w:p>
          <w:p>
            <w:pPr>
              <w:keepNext/>
              <w:spacing w:before="0" w:after="0" w:line="336" w:lineRule="auto"/>
              <w:jc w:val="left"/>
            </w:pPr>
            <w:r>
              <w:rPr>
                <w:rFonts w:ascii="IBM Plex Sans" w:hAnsi="IBM Plex Sans" w:cs="IBM Plex Sans" w:eastAsia="IBM Plex Sans"/>
                <w:color w:val="2A2D33"/>
                <w:sz w:val="17"/>
                <w:szCs w:val="17"/>
              </w:rPr>
              <w:t>Choose the compatible devices, apps and sensors. Connection does not begin without your permission, with specific consent for each data type.</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Learn your pattern</w:t>
            </w:r>
          </w:p>
          <w:p>
            <w:pPr>
              <w:keepNext/>
              <w:spacing w:before="0" w:after="0" w:line="336" w:lineRule="auto"/>
              <w:jc w:val="left"/>
            </w:pPr>
            <w:r>
              <w:rPr>
                <w:rFonts w:ascii="IBM Plex Sans" w:hAnsi="IBM Plex Sans" w:cs="IBM Plex Sans" w:eastAsia="IBM Plex Sans"/>
                <w:color w:val="2A2D33"/>
                <w:sz w:val="17"/>
                <w:szCs w:val="17"/>
              </w:rPr>
              <w:t>The platform builds your baseline: sleep times, usual movement, and the home environment tied to your comfort.</w:t>
            </w:r>
          </w:p>
        </w:tc>
      </w:tr>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Adapt your space</w:t>
            </w:r>
          </w:p>
          <w:p>
            <w:pPr>
              <w:spacing w:before="0" w:after="0" w:line="336" w:lineRule="auto"/>
              <w:jc w:val="left"/>
            </w:pPr>
            <w:r>
              <w:rPr>
                <w:rFonts w:ascii="IBM Plex Sans" w:hAnsi="IBM Plex Sans" w:cs="IBM Plex Sans" w:eastAsia="IBM Plex Sans"/>
                <w:color w:val="2A2D33"/>
                <w:sz w:val="17"/>
                <w:szCs w:val="17"/>
              </w:rPr>
              <w:t>The home runs settings you approved in advance: temperature, better ventilation, suitable lighting, and reminders to move or measure.</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Verify and respond</w:t>
            </w:r>
          </w:p>
          <w:p>
            <w:pPr>
              <w:spacing w:before="0" w:after="0" w:line="336" w:lineRule="auto"/>
              <w:jc w:val="left"/>
            </w:pPr>
            <w:r>
              <w:rPr>
                <w:rFonts w:ascii="IBM Plex Sans" w:hAnsi="IBM Plex Sans" w:cs="IBM Plex Sans" w:eastAsia="IBM Plex Sans"/>
                <w:color w:val="2A2D33"/>
                <w:sz w:val="17"/>
                <w:szCs w:val="17"/>
              </w:rPr>
              <w:t>On a meaningful change, it checks in with you first, then reaches the most suitable trusted person under the response plan you chose.</w:t>
            </w:r>
          </w:p>
        </w:tc>
      </w:tr>
    </w:tbl>
    <w:p>
      <w:pPr>
        <w:spacing w:before="0" w:after="0" w:line="240" w:lineRule="auto"/>
        <w:jc w:val="left"/>
      </w:pPr>
      <w:r>
        <w:rPr>
          <w:rFonts w:ascii="IBM Plex Sans" w:hAnsi="IBM Plex Sans" w:cs="IBM Plex Sans" w:eastAsia="IBM Plex Sans"/>
          <w:color w:val="0B0C0E"/>
          <w:sz w:val="12"/>
          <w:szCs w:val="12"/>
        </w:rPr>
      </w:r>
    </w:p>
    <w:p>
      <w:pPr>
        <w:keepNext/>
        <w:spacing w:before="160" w:after="120" w:line="312" w:lineRule="auto"/>
        <w:jc w:val="left"/>
      </w:pPr>
      <w:r>
        <w:rPr>
          <w:rFonts w:ascii="IBM Plex Sans" w:hAnsi="IBM Plex Sans" w:cs="IBM Plex Sans" w:eastAsia="IBM Plex Sans"/>
          <w:b/>
          <w:color w:val="0B0C0E"/>
          <w:sz w:val="28"/>
          <w:szCs w:val="28"/>
          <w:bCs/>
        </w:rPr>
        <w:t>The intelligent response path on an unusual change</w:t>
      </w:r>
    </w:p>
    <w:tbl>
      <w:tblPr>
        <w:tblW w:type="auto" w:w="0"/>
        <w:jc w:val="center"/>
        <w:tblLayout w:type="fixed"/>
        <w:tblLook w:firstColumn="1" w:firstRow="1" w:lastColumn="0" w:lastRow="0" w:noHBand="0" w:noVBand="1" w:val="04A0"/>
        <w:tblLayout w:type="fixed"/>
      </w:tblPr>
      <w:tblGrid>
        <w:gridCol w:w="680"/>
        <w:gridCol w:w="9070"/>
      </w:tblGrid>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01</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Collect signals</w:t>
            </w:r>
          </w:p>
          <w:p>
            <w:pPr>
              <w:keepNext/>
              <w:spacing w:before="0" w:after="0" w:line="336" w:lineRule="auto"/>
              <w:jc w:val="left"/>
            </w:pPr>
            <w:r>
              <w:rPr>
                <w:rFonts w:ascii="IBM Plex Sans" w:hAnsi="IBM Plex Sans" w:cs="IBM Plex Sans" w:eastAsia="IBM Plex Sans"/>
                <w:color w:val="2A2D33"/>
                <w:sz w:val="17"/>
                <w:szCs w:val="17"/>
              </w:rPr>
              <w:t>Health signals, movement, presence and home environment at the same moment.</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02</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Compare to baseline</w:t>
            </w:r>
          </w:p>
          <w:p>
            <w:pPr>
              <w:keepNext/>
              <w:spacing w:before="0" w:after="0" w:line="336" w:lineRule="auto"/>
              <w:jc w:val="left"/>
            </w:pPr>
            <w:r>
              <w:rPr>
                <w:rFonts w:ascii="IBM Plex Sans" w:hAnsi="IBM Plex Sans" w:cs="IBM Plex Sans" w:eastAsia="IBM Plex Sans"/>
                <w:color w:val="2A2D33"/>
                <w:sz w:val="17"/>
                <w:szCs w:val="17"/>
              </w:rPr>
              <w:t>Comparing signals to your personal baseline and history to gauge the alert level.</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03</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Check in with you</w:t>
            </w:r>
          </w:p>
          <w:p>
            <w:pPr>
              <w:keepNext/>
              <w:spacing w:before="0" w:after="0" w:line="336" w:lineRule="auto"/>
              <w:jc w:val="left"/>
            </w:pPr>
            <w:r>
              <w:rPr>
                <w:rFonts w:ascii="IBM Plex Sans" w:hAnsi="IBM Plex Sans" w:cs="IBM Plex Sans" w:eastAsia="IBM Plex Sans"/>
                <w:color w:val="2A2D33"/>
                <w:sz w:val="17"/>
                <w:szCs w:val="17"/>
              </w:rPr>
              <w:t>A direct check-in on your phone, watch or home screen: are you okay?</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04</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Wait for a response</w:t>
            </w:r>
          </w:p>
          <w:p>
            <w:pPr>
              <w:keepNext/>
              <w:spacing w:before="0" w:after="0" w:line="336" w:lineRule="auto"/>
              <w:jc w:val="left"/>
            </w:pPr>
            <w:r>
              <w:rPr>
                <w:rFonts w:ascii="IBM Plex Sans" w:hAnsi="IBM Plex Sans" w:cs="IBM Plex Sans" w:eastAsia="IBM Plex Sans"/>
                <w:color w:val="2A2D33"/>
                <w:sz w:val="17"/>
                <w:szCs w:val="17"/>
              </w:rPr>
              <w:t>Waiting for the period you defined before any next step.</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05</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Choose the right person</w:t>
            </w:r>
          </w:p>
          <w:p>
            <w:pPr>
              <w:keepNext/>
              <w:spacing w:before="0" w:after="0" w:line="336" w:lineRule="auto"/>
              <w:jc w:val="left"/>
            </w:pPr>
            <w:r>
              <w:rPr>
                <w:rFonts w:ascii="IBM Plex Sans" w:hAnsi="IBM Plex Sans" w:cs="IBM Plex Sans" w:eastAsia="IBM Plex Sans"/>
                <w:color w:val="2A2D33"/>
                <w:sz w:val="17"/>
                <w:szCs w:val="17"/>
              </w:rPr>
              <w:t>Selecting the most suitable trusted person by proximity, arrival time and acceptance.</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spacing w:before="40" w:after="0" w:line="312" w:lineRule="auto"/>
              <w:jc w:val="left"/>
            </w:pPr>
            <w:r>
              <w:rPr>
                <w:rFonts w:ascii="IBM Plex Mono" w:hAnsi="IBM Plex Mono" w:cs="IBM Plex Mono" w:eastAsia="IBM Plex Mono"/>
                <w:color w:val="1AA653"/>
                <w:sz w:val="22"/>
                <w:szCs w:val="22"/>
              </w:rPr>
              <w:t>06</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Approved escalation</w:t>
            </w:r>
          </w:p>
          <w:p>
            <w:pPr>
              <w:spacing w:before="0" w:after="0" w:line="336" w:lineRule="auto"/>
              <w:jc w:val="left"/>
            </w:pPr>
            <w:r>
              <w:rPr>
                <w:rFonts w:ascii="IBM Plex Sans" w:hAnsi="IBM Plex Sans" w:cs="IBM Plex Sans" w:eastAsia="IBM Plex Sans"/>
                <w:color w:val="2A2D33"/>
                <w:sz w:val="17"/>
                <w:szCs w:val="17"/>
              </w:rPr>
              <w:t>Escalating under the plan you approved in advance, with minimal information.</w:t>
            </w:r>
          </w:p>
        </w:tc>
      </w:tr>
    </w:tbl>
    <w:p>
      <w:pPr>
        <w:spacing w:before="0" w:after="0" w:line="240" w:lineRule="auto"/>
        <w:jc w:val="left"/>
      </w:pPr>
      <w:r>
        <w:rPr>
          <w:rFonts w:ascii="IBM Plex Sans" w:hAnsi="IBM Plex Sans" w:cs="IBM Plex Sans" w:eastAsia="IBM Plex Sans"/>
          <w:color w:val="0B0C0E"/>
          <w:sz w:val="16"/>
          <w:szCs w:val="16"/>
        </w:rPr>
      </w:r>
    </w:p>
    <w:p>
      <w:pPr>
        <w:keepNext/>
        <w:spacing w:before="160" w:after="120" w:line="312" w:lineRule="auto"/>
        <w:jc w:val="left"/>
      </w:pPr>
      <w:r>
        <w:rPr>
          <w:rFonts w:ascii="IBM Plex Sans" w:hAnsi="IBM Plex Sans" w:cs="IBM Plex Sans" w:eastAsia="IBM Plex Sans"/>
          <w:b/>
          <w:color w:val="0B0C0E"/>
          <w:sz w:val="28"/>
          <w:szCs w:val="28"/>
          <w:bCs/>
        </w:rPr>
        <w:t>Four response levels</w:t>
      </w:r>
    </w:p>
    <w:tbl>
      <w:tblPr>
        <w:tblW w:type="auto" w:w="0"/>
        <w:jc w:val="center"/>
        <w:tblLayout w:type="fixed"/>
        <w:tblLook w:firstColumn="1" w:firstRow="1" w:lastColumn="0" w:lastRow="0" w:noHBand="0" w:noVBand="1" w:val="04A0"/>
        <w:tblLayout w:type="fixed"/>
      </w:tblPr>
      <w:tblGrid>
        <w:gridCol w:w="2267"/>
        <w:gridCol w:w="2381"/>
        <w:gridCol w:w="5102"/>
      </w:tblGrid>
      <w:tr>
        <w:trPr>
          <w:cantSplit/>
        </w:trPr>
        <w:tc>
          <w:tcPr>
            <w:tcW w:type="dxa" w:w="2268"/>
            <w:shd w:val="clear" w:color="auto" w:fill="17181C"/>
            <w:tcBorders>
              <w:top w:val="nil"/>
              <w:bottom w:val="nil"/>
              <w:start w:val="nil"/>
              <w:end w:val="nil"/>
            </w:tcBorders>
            <w:tcMar>
              <w:top w:w="110" w:type="dxa"/>
              <w:bottom w:w="110" w:type="dxa"/>
              <w:start w:w="140" w:type="dxa"/>
              <w:end w:w="140" w:type="dxa"/>
            </w:tcMar>
          </w:tcPr>
          <w:p>
            <w:pPr>
              <w:keepNext/>
              <w:spacing w:before="0" w:after="0" w:line="312" w:lineRule="auto"/>
              <w:jc w:val="left"/>
            </w:pPr>
            <w:r>
              <w:rPr>
                <w:rFonts w:ascii="IBM Plex Mono" w:hAnsi="IBM Plex Mono" w:cs="IBM Plex Mono" w:eastAsia="IBM Plex Mono"/>
                <w:color w:val="ECEDEF"/>
                <w:sz w:val="17"/>
                <w:szCs w:val="17"/>
              </w:rPr>
              <w:t>Level</w:t>
            </w:r>
          </w:p>
        </w:tc>
        <w:tc>
          <w:tcPr>
            <w:tcW w:type="dxa" w:w="2381"/>
            <w:shd w:val="clear" w:color="auto" w:fill="17181C"/>
            <w:tcBorders>
              <w:top w:val="nil"/>
              <w:bottom w:val="nil"/>
              <w:start w:val="nil"/>
              <w:end w:val="nil"/>
            </w:tcBorders>
            <w:tcMar>
              <w:top w:w="110" w:type="dxa"/>
              <w:bottom w:w="110" w:type="dxa"/>
              <w:start w:w="140" w:type="dxa"/>
              <w:end w:w="140" w:type="dxa"/>
            </w:tcMar>
          </w:tcPr>
          <w:p>
            <w:pPr>
              <w:keepNext/>
              <w:spacing w:before="0" w:after="0" w:line="312" w:lineRule="auto"/>
              <w:jc w:val="left"/>
            </w:pPr>
            <w:r>
              <w:rPr>
                <w:rFonts w:ascii="IBM Plex Mono" w:hAnsi="IBM Plex Mono" w:cs="IBM Plex Mono" w:eastAsia="IBM Plex Mono"/>
                <w:color w:val="ECEDEF"/>
                <w:sz w:val="17"/>
                <w:szCs w:val="17"/>
              </w:rPr>
              <w:t>When</w:t>
            </w:r>
          </w:p>
        </w:tc>
        <w:tc>
          <w:tcPr>
            <w:tcW w:type="dxa" w:w="5102"/>
            <w:shd w:val="clear" w:color="auto" w:fill="17181C"/>
            <w:tcBorders>
              <w:top w:val="nil"/>
              <w:bottom w:val="nil"/>
              <w:start w:val="nil"/>
              <w:end w:val="nil"/>
            </w:tcBorders>
            <w:tcMar>
              <w:top w:w="110" w:type="dxa"/>
              <w:bottom w:w="110" w:type="dxa"/>
              <w:start w:w="140" w:type="dxa"/>
              <w:end w:w="140" w:type="dxa"/>
            </w:tcMar>
          </w:tcPr>
          <w:p>
            <w:pPr>
              <w:keepNext/>
              <w:spacing w:before="0" w:after="0" w:line="312" w:lineRule="auto"/>
              <w:jc w:val="left"/>
            </w:pPr>
            <w:r>
              <w:rPr>
                <w:rFonts w:ascii="IBM Plex Mono" w:hAnsi="IBM Plex Mono" w:cs="IBM Plex Mono" w:eastAsia="IBM Plex Mono"/>
                <w:color w:val="ECEDEF"/>
                <w:sz w:val="17"/>
                <w:szCs w:val="17"/>
              </w:rPr>
              <w:t>What happens</w:t>
            </w:r>
          </w:p>
        </w:tc>
      </w:tr>
      <w:tr>
        <w:trPr>
          <w:cantSplit/>
        </w:trPr>
        <w:tc>
          <w:tcPr>
            <w:tcW w:type="dxa" w:w="2268"/>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Everyday support</w:t>
            </w:r>
          </w:p>
        </w:tc>
        <w:tc>
          <w:tcPr>
            <w:tcW w:type="dxa" w:w="238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Every day</w:t>
            </w:r>
          </w:p>
        </w:tc>
        <w:tc>
          <w:tcPr>
            <w:tcW w:type="dxa" w:w="5102"/>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Reminders to move, measure or hydrate, and comfort-setting adjustments.</w:t>
            </w:r>
          </w:p>
        </w:tc>
      </w:tr>
      <w:tr>
        <w:trPr>
          <w:cantSplit/>
        </w:trPr>
        <w:tc>
          <w:tcPr>
            <w:tcW w:type="dxa" w:w="2268"/>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Check-in</w:t>
            </w:r>
          </w:p>
        </w:tc>
        <w:tc>
          <w:tcPr>
            <w:tcW w:type="dxa" w:w="238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A noticeable change</w:t>
            </w:r>
          </w:p>
        </w:tc>
        <w:tc>
          <w:tcPr>
            <w:tcW w:type="dxa" w:w="5102"/>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A direct question to you when a pattern or reading shifts.</w:t>
            </w:r>
          </w:p>
        </w:tc>
      </w:tr>
      <w:tr>
        <w:trPr>
          <w:cantSplit/>
        </w:trPr>
        <w:tc>
          <w:tcPr>
            <w:tcW w:type="dxa" w:w="2268"/>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Alert a trusted person</w:t>
            </w:r>
          </w:p>
        </w:tc>
        <w:tc>
          <w:tcPr>
            <w:tcW w:type="dxa" w:w="238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A request for help, or no response</w:t>
            </w:r>
          </w:p>
        </w:tc>
        <w:tc>
          <w:tcPr>
            <w:tcW w:type="dxa" w:w="5102"/>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Alerting the most suitable person when you ask for help, or do not respond while signals coincide.</w:t>
            </w:r>
          </w:p>
        </w:tc>
      </w:tr>
      <w:tr>
        <w:trPr>
          <w:cantSplit/>
        </w:trPr>
        <w:tc>
          <w:tcPr>
            <w:tcW w:type="dxa" w:w="2268"/>
            <w:tcBorders>
              <w:top w:val="nil"/>
              <w:bottom w:val="single" w:sz="6" w:color="ECEDEF"/>
              <w:start w:val="nil"/>
              <w:end w:val="nil"/>
            </w:tcBorders>
            <w:tcMar>
              <w:top w:w="120" w:type="dxa"/>
              <w:bottom w:w="120" w:type="dxa"/>
              <w:start w:w="140" w:type="dxa"/>
              <w:end w:w="140" w:type="dxa"/>
            </w:tcMar>
          </w:tcPr>
          <w:p>
            <w:pPr>
              <w:spacing w:before="0" w:after="0" w:line="336" w:lineRule="auto"/>
              <w:jc w:val="left"/>
            </w:pPr>
            <w:r>
              <w:rPr>
                <w:rFonts w:ascii="IBM Plex Sans" w:hAnsi="IBM Plex Sans" w:cs="IBM Plex Sans" w:eastAsia="IBM Plex Sans"/>
                <w:b/>
                <w:color w:val="0B0C0E"/>
                <w:sz w:val="19"/>
                <w:szCs w:val="19"/>
                <w:bCs/>
              </w:rPr>
              <w:t>Approved escalation</w:t>
            </w:r>
          </w:p>
        </w:tc>
        <w:tc>
          <w:tcPr>
            <w:tcW w:type="dxa" w:w="2381"/>
            <w:tcBorders>
              <w:top w:val="nil"/>
              <w:bottom w:val="single" w:sz="6" w:color="ECEDEF"/>
              <w:start w:val="nil"/>
              <w:end w:val="nil"/>
            </w:tcBorders>
            <w:tcMar>
              <w:top w:w="120" w:type="dxa"/>
              <w:bottom w:w="120" w:type="dxa"/>
              <w:start w:w="140" w:type="dxa"/>
              <w:end w:w="140" w:type="dxa"/>
            </w:tcMar>
          </w:tcPr>
          <w:p>
            <w:pPr>
              <w:spacing w:before="0" w:after="0" w:line="336" w:lineRule="auto"/>
              <w:jc w:val="left"/>
            </w:pPr>
            <w:r>
              <w:rPr>
                <w:rFonts w:ascii="IBM Plex Sans" w:hAnsi="IBM Plex Sans" w:cs="IBM Plex Sans" w:eastAsia="IBM Plex Sans"/>
                <w:color w:val="2A2D33"/>
                <w:sz w:val="18"/>
                <w:szCs w:val="18"/>
              </w:rPr>
              <w:t>Within a documented plan</w:t>
            </w:r>
          </w:p>
        </w:tc>
        <w:tc>
          <w:tcPr>
            <w:tcW w:type="dxa" w:w="5102"/>
            <w:tcBorders>
              <w:top w:val="nil"/>
              <w:bottom w:val="single" w:sz="6" w:color="ECEDEF"/>
              <w:start w:val="nil"/>
              <w:end w:val="nil"/>
            </w:tcBorders>
            <w:tcMar>
              <w:top w:w="120" w:type="dxa"/>
              <w:bottom w:w="120" w:type="dxa"/>
              <w:start w:w="140" w:type="dxa"/>
              <w:end w:w="140" w:type="dxa"/>
            </w:tcMar>
          </w:tcPr>
          <w:p>
            <w:pPr>
              <w:spacing w:before="0" w:after="0" w:line="336" w:lineRule="auto"/>
              <w:jc w:val="left"/>
            </w:pPr>
            <w:r>
              <w:rPr>
                <w:rFonts w:ascii="IBM Plex Sans" w:hAnsi="IBM Plex Sans" w:cs="IBM Plex Sans" w:eastAsia="IBM Plex Sans"/>
                <w:color w:val="2A2D33"/>
                <w:sz w:val="18"/>
                <w:szCs w:val="18"/>
              </w:rPr>
              <w:t>A further step once official integrations and approvals are in place.</w:t>
            </w:r>
          </w:p>
        </w:tc>
      </w:tr>
    </w:tbl>
    <w:p>
      <w:pPr>
        <w:spacing w:before="0" w:after="0" w:line="240" w:lineRule="auto"/>
        <w:jc w:val="left"/>
      </w:pPr>
      <w:r>
        <w:rPr>
          <w:rFonts w:ascii="IBM Plex Sans" w:hAnsi="IBM Plex Sans" w:cs="IBM Plex Sans" w:eastAsia="IBM Plex Sans"/>
          <w:color w:val="0B0C0E"/>
          <w:sz w:val="16"/>
          <w:szCs w:val="16"/>
        </w:rPr>
      </w:r>
    </w:p>
    <w:p>
      <w:pPr>
        <w:spacing w:before="0" w:after="0" w:line="240" w:lineRule="auto"/>
        <w:jc w:val="left"/>
      </w:pPr>
      <w:r>
        <w:rPr>
          <w:rFonts w:ascii="IBM Plex Sans" w:hAnsi="IBM Plex Sans" w:cs="IBM Plex Sans" w:eastAsia="IBM Plex Sans"/>
          <w:color w:val="0B0C0E"/>
          <w:sz w:val="44"/>
          <w:szCs w:val="44"/>
        </w:rPr>
      </w:r>
    </w:p>
    <w:p>
      <w:pPr>
        <w:keepNext/>
        <w:spacing w:before="0" w:after="120" w:line="288" w:lineRule="auto"/>
        <w:jc w:val="left"/>
      </w:pPr>
      <w:r>
        <w:rPr>
          <w:rFonts w:ascii="IBM Plex Mono" w:hAnsi="IBM Plex Mono" w:cs="IBM Plex Mono" w:eastAsia="IBM Plex Mono"/>
          <w:color w:val="1AA653"/>
          <w:sz w:val="18"/>
          <w:szCs w:val="18"/>
        </w:rPr>
        <w:t xml:space="preserve">05    </w:t>
      </w:r>
      <w:r>
        <w:rPr>
          <w:rFonts w:ascii="IBM Plex Sans" w:hAnsi="IBM Plex Sans" w:cs="IBM Plex Sans" w:eastAsia="IBM Plex Sans"/>
          <w:b/>
          <w:color w:val="1AA653"/>
          <w:sz w:val="18"/>
          <w:szCs w:val="18"/>
          <w:bCs/>
        </w:rPr>
        <w:t>The system</w:t>
      </w:r>
    </w:p>
    <w:p>
      <w:pPr>
        <w:keepNext/>
        <w:spacing w:before="0" w:after="160" w:line="288" w:lineRule="auto"/>
        <w:jc w:val="left"/>
      </w:pPr>
      <w:r>
        <w:rPr>
          <w:rFonts w:ascii="IBM Plex Sans" w:hAnsi="IBM Plex Sans" w:cs="IBM Plex Sans" w:eastAsia="IBM Plex Sans"/>
          <w:b/>
          <w:color w:val="0B0C0E"/>
          <w:sz w:val="40"/>
          <w:szCs w:val="40"/>
          <w:bCs/>
        </w:rPr>
        <w:t>Five components, one outcome.</w:t>
      </w:r>
    </w:p>
    <w:p>
      <w:pPr>
        <w:keepNext/>
        <w:spacing w:before="0" w:after="160" w:line="360" w:lineRule="auto"/>
        <w:jc w:val="left"/>
      </w:pPr>
      <w:r>
        <w:rPr>
          <w:rFonts w:ascii="IBM Plex Sans" w:hAnsi="IBM Plex Sans" w:cs="IBM Plex Sans" w:eastAsia="IBM Plex Sans"/>
          <w:color w:val="2A2D33"/>
          <w:sz w:val="21"/>
          <w:szCs w:val="21"/>
        </w:rPr>
        <w:t>Intelligent response is not a feature added at the end. It is the outcome the four components before it work toward.</w:t>
      </w:r>
    </w:p>
    <w:tbl>
      <w:tblPr>
        <w:tblW w:type="auto" w:w="0"/>
        <w:jc w:val="center"/>
        <w:tblLayout w:type="fixed"/>
        <w:tblLook w:firstColumn="1" w:firstRow="1" w:lastColumn="0" w:lastRow="0" w:noHBand="0" w:noVBand="1" w:val="04A0"/>
        <w:tblLayout w:type="fixed"/>
      </w:tblPr>
      <w:tblGrid>
        <w:gridCol w:w="2551"/>
        <w:gridCol w:w="7200"/>
      </w:tblGrid>
      <w:tr>
        <w:trPr>
          <w:cantSplit/>
        </w:trPr>
        <w:tc>
          <w:tcPr>
            <w:tcW w:type="dxa" w:w="2551"/>
            <w:shd w:val="clear" w:color="auto" w:fill="17181C"/>
            <w:tcBorders>
              <w:top w:val="nil"/>
              <w:bottom w:val="nil"/>
              <w:start w:val="nil"/>
              <w:end w:val="nil"/>
            </w:tcBorders>
            <w:tcMar>
              <w:top w:w="110" w:type="dxa"/>
              <w:bottom w:w="110" w:type="dxa"/>
              <w:start w:w="140" w:type="dxa"/>
              <w:end w:w="140" w:type="dxa"/>
            </w:tcMar>
          </w:tcPr>
          <w:p>
            <w:pPr>
              <w:keepNext/>
              <w:spacing w:before="0" w:after="0" w:line="312" w:lineRule="auto"/>
              <w:jc w:val="left"/>
            </w:pPr>
            <w:r>
              <w:rPr>
                <w:rFonts w:ascii="IBM Plex Mono" w:hAnsi="IBM Plex Mono" w:cs="IBM Plex Mono" w:eastAsia="IBM Plex Mono"/>
                <w:color w:val="ECEDEF"/>
                <w:sz w:val="17"/>
                <w:szCs w:val="17"/>
              </w:rPr>
              <w:t>Component</w:t>
            </w:r>
          </w:p>
        </w:tc>
        <w:tc>
          <w:tcPr>
            <w:tcW w:type="dxa" w:w="7200"/>
            <w:shd w:val="clear" w:color="auto" w:fill="17181C"/>
            <w:tcBorders>
              <w:top w:val="nil"/>
              <w:bottom w:val="nil"/>
              <w:start w:val="nil"/>
              <w:end w:val="nil"/>
            </w:tcBorders>
            <w:tcMar>
              <w:top w:w="110" w:type="dxa"/>
              <w:bottom w:w="110" w:type="dxa"/>
              <w:start w:w="140" w:type="dxa"/>
              <w:end w:w="140" w:type="dxa"/>
            </w:tcMar>
          </w:tcPr>
          <w:p>
            <w:pPr>
              <w:keepNext/>
              <w:spacing w:before="0" w:after="0" w:line="312" w:lineRule="auto"/>
              <w:jc w:val="left"/>
            </w:pPr>
            <w:r>
              <w:rPr>
                <w:rFonts w:ascii="IBM Plex Mono" w:hAnsi="IBM Plex Mono" w:cs="IBM Plex Mono" w:eastAsia="IBM Plex Mono"/>
                <w:color w:val="ECEDEF"/>
                <w:sz w:val="17"/>
                <w:szCs w:val="17"/>
              </w:rPr>
              <w:t>Role</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Connected Health</w:t>
            </w:r>
          </w:p>
        </w:tc>
        <w:tc>
          <w:tcPr>
            <w:tcW w:type="dxa" w:w="7200"/>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Connecting health and fitness data from approved, authorized sources.</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Home Awareness</w:t>
            </w:r>
          </w:p>
        </w:tc>
        <w:tc>
          <w:tcPr>
            <w:tcW w:type="dxa" w:w="7200"/>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Understanding movement, presence and the home environment.</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Personal Baseline</w:t>
            </w:r>
          </w:p>
        </w:tc>
        <w:tc>
          <w:tcPr>
            <w:tcW w:type="dxa" w:w="7200"/>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Learning each user's normal pattern over time.</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Adaptive Environment</w:t>
            </w:r>
          </w:p>
        </w:tc>
        <w:tc>
          <w:tcPr>
            <w:tcW w:type="dxa" w:w="7200"/>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Adapting the home environment to health settings and routine.</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spacing w:before="0" w:after="0" w:line="336" w:lineRule="auto"/>
              <w:jc w:val="left"/>
            </w:pPr>
            <w:r>
              <w:rPr>
                <w:rFonts w:ascii="IBM Plex Sans" w:hAnsi="IBM Plex Sans" w:cs="IBM Plex Sans" w:eastAsia="IBM Plex Sans"/>
                <w:b/>
                <w:color w:val="0B0C0E"/>
                <w:sz w:val="19"/>
                <w:szCs w:val="19"/>
                <w:bCs/>
              </w:rPr>
              <w:t>Intelligent Response</w:t>
            </w:r>
          </w:p>
        </w:tc>
        <w:tc>
          <w:tcPr>
            <w:tcW w:type="dxa" w:w="7200"/>
            <w:tcBorders>
              <w:top w:val="nil"/>
              <w:bottom w:val="single" w:sz="6" w:color="ECEDEF"/>
              <w:start w:val="nil"/>
              <w:end w:val="nil"/>
            </w:tcBorders>
            <w:tcMar>
              <w:top w:w="120" w:type="dxa"/>
              <w:bottom w:w="120" w:type="dxa"/>
              <w:start w:w="140" w:type="dxa"/>
              <w:end w:w="140" w:type="dxa"/>
            </w:tcMar>
          </w:tcPr>
          <w:p>
            <w:pPr>
              <w:spacing w:before="0" w:after="0" w:line="336" w:lineRule="auto"/>
              <w:jc w:val="left"/>
            </w:pPr>
            <w:r>
              <w:rPr>
                <w:rFonts w:ascii="IBM Plex Sans" w:hAnsi="IBM Plex Sans" w:cs="IBM Plex Sans" w:eastAsia="IBM Plex Sans"/>
                <w:color w:val="2A2D33"/>
                <w:sz w:val="18"/>
                <w:szCs w:val="18"/>
              </w:rPr>
              <w:t>Turning meaningful changes into verification, alerting and personal escalation.</w:t>
            </w:r>
          </w:p>
        </w:tc>
      </w:tr>
    </w:tbl>
    <w:p>
      <w:pPr>
        <w:spacing w:before="0" w:after="0" w:line="240" w:lineRule="auto"/>
        <w:jc w:val="left"/>
      </w:pPr>
      <w:r>
        <w:rPr>
          <w:rFonts w:ascii="IBM Plex Sans" w:hAnsi="IBM Plex Sans" w:cs="IBM Plex Sans" w:eastAsia="IBM Plex Sans"/>
          <w:color w:val="0B0C0E"/>
          <w:sz w:val="16"/>
          <w:szCs w:val="16"/>
        </w:rPr>
      </w:r>
    </w:p>
    <w:p>
      <w:pPr>
        <w:keepNext/>
        <w:spacing w:before="160" w:after="120" w:line="312" w:lineRule="auto"/>
        <w:jc w:val="left"/>
      </w:pPr>
      <w:r>
        <w:rPr>
          <w:rFonts w:ascii="IBM Plex Sans" w:hAnsi="IBM Plex Sans" w:cs="IBM Plex Sans" w:eastAsia="IBM Plex Sans"/>
          <w:b/>
          <w:color w:val="0B0C0E"/>
          <w:sz w:val="28"/>
          <w:szCs w:val="28"/>
          <w:bCs/>
        </w:rPr>
        <w:t>The sources we read from</w:t>
      </w:r>
    </w:p>
    <w:tbl>
      <w:tblPr>
        <w:tblW w:type="auto" w:w="0"/>
        <w:jc w:val="center"/>
        <w:tblLayout w:type="fixed"/>
        <w:tblLook w:firstColumn="1" w:firstRow="1" w:lastColumn="0" w:lastRow="0" w:noHBand="0" w:noVBand="1" w:val="04A0"/>
        <w:tblLayout w:type="fixed"/>
      </w:tblPr>
      <w:tblGrid>
        <w:gridCol w:w="4875"/>
        <w:gridCol w:w="4875"/>
      </w:tblGrid>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Phone</w:t>
            </w:r>
          </w:p>
          <w:p>
            <w:pPr>
              <w:keepNext/>
              <w:spacing w:before="0" w:after="0" w:line="336" w:lineRule="auto"/>
              <w:jc w:val="left"/>
            </w:pPr>
            <w:r>
              <w:rPr>
                <w:rFonts w:ascii="IBM Plex Sans" w:hAnsi="IBM Plex Sans" w:cs="IBM Plex Sans" w:eastAsia="IBM Plex Sans"/>
                <w:color w:val="2A2D33"/>
                <w:sz w:val="17"/>
                <w:szCs w:val="17"/>
              </w:rPr>
              <w:t>Movement, location and user-selected entries.</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Wearables</w:t>
            </w:r>
          </w:p>
          <w:p>
            <w:pPr>
              <w:keepNext/>
              <w:spacing w:before="0" w:after="0" w:line="336" w:lineRule="auto"/>
              <w:jc w:val="left"/>
            </w:pPr>
            <w:r>
              <w:rPr>
                <w:rFonts w:ascii="IBM Plex Sans" w:hAnsi="IBM Plex Sans" w:cs="IBM Plex Sans" w:eastAsia="IBM Plex Sans"/>
                <w:color w:val="2A2D33"/>
                <w:sz w:val="17"/>
                <w:szCs w:val="17"/>
              </w:rPr>
              <w:t>Sleep, activity and supported signals from compatible devices.</w:t>
            </w:r>
          </w:p>
        </w:tc>
      </w:tr>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Home health devices</w:t>
            </w:r>
          </w:p>
          <w:p>
            <w:pPr>
              <w:spacing w:before="0" w:after="0" w:line="336" w:lineRule="auto"/>
              <w:jc w:val="left"/>
            </w:pPr>
            <w:r>
              <w:rPr>
                <w:rFonts w:ascii="IBM Plex Sans" w:hAnsi="IBM Plex Sans" w:cs="IBM Plex Sans" w:eastAsia="IBM Plex Sans"/>
                <w:color w:val="2A2D33"/>
                <w:sz w:val="17"/>
                <w:szCs w:val="17"/>
              </w:rPr>
              <w:t>Blood pressure, glucose and other readings from compatible devices.</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Home sensors</w:t>
            </w:r>
          </w:p>
          <w:p>
            <w:pPr>
              <w:spacing w:before="0" w:after="0" w:line="336" w:lineRule="auto"/>
              <w:jc w:val="left"/>
            </w:pPr>
            <w:r>
              <w:rPr>
                <w:rFonts w:ascii="IBM Plex Sans" w:hAnsi="IBM Plex Sans" w:cs="IBM Plex Sans" w:eastAsia="IBM Plex Sans"/>
                <w:color w:val="2A2D33"/>
                <w:sz w:val="17"/>
                <w:szCs w:val="17"/>
              </w:rPr>
              <w:t>Air quality, temperature, humidity, motion and presence. SYLTRA LIFE data appears inside your health experience with your consent.</w:t>
            </w:r>
          </w:p>
        </w:tc>
      </w:tr>
    </w:tbl>
    <w:p>
      <w:pPr>
        <w:spacing w:before="0" w:after="0" w:line="240" w:lineRule="auto"/>
        <w:jc w:val="left"/>
      </w:pPr>
      <w:r>
        <w:rPr>
          <w:rFonts w:ascii="IBM Plex Sans" w:hAnsi="IBM Plex Sans" w:cs="IBM Plex Sans" w:eastAsia="IBM Plex Sans"/>
          <w:color w:val="0B0C0E"/>
          <w:sz w:val="12"/>
          <w:szCs w:val="12"/>
        </w:rPr>
      </w:r>
    </w:p>
    <w:p>
      <w:pPr>
        <w:keepNext/>
        <w:spacing w:before="360" w:after="200" w:line="240" w:lineRule="auto"/>
        <w:jc w:val="left"/>
      </w:pPr>
      <w:r>
        <w:drawing>
          <wp:inline xmlns:a="http://schemas.openxmlformats.org/drawingml/2006/main" xmlns:pic="http://schemas.openxmlformats.org/drawingml/2006/picture">
            <wp:extent cx="6192000" cy="2135172"/>
            <wp:docPr id="3" name="Picture 3"/>
            <wp:cNvGraphicFramePr>
              <a:graphicFrameLocks noChangeAspect="1"/>
            </wp:cNvGraphicFramePr>
            <a:graphic>
              <a:graphicData uri="http://schemas.openxmlformats.org/drawingml/2006/picture">
                <pic:pic>
                  <pic:nvPicPr>
                    <pic:cNvPr id="0" name="hero_health-hero-older.jpg"/>
                    <pic:cNvPicPr/>
                  </pic:nvPicPr>
                  <pic:blipFill>
                    <a:blip r:embed="rId13"/>
                    <a:stretch>
                      <a:fillRect/>
                    </a:stretch>
                  </pic:blipFill>
                  <pic:spPr>
                    <a:xfrm>
                      <a:off x="0" y="0"/>
                      <a:ext cx="6192000" cy="2135172"/>
                    </a:xfrm>
                    <a:prstGeom prst="rect"/>
                  </pic:spPr>
                </pic:pic>
              </a:graphicData>
            </a:graphic>
          </wp:inline>
        </w:drawing>
      </w:r>
    </w:p>
    <w:p>
      <w:pPr>
        <w:keepNext/>
        <w:spacing w:before="0" w:after="120" w:line="288" w:lineRule="auto"/>
        <w:jc w:val="left"/>
      </w:pPr>
      <w:r>
        <w:rPr>
          <w:rFonts w:ascii="IBM Plex Mono" w:hAnsi="IBM Plex Mono" w:cs="IBM Plex Mono" w:eastAsia="IBM Plex Mono"/>
          <w:color w:val="1AA653"/>
          <w:sz w:val="18"/>
          <w:szCs w:val="18"/>
        </w:rPr>
        <w:t xml:space="preserve">06    </w:t>
      </w:r>
      <w:r>
        <w:rPr>
          <w:rFonts w:ascii="IBM Plex Sans" w:hAnsi="IBM Plex Sans" w:cs="IBM Plex Sans" w:eastAsia="IBM Plex Sans"/>
          <w:b/>
          <w:color w:val="1AA653"/>
          <w:sz w:val="18"/>
          <w:szCs w:val="18"/>
          <w:bCs/>
        </w:rPr>
        <w:t>The trusted circle</w:t>
      </w:r>
    </w:p>
    <w:p>
      <w:pPr>
        <w:keepNext/>
        <w:spacing w:before="0" w:after="160" w:line="288" w:lineRule="auto"/>
        <w:jc w:val="left"/>
      </w:pPr>
      <w:r>
        <w:rPr>
          <w:rFonts w:ascii="IBM Plex Sans" w:hAnsi="IBM Plex Sans" w:cs="IBM Plex Sans" w:eastAsia="IBM Plex Sans"/>
          <w:b/>
          <w:color w:val="0B0C0E"/>
          <w:sz w:val="40"/>
          <w:szCs w:val="40"/>
          <w:bCs/>
        </w:rPr>
        <w:t>If you do not answer, it knows who is closest.</w:t>
      </w:r>
    </w:p>
    <w:p>
      <w:pPr>
        <w:keepNext/>
        <w:spacing w:before="0" w:after="160" w:line="360" w:lineRule="auto"/>
        <w:jc w:val="left"/>
      </w:pPr>
      <w:r>
        <w:rPr>
          <w:rFonts w:ascii="IBM Plex Sans" w:hAnsi="IBM Plex Sans" w:cs="IBM Plex Sans" w:eastAsia="IBM Plex Sans"/>
          <w:color w:val="2A2D33"/>
          <w:sz w:val="21"/>
          <w:szCs w:val="21"/>
        </w:rPr>
        <w:t>The user builds a circle of people they trust and sets five things for each: the relationship, the priority, what they see, when they are available, and whether they can reach the home.</w:t>
      </w:r>
    </w:p>
    <w:p>
      <w:pPr>
        <w:spacing w:before="0" w:after="120" w:line="360" w:lineRule="auto"/>
        <w:jc w:val="left"/>
      </w:pPr>
      <w:r>
        <w:rPr>
          <w:rFonts w:ascii="IBM Plex Sans" w:hAnsi="IBM Plex Sans" w:cs="IBM Plex Sans" w:eastAsia="IBM Plex Sans"/>
          <w:color w:val="0B0C0E"/>
          <w:sz w:val="19"/>
          <w:szCs w:val="19"/>
        </w:rPr>
        <w:t>When needed, the system picks the most suitable person by arrival time, proximity and acceptance, and shares the minimum necessary information and location. One notification to the right person, instead of a broadcast to everyone.</w:t>
      </w:r>
    </w:p>
    <w:p>
      <w:pPr>
        <w:keepNext/>
        <w:spacing w:before="160" w:after="120" w:line="312" w:lineRule="auto"/>
        <w:jc w:val="left"/>
      </w:pPr>
      <w:r>
        <w:rPr>
          <w:rFonts w:ascii="IBM Plex Sans" w:hAnsi="IBM Plex Sans" w:cs="IBM Plex Sans" w:eastAsia="IBM Plex Sans"/>
          <w:b/>
          <w:color w:val="0B0C0E"/>
          <w:sz w:val="28"/>
          <w:szCs w:val="28"/>
          <w:bCs/>
        </w:rPr>
        <w:t>Medication</w:t>
      </w:r>
    </w:p>
    <w:p>
      <w:pPr>
        <w:spacing w:before="0" w:after="120" w:line="360" w:lineRule="auto"/>
        <w:jc w:val="left"/>
      </w:pPr>
      <w:r>
        <w:rPr>
          <w:rFonts w:ascii="IBM Plex Sans" w:hAnsi="IBM Plex Sans" w:cs="IBM Plex Sans" w:eastAsia="IBM Plex Sans"/>
          <w:color w:val="0B0C0E"/>
          <w:sz w:val="19"/>
          <w:szCs w:val="19"/>
        </w:rPr>
        <w:t>A reminder at medication time with a clear confirm button on the preferred channel: phone, watch or home screen. A repeat alert if there is no confirmation, and a trusted person informed only on escalation and no response. The reminder supports adherence. It does not change the dose or the treatment plan.</w:t>
      </w:r>
    </w:p>
    <w:tbl>
      <w:tblPr>
        <w:tblW w:type="auto" w:w="0"/>
        <w:jc w:val="center"/>
        <w:tblLayout w:type="fixed"/>
        <w:tblLook w:firstColumn="1" w:firstRow="1" w:lastColumn="0" w:lastRow="0" w:noHBand="0" w:noVBand="1" w:val="04A0"/>
        <w:tblLayout w:type="fixed"/>
      </w:tblPr>
      <w:tblGrid>
        <w:gridCol w:w="680"/>
        <w:gridCol w:w="9070"/>
      </w:tblGrid>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01</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You add your medication</w:t>
            </w:r>
          </w:p>
          <w:p>
            <w:pPr>
              <w:keepNext/>
              <w:spacing w:before="0" w:after="0" w:line="336" w:lineRule="auto"/>
              <w:jc w:val="left"/>
            </w:pPr>
            <w:r>
              <w:rPr>
                <w:rFonts w:ascii="IBM Plex Sans" w:hAnsi="IBM Plex Sans" w:cs="IBM Plex Sans" w:eastAsia="IBM Plex Sans"/>
                <w:color w:val="2A2D33"/>
                <w:sz w:val="17"/>
                <w:szCs w:val="17"/>
              </w:rPr>
              <w:t>The name, units per pack, daily dose and dispense date. Once.</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02</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The run-out date is computed</w:t>
            </w:r>
          </w:p>
          <w:p>
            <w:pPr>
              <w:keepNext/>
              <w:spacing w:before="0" w:after="0" w:line="336" w:lineRule="auto"/>
              <w:jc w:val="left"/>
            </w:pPr>
            <w:r>
              <w:rPr>
                <w:rFonts w:ascii="IBM Plex Sans" w:hAnsi="IBM Plex Sans" w:cs="IBM Plex Sans" w:eastAsia="IBM Plex Sans"/>
                <w:color w:val="2A2D33"/>
                <w:sz w:val="17"/>
                <w:szCs w:val="17"/>
              </w:rPr>
              <w:t>It is shown for you to confirm or adjust. Optional daily dose confirmation improves accuracy.</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03</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An early alert arrives</w:t>
            </w:r>
          </w:p>
          <w:p>
            <w:pPr>
              <w:keepNext/>
              <w:spacing w:before="0" w:after="0" w:line="336" w:lineRule="auto"/>
              <w:jc w:val="left"/>
            </w:pPr>
            <w:r>
              <w:rPr>
                <w:rFonts w:ascii="IBM Plex Sans" w:hAnsi="IBM Plex Sans" w:cs="IBM Plex Sans" w:eastAsia="IBM Plex Sans"/>
                <w:color w:val="2A2D33"/>
                <w:sz w:val="17"/>
                <w:szCs w:val="17"/>
              </w:rPr>
              <w:t>A single alert before run-out within your chosen window, and a copy for your caregiver under your settings.</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spacing w:before="40" w:after="0" w:line="312" w:lineRule="auto"/>
              <w:jc w:val="left"/>
            </w:pPr>
            <w:r>
              <w:rPr>
                <w:rFonts w:ascii="IBM Plex Mono" w:hAnsi="IBM Plex Mono" w:cs="IBM Plex Mono" w:eastAsia="IBM Plex Mono"/>
                <w:color w:val="1AA653"/>
                <w:sz w:val="22"/>
                <w:szCs w:val="22"/>
              </w:rPr>
              <w:t>04</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You confirm, not the system</w:t>
            </w:r>
          </w:p>
          <w:p>
            <w:pPr>
              <w:spacing w:before="0" w:after="0" w:line="336" w:lineRule="auto"/>
              <w:jc w:val="left"/>
            </w:pPr>
            <w:r>
              <w:rPr>
                <w:rFonts w:ascii="IBM Plex Sans" w:hAnsi="IBM Plex Sans" w:cs="IBM Plex Sans" w:eastAsia="IBM Plex Sans"/>
                <w:color w:val="2A2D33"/>
                <w:sz w:val="17"/>
                <w:szCs w:val="17"/>
              </w:rPr>
              <w:t>With an explicit confirmation from you or an authorized caregiver it becomes an order at a licensed partner pharmacy, with a cancel window. Nothing is dispensed without your permission.</w:t>
            </w:r>
          </w:p>
        </w:tc>
      </w:tr>
    </w:tbl>
    <w:p>
      <w:pPr>
        <w:spacing w:before="0" w:after="0" w:line="240" w:lineRule="auto"/>
        <w:jc w:val="left"/>
      </w:pPr>
      <w:r>
        <w:rPr>
          <w:rFonts w:ascii="IBM Plex Sans" w:hAnsi="IBM Plex Sans" w:cs="IBM Plex Sans" w:eastAsia="IBM Plex Sans"/>
          <w:color w:val="0B0C0E"/>
          <w:sz w:val="16"/>
          <w:szCs w:val="16"/>
        </w:rPr>
      </w:r>
    </w:p>
    <w:p>
      <w:pPr>
        <w:spacing w:before="0" w:after="0" w:line="240" w:lineRule="auto"/>
        <w:jc w:val="left"/>
      </w:pPr>
      <w:r>
        <w:rPr>
          <w:rFonts w:ascii="IBM Plex Sans" w:hAnsi="IBM Plex Sans" w:cs="IBM Plex Sans" w:eastAsia="IBM Plex Sans"/>
          <w:color w:val="0B0C0E"/>
          <w:sz w:val="44"/>
          <w:szCs w:val="44"/>
        </w:rPr>
      </w:r>
    </w:p>
    <w:p>
      <w:pPr>
        <w:keepNext/>
        <w:spacing w:before="0" w:after="120" w:line="288" w:lineRule="auto"/>
        <w:jc w:val="left"/>
      </w:pPr>
      <w:r>
        <w:rPr>
          <w:rFonts w:ascii="IBM Plex Mono" w:hAnsi="IBM Plex Mono" w:cs="IBM Plex Mono" w:eastAsia="IBM Plex Mono"/>
          <w:color w:val="1AA653"/>
          <w:sz w:val="18"/>
          <w:szCs w:val="18"/>
        </w:rPr>
        <w:t xml:space="preserve">07    </w:t>
      </w:r>
      <w:r>
        <w:rPr>
          <w:rFonts w:ascii="IBM Plex Sans" w:hAnsi="IBM Plex Sans" w:cs="IBM Plex Sans" w:eastAsia="IBM Plex Sans"/>
          <w:b/>
          <w:color w:val="1AA653"/>
          <w:sz w:val="18"/>
          <w:szCs w:val="18"/>
          <w:bCs/>
        </w:rPr>
        <w:t>The app</w:t>
      </w:r>
    </w:p>
    <w:p>
      <w:pPr>
        <w:keepNext/>
        <w:spacing w:before="0" w:after="160" w:line="288" w:lineRule="auto"/>
        <w:jc w:val="left"/>
      </w:pPr>
      <w:r>
        <w:rPr>
          <w:rFonts w:ascii="IBM Plex Sans" w:hAnsi="IBM Plex Sans" w:cs="IBM Plex Sans" w:eastAsia="IBM Plex Sans"/>
          <w:b/>
          <w:color w:val="0B0C0E"/>
          <w:sz w:val="40"/>
          <w:szCs w:val="40"/>
          <w:bCs/>
        </w:rPr>
        <w:t>Few screens, each asking one simple question about your day.</w:t>
      </w:r>
    </w:p>
    <w:p>
      <w:pPr>
        <w:keepNext/>
        <w:spacing w:before="0" w:after="160" w:line="360" w:lineRule="auto"/>
        <w:jc w:val="left"/>
      </w:pPr>
      <w:r>
        <w:rPr>
          <w:rFonts w:ascii="IBM Plex Sans" w:hAnsi="IBM Plex Sans" w:cs="IBM Plex Sans" w:eastAsia="IBM Plex Sans"/>
          <w:color w:val="2A2D33"/>
          <w:sz w:val="21"/>
          <w:szCs w:val="21"/>
        </w:rPr>
        <w:t>Arabic first, calm and clear. Six screens, and the sentence comes before the number.</w:t>
      </w:r>
    </w:p>
    <w:tbl>
      <w:tblPr>
        <w:tblW w:type="auto" w:w="0"/>
        <w:jc w:val="center"/>
        <w:tblLayout w:type="fixed"/>
        <w:tblLook w:firstColumn="1" w:firstRow="1" w:lastColumn="0" w:lastRow="0" w:noHBand="0" w:noVBand="1" w:val="04A0"/>
        <w:tblLayout w:type="fixed"/>
      </w:tblPr>
      <w:tblGrid>
        <w:gridCol w:w="4875"/>
        <w:gridCol w:w="4875"/>
      </w:tblGrid>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Today</w:t>
            </w:r>
          </w:p>
          <w:p>
            <w:pPr>
              <w:keepNext/>
              <w:spacing w:before="0" w:after="0" w:line="336" w:lineRule="auto"/>
              <w:jc w:val="left"/>
            </w:pPr>
            <w:r>
              <w:rPr>
                <w:rFonts w:ascii="IBM Plex Sans" w:hAnsi="IBM Plex Sans" w:cs="IBM Plex Sans" w:eastAsia="IBM Plex Sans"/>
                <w:color w:val="2A2D33"/>
                <w:sz w:val="17"/>
                <w:szCs w:val="17"/>
              </w:rPr>
              <w:t>How you are right now, within your usual pattern, in one line before any numbers.</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Pattern</w:t>
            </w:r>
          </w:p>
          <w:p>
            <w:pPr>
              <w:keepNext/>
              <w:spacing w:before="0" w:after="0" w:line="336" w:lineRule="auto"/>
              <w:jc w:val="left"/>
            </w:pPr>
            <w:r>
              <w:rPr>
                <w:rFonts w:ascii="IBM Plex Sans" w:hAnsi="IBM Plex Sans" w:cs="IBM Plex Sans" w:eastAsia="IBM Plex Sans"/>
                <w:color w:val="2A2D33"/>
                <w:sz w:val="17"/>
                <w:szCs w:val="17"/>
              </w:rPr>
              <w:t>Your rhythm across days: sleep, movement and readings, and when they differ from normal.</w:t>
            </w:r>
          </w:p>
        </w:tc>
      </w:tr>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Your home</w:t>
            </w:r>
          </w:p>
          <w:p>
            <w:pPr>
              <w:keepNext/>
              <w:spacing w:before="0" w:after="0" w:line="336" w:lineRule="auto"/>
              <w:jc w:val="left"/>
            </w:pPr>
            <w:r>
              <w:rPr>
                <w:rFonts w:ascii="IBM Plex Sans" w:hAnsi="IBM Plex Sans" w:cs="IBM Plex Sans" w:eastAsia="IBM Plex Sans"/>
                <w:color w:val="2A2D33"/>
                <w:sz w:val="17"/>
                <w:szCs w:val="17"/>
              </w:rPr>
              <w:t>Your room's temperature, humidity and air quality, with settings that adapt on your consent.</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Your circle</w:t>
            </w:r>
          </w:p>
          <w:p>
            <w:pPr>
              <w:keepNext/>
              <w:spacing w:before="0" w:after="0" w:line="336" w:lineRule="auto"/>
              <w:jc w:val="left"/>
            </w:pPr>
            <w:r>
              <w:rPr>
                <w:rFonts w:ascii="IBM Plex Sans" w:hAnsi="IBM Plex Sans" w:cs="IBM Plex Sans" w:eastAsia="IBM Plex Sans"/>
                <w:color w:val="2A2D33"/>
                <w:sz w:val="17"/>
                <w:szCs w:val="17"/>
              </w:rPr>
              <w:t>The people you trust and who is closest, what they see, and when an alert reaches them.</w:t>
            </w:r>
          </w:p>
        </w:tc>
      </w:tr>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Medications</w:t>
            </w:r>
          </w:p>
          <w:p>
            <w:pPr>
              <w:spacing w:before="0" w:after="0" w:line="336" w:lineRule="auto"/>
              <w:jc w:val="left"/>
            </w:pPr>
            <w:r>
              <w:rPr>
                <w:rFonts w:ascii="IBM Plex Sans" w:hAnsi="IBM Plex Sans" w:cs="IBM Plex Sans" w:eastAsia="IBM Plex Sans"/>
                <w:color w:val="2A2D33"/>
                <w:sz w:val="17"/>
                <w:szCs w:val="17"/>
              </w:rPr>
              <w:t>Your medication schedule, timely reminders and a confirmation.</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Settings</w:t>
            </w:r>
          </w:p>
          <w:p>
            <w:pPr>
              <w:spacing w:before="0" w:after="0" w:line="336" w:lineRule="auto"/>
              <w:jc w:val="left"/>
            </w:pPr>
            <w:r>
              <w:rPr>
                <w:rFonts w:ascii="IBM Plex Sans" w:hAnsi="IBM Plex Sans" w:cs="IBM Plex Sans" w:eastAsia="IBM Plex Sans"/>
                <w:color w:val="2A2D33"/>
                <w:sz w:val="17"/>
                <w:szCs w:val="17"/>
              </w:rPr>
              <w:t>Your consents, response plan and test mode, always in your hands.</w:t>
            </w:r>
          </w:p>
        </w:tc>
      </w:tr>
    </w:tbl>
    <w:p>
      <w:pPr>
        <w:spacing w:before="0" w:after="0" w:line="240" w:lineRule="auto"/>
        <w:jc w:val="left"/>
      </w:pPr>
      <w:r>
        <w:rPr>
          <w:rFonts w:ascii="IBM Plex Sans" w:hAnsi="IBM Plex Sans" w:cs="IBM Plex Sans" w:eastAsia="IBM Plex Sans"/>
          <w:color w:val="0B0C0E"/>
          <w:sz w:val="12"/>
          <w:szCs w:val="12"/>
        </w:rPr>
      </w:r>
    </w:p>
    <w:p>
      <w:pPr>
        <w:spacing w:before="0" w:after="120" w:line="360" w:lineRule="auto"/>
        <w:jc w:val="left"/>
      </w:pPr>
      <w:r>
        <w:rPr>
          <w:rFonts w:ascii="IBM Plex Sans" w:hAnsi="IBM Plex Sans" w:cs="IBM Plex Sans" w:eastAsia="IBM Plex Sans"/>
          <w:color w:val="0B0C0E"/>
          <w:sz w:val="19"/>
          <w:szCs w:val="19"/>
        </w:rPr>
        <w:t>Test mode lets you run the whole response plan before you need it: you see how the system checks in, how long it waits, and who would be alerted at each level, while nothing leaves your screen.</w:t>
      </w:r>
    </w:p>
    <w:p>
      <w:pPr>
        <w:spacing w:before="0" w:after="0" w:line="240" w:lineRule="auto"/>
        <w:jc w:val="left"/>
      </w:pPr>
      <w:r>
        <w:rPr>
          <w:rFonts w:ascii="IBM Plex Sans" w:hAnsi="IBM Plex Sans" w:cs="IBM Plex Sans" w:eastAsia="IBM Plex Sans"/>
          <w:color w:val="0B0C0E"/>
          <w:sz w:val="44"/>
          <w:szCs w:val="44"/>
        </w:rPr>
      </w:r>
    </w:p>
    <w:p>
      <w:pPr>
        <w:keepNext/>
        <w:spacing w:before="0" w:after="120" w:line="288" w:lineRule="auto"/>
        <w:jc w:val="left"/>
      </w:pPr>
      <w:r>
        <w:rPr>
          <w:rFonts w:ascii="IBM Plex Mono" w:hAnsi="IBM Plex Mono" w:cs="IBM Plex Mono" w:eastAsia="IBM Plex Mono"/>
          <w:color w:val="1AA653"/>
          <w:sz w:val="18"/>
          <w:szCs w:val="18"/>
        </w:rPr>
        <w:t xml:space="preserve">08    </w:t>
      </w:r>
      <w:r>
        <w:rPr>
          <w:rFonts w:ascii="IBM Plex Sans" w:hAnsi="IBM Plex Sans" w:cs="IBM Plex Sans" w:eastAsia="IBM Plex Sans"/>
          <w:b/>
          <w:color w:val="1AA653"/>
          <w:sz w:val="18"/>
          <w:szCs w:val="18"/>
          <w:bCs/>
        </w:rPr>
        <w:t>People of Determination</w:t>
      </w:r>
    </w:p>
    <w:p>
      <w:pPr>
        <w:keepNext/>
        <w:spacing w:before="0" w:after="160" w:line="288" w:lineRule="auto"/>
        <w:jc w:val="left"/>
      </w:pPr>
      <w:r>
        <w:rPr>
          <w:rFonts w:ascii="IBM Plex Sans" w:hAnsi="IBM Plex Sans" w:cs="IBM Plex Sans" w:eastAsia="IBM Plex Sans"/>
          <w:b/>
          <w:color w:val="0B0C0E"/>
          <w:sz w:val="40"/>
          <w:szCs w:val="40"/>
          <w:bCs/>
        </w:rPr>
        <w:t>More independence, not more supervision.</w:t>
      </w:r>
    </w:p>
    <w:p>
      <w:pPr>
        <w:keepNext/>
        <w:spacing w:before="0" w:after="160" w:line="360" w:lineRule="auto"/>
        <w:jc w:val="left"/>
      </w:pPr>
      <w:r>
        <w:rPr>
          <w:rFonts w:ascii="IBM Plex Sans" w:hAnsi="IBM Plex Sans" w:cs="IBM Plex Sans" w:eastAsia="IBM Plex Sans"/>
          <w:color w:val="2A2D33"/>
          <w:sz w:val="21"/>
          <w:szCs w:val="21"/>
        </w:rPr>
        <w:t>Access mode is an optional interface inside the app that adapts to how a person moves and communicates, while control and privacy stay with the user. Any setting that affects sharing, opening doors or making contact requires explicit consent and a clear log.</w:t>
      </w:r>
    </w:p>
    <w:p>
      <w:pPr>
        <w:keepNext/>
        <w:spacing w:before="160" w:after="120" w:line="312" w:lineRule="auto"/>
        <w:jc w:val="left"/>
      </w:pPr>
      <w:r>
        <w:rPr>
          <w:rFonts w:ascii="IBM Plex Sans" w:hAnsi="IBM Plex Sans" w:cs="IBM Plex Sans" w:eastAsia="IBM Plex Sans"/>
          <w:b/>
          <w:color w:val="0B0C0E"/>
          <w:sz w:val="28"/>
          <w:szCs w:val="28"/>
          <w:bCs/>
        </w:rPr>
        <w:t>Six ready profiles</w:t>
      </w:r>
    </w:p>
    <w:tbl>
      <w:tblPr>
        <w:tblW w:type="auto" w:w="0"/>
        <w:jc w:val="center"/>
        <w:tblLayout w:type="fixed"/>
        <w:tblLook w:firstColumn="1" w:firstRow="1" w:lastColumn="0" w:lastRow="0" w:noHBand="0" w:noVBand="1" w:val="04A0"/>
        <w:tblLayout w:type="fixed"/>
      </w:tblPr>
      <w:tblGrid>
        <w:gridCol w:w="3250"/>
        <w:gridCol w:w="3250"/>
        <w:gridCol w:w="3250"/>
      </w:tblGrid>
      <w:tr>
        <w:trPr>
          <w:cantSplit/>
        </w:trPr>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Motion</w:t>
            </w:r>
          </w:p>
          <w:p>
            <w:pPr>
              <w:keepNext/>
              <w:spacing w:before="0" w:after="0" w:line="336" w:lineRule="auto"/>
              <w:jc w:val="left"/>
            </w:pPr>
            <w:r>
              <w:rPr>
                <w:rFonts w:ascii="IBM Plex Sans" w:hAnsi="IBM Plex Sans" w:cs="IBM Plex Sans" w:eastAsia="IBM Plex Sans"/>
                <w:color w:val="2A2D33"/>
                <w:sz w:val="17"/>
                <w:szCs w:val="17"/>
              </w:rPr>
              <w:t>Large buttons, voice control, quick home commands and a longer press time.</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Vision</w:t>
            </w:r>
          </w:p>
          <w:p>
            <w:pPr>
              <w:keepNext/>
              <w:spacing w:before="0" w:after="0" w:line="336" w:lineRule="auto"/>
              <w:jc w:val="left"/>
            </w:pPr>
            <w:r>
              <w:rPr>
                <w:rFonts w:ascii="IBM Plex Sans" w:hAnsi="IBM Plex Sans" w:cs="IBM Plex Sans" w:eastAsia="IBM Plex Sans"/>
                <w:color w:val="2A2D33"/>
                <w:sz w:val="17"/>
                <w:szCs w:val="17"/>
              </w:rPr>
              <w:t>Screen reader, voice commands, high contrast and a spoken description of the home.</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Hearing</w:t>
            </w:r>
          </w:p>
          <w:p>
            <w:pPr>
              <w:keepNext/>
              <w:spacing w:before="0" w:after="0" w:line="336" w:lineRule="auto"/>
              <w:jc w:val="left"/>
            </w:pPr>
            <w:r>
              <w:rPr>
                <w:rFonts w:ascii="IBM Plex Sans" w:hAnsi="IBM Plex Sans" w:cs="IBM Plex Sans" w:eastAsia="IBM Plex Sans"/>
                <w:color w:val="2A2D33"/>
                <w:sz w:val="17"/>
                <w:szCs w:val="17"/>
              </w:rPr>
              <w:t>Visual and vibration alerts, live captions, and alarms mirrored to home screens.</w:t>
            </w:r>
          </w:p>
        </w:tc>
      </w:tr>
      <w:tr>
        <w:trPr>
          <w:cantSplit/>
        </w:trPr>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Cognition</w:t>
            </w:r>
          </w:p>
          <w:p>
            <w:pPr>
              <w:spacing w:before="0" w:after="0" w:line="336" w:lineRule="auto"/>
              <w:jc w:val="left"/>
            </w:pPr>
            <w:r>
              <w:rPr>
                <w:rFonts w:ascii="IBM Plex Sans" w:hAnsi="IBM Plex Sans" w:cs="IBM Plex Sans" w:eastAsia="IBM Plex Sans"/>
                <w:color w:val="2A2D33"/>
                <w:sz w:val="17"/>
                <w:szCs w:val="17"/>
              </w:rPr>
              <w:t>Short steps, clear visuals, steady routine and fewer choices per screen.</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Sensory sensitivity</w:t>
            </w:r>
          </w:p>
          <w:p>
            <w:pPr>
              <w:spacing w:before="0" w:after="0" w:line="336" w:lineRule="auto"/>
              <w:jc w:val="left"/>
            </w:pPr>
            <w:r>
              <w:rPr>
                <w:rFonts w:ascii="IBM Plex Sans" w:hAnsi="IBM Plex Sans" w:cs="IBM Plex Sans" w:eastAsia="IBM Plex Sans"/>
                <w:color w:val="2A2D33"/>
                <w:sz w:val="17"/>
                <w:szCs w:val="17"/>
              </w:rPr>
              <w:t>A quiet mode, reduced motion, and automatically lowered sound and light.</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Custom</w:t>
            </w:r>
          </w:p>
          <w:p>
            <w:pPr>
              <w:spacing w:before="0" w:after="0" w:line="336" w:lineRule="auto"/>
              <w:jc w:val="left"/>
            </w:pPr>
            <w:r>
              <w:rPr>
                <w:rFonts w:ascii="IBM Plex Sans" w:hAnsi="IBM Plex Sans" w:cs="IBM Plex Sans" w:eastAsia="IBM Plex Sans"/>
                <w:color w:val="2A2D33"/>
                <w:sz w:val="17"/>
                <w:szCs w:val="17"/>
              </w:rPr>
              <w:t>Set each option by hand, tied to no particular category.</w:t>
            </w:r>
          </w:p>
        </w:tc>
      </w:tr>
    </w:tbl>
    <w:p>
      <w:pPr>
        <w:spacing w:before="0" w:after="0" w:line="240" w:lineRule="auto"/>
        <w:jc w:val="left"/>
      </w:pPr>
      <w:r>
        <w:rPr>
          <w:rFonts w:ascii="IBM Plex Sans" w:hAnsi="IBM Plex Sans" w:cs="IBM Plex Sans" w:eastAsia="IBM Plex Sans"/>
          <w:color w:val="0B0C0E"/>
          <w:sz w:val="12"/>
          <w:szCs w:val="12"/>
        </w:rPr>
      </w:r>
    </w:p>
    <w:p>
      <w:pPr>
        <w:keepNext/>
        <w:spacing w:before="160" w:after="120" w:line="312" w:lineRule="auto"/>
        <w:jc w:val="left"/>
      </w:pPr>
      <w:r>
        <w:rPr>
          <w:rFonts w:ascii="IBM Plex Sans" w:hAnsi="IBM Plex Sans" w:cs="IBM Plex Sans" w:eastAsia="IBM Plex Sans"/>
          <w:b/>
          <w:color w:val="0B0C0E"/>
          <w:sz w:val="28"/>
          <w:szCs w:val="28"/>
          <w:bCs/>
        </w:rPr>
        <w:t>Five quick scenes</w:t>
      </w:r>
    </w:p>
    <w:tbl>
      <w:tblPr>
        <w:tblW w:type="auto" w:w="0"/>
        <w:jc w:val="center"/>
        <w:tblLayout w:type="fixed"/>
        <w:tblLook w:firstColumn="1" w:firstRow="1" w:lastColumn="0" w:lastRow="0" w:noHBand="0" w:noVBand="1" w:val="04A0"/>
        <w:tblLayout w:type="fixed"/>
      </w:tblPr>
      <w:tblGrid>
        <w:gridCol w:w="2551"/>
        <w:gridCol w:w="7200"/>
      </w:tblGrid>
      <w:tr>
        <w:trPr>
          <w:cantSplit/>
        </w:trPr>
        <w:tc>
          <w:tcPr>
            <w:tcW w:type="dxa" w:w="2551"/>
            <w:shd w:val="clear" w:color="auto" w:fill="17181C"/>
            <w:tcBorders>
              <w:top w:val="nil"/>
              <w:bottom w:val="nil"/>
              <w:start w:val="nil"/>
              <w:end w:val="nil"/>
            </w:tcBorders>
            <w:tcMar>
              <w:top w:w="110" w:type="dxa"/>
              <w:bottom w:w="110" w:type="dxa"/>
              <w:start w:w="140" w:type="dxa"/>
              <w:end w:w="140" w:type="dxa"/>
            </w:tcMar>
          </w:tcPr>
          <w:p>
            <w:pPr>
              <w:keepNext/>
              <w:spacing w:before="0" w:after="0" w:line="312" w:lineRule="auto"/>
              <w:jc w:val="left"/>
            </w:pPr>
            <w:r>
              <w:rPr>
                <w:rFonts w:ascii="IBM Plex Mono" w:hAnsi="IBM Plex Mono" w:cs="IBM Plex Mono" w:eastAsia="IBM Plex Mono"/>
                <w:color w:val="ECEDEF"/>
                <w:sz w:val="17"/>
                <w:szCs w:val="17"/>
              </w:rPr>
              <w:t>Scene</w:t>
            </w:r>
          </w:p>
        </w:tc>
        <w:tc>
          <w:tcPr>
            <w:tcW w:type="dxa" w:w="7200"/>
            <w:shd w:val="clear" w:color="auto" w:fill="17181C"/>
            <w:tcBorders>
              <w:top w:val="nil"/>
              <w:bottom w:val="nil"/>
              <w:start w:val="nil"/>
              <w:end w:val="nil"/>
            </w:tcBorders>
            <w:tcMar>
              <w:top w:w="110" w:type="dxa"/>
              <w:bottom w:w="110" w:type="dxa"/>
              <w:start w:w="140" w:type="dxa"/>
              <w:end w:w="140" w:type="dxa"/>
            </w:tcMar>
          </w:tcPr>
          <w:p>
            <w:pPr>
              <w:keepNext/>
              <w:spacing w:before="0" w:after="0" w:line="312" w:lineRule="auto"/>
              <w:jc w:val="left"/>
            </w:pPr>
            <w:r>
              <w:rPr>
                <w:rFonts w:ascii="IBM Plex Mono" w:hAnsi="IBM Plex Mono" w:cs="IBM Plex Mono" w:eastAsia="IBM Plex Mono"/>
                <w:color w:val="ECEDEF"/>
                <w:sz w:val="17"/>
                <w:szCs w:val="17"/>
              </w:rPr>
              <w:t>What it does</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I am home</w:t>
            </w:r>
          </w:p>
        </w:tc>
        <w:tc>
          <w:tcPr>
            <w:tcW w:type="dxa" w:w="7200"/>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Opens your path and sets lighting and temperature to your comfort.</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Quiet mode</w:t>
            </w:r>
          </w:p>
        </w:tc>
        <w:tc>
          <w:tcPr>
            <w:tcW w:type="dxa" w:w="7200"/>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Lowers sound and light and pauses non-essential alerts.</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Medication time</w:t>
            </w:r>
          </w:p>
        </w:tc>
        <w:tc>
          <w:tcPr>
            <w:tcW w:type="dxa" w:w="7200"/>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An alert on your preferred channel and a clear confirm button.</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b/>
                <w:color w:val="0B0C0E"/>
                <w:sz w:val="19"/>
                <w:szCs w:val="19"/>
                <w:bCs/>
              </w:rPr>
              <w:t>I need help</w:t>
            </w:r>
          </w:p>
        </w:tc>
        <w:tc>
          <w:tcPr>
            <w:tcW w:type="dxa" w:w="7200"/>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left"/>
            </w:pPr>
            <w:r>
              <w:rPr>
                <w:rFonts w:ascii="IBM Plex Sans" w:hAnsi="IBM Plex Sans" w:cs="IBM Plex Sans" w:eastAsia="IBM Plex Sans"/>
                <w:color w:val="2A2D33"/>
                <w:sz w:val="18"/>
                <w:szCs w:val="18"/>
              </w:rPr>
              <w:t>Finds the most suitable person in your circle and starts reaching them.</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spacing w:before="0" w:after="0" w:line="336" w:lineRule="auto"/>
              <w:jc w:val="left"/>
            </w:pPr>
            <w:r>
              <w:rPr>
                <w:rFonts w:ascii="IBM Plex Sans" w:hAnsi="IBM Plex Sans" w:cs="IBM Plex Sans" w:eastAsia="IBM Plex Sans"/>
                <w:b/>
                <w:color w:val="0B0C0E"/>
                <w:sz w:val="19"/>
                <w:szCs w:val="19"/>
                <w:bCs/>
              </w:rPr>
              <w:t>I am okay</w:t>
            </w:r>
          </w:p>
        </w:tc>
        <w:tc>
          <w:tcPr>
            <w:tcW w:type="dxa" w:w="7200"/>
            <w:tcBorders>
              <w:top w:val="nil"/>
              <w:bottom w:val="single" w:sz="6" w:color="ECEDEF"/>
              <w:start w:val="nil"/>
              <w:end w:val="nil"/>
            </w:tcBorders>
            <w:tcMar>
              <w:top w:w="120" w:type="dxa"/>
              <w:bottom w:w="120" w:type="dxa"/>
              <w:start w:w="140" w:type="dxa"/>
              <w:end w:w="140" w:type="dxa"/>
            </w:tcMar>
          </w:tcPr>
          <w:p>
            <w:pPr>
              <w:spacing w:before="0" w:after="0" w:line="336" w:lineRule="auto"/>
              <w:jc w:val="left"/>
            </w:pPr>
            <w:r>
              <w:rPr>
                <w:rFonts w:ascii="IBM Plex Sans" w:hAnsi="IBM Plex Sans" w:cs="IBM Plex Sans" w:eastAsia="IBM Plex Sans"/>
                <w:color w:val="2A2D33"/>
                <w:sz w:val="18"/>
                <w:szCs w:val="18"/>
              </w:rPr>
              <w:t>Closes the check-in and records your response.</w:t>
            </w:r>
          </w:p>
        </w:tc>
      </w:tr>
    </w:tbl>
    <w:p>
      <w:pPr>
        <w:spacing w:before="0" w:after="0" w:line="240" w:lineRule="auto"/>
        <w:jc w:val="left"/>
      </w:pPr>
      <w:r>
        <w:rPr>
          <w:rFonts w:ascii="IBM Plex Sans" w:hAnsi="IBM Plex Sans" w:cs="IBM Plex Sans" w:eastAsia="IBM Plex Sans"/>
          <w:color w:val="0B0C0E"/>
          <w:sz w:val="16"/>
          <w:szCs w:val="16"/>
        </w:rPr>
      </w:r>
    </w:p>
    <w:p>
      <w:pPr>
        <w:spacing w:before="0" w:after="0" w:line="240" w:lineRule="auto"/>
        <w:jc w:val="left"/>
      </w:pPr>
      <w:r>
        <w:rPr>
          <w:rFonts w:ascii="IBM Plex Sans" w:hAnsi="IBM Plex Sans" w:cs="IBM Plex Sans" w:eastAsia="IBM Plex Sans"/>
          <w:color w:val="0B0C0E"/>
          <w:sz w:val="44"/>
          <w:szCs w:val="44"/>
        </w:rPr>
      </w:r>
    </w:p>
    <w:p>
      <w:pPr>
        <w:keepNext/>
        <w:spacing w:before="0" w:after="120" w:line="288" w:lineRule="auto"/>
        <w:jc w:val="left"/>
      </w:pPr>
      <w:r>
        <w:rPr>
          <w:rFonts w:ascii="IBM Plex Mono" w:hAnsi="IBM Plex Mono" w:cs="IBM Plex Mono" w:eastAsia="IBM Plex Mono"/>
          <w:color w:val="1AA653"/>
          <w:sz w:val="18"/>
          <w:szCs w:val="18"/>
        </w:rPr>
        <w:t xml:space="preserve">09    </w:t>
      </w:r>
      <w:r>
        <w:rPr>
          <w:rFonts w:ascii="IBM Plex Sans" w:hAnsi="IBM Plex Sans" w:cs="IBM Plex Sans" w:eastAsia="IBM Plex Sans"/>
          <w:b/>
          <w:color w:val="1AA653"/>
          <w:sz w:val="18"/>
          <w:szCs w:val="18"/>
          <w:bCs/>
        </w:rPr>
        <w:t>Two scenarios</w:t>
      </w:r>
    </w:p>
    <w:p>
      <w:pPr>
        <w:keepNext/>
        <w:spacing w:before="0" w:after="160" w:line="288" w:lineRule="auto"/>
        <w:jc w:val="left"/>
      </w:pPr>
      <w:r>
        <w:rPr>
          <w:rFonts w:ascii="IBM Plex Sans" w:hAnsi="IBM Plex Sans" w:cs="IBM Plex Sans" w:eastAsia="IBM Plex Sans"/>
          <w:b/>
          <w:color w:val="0B0C0E"/>
          <w:sz w:val="40"/>
          <w:szCs w:val="40"/>
          <w:bCs/>
        </w:rPr>
        <w:t>What actually happens when something changes.</w:t>
      </w:r>
    </w:p>
    <w:p>
      <w:pPr>
        <w:keepNext/>
        <w:spacing w:before="0" w:after="160" w:line="360" w:lineRule="auto"/>
        <w:jc w:val="left"/>
      </w:pPr>
      <w:r>
        <w:rPr>
          <w:rFonts w:ascii="IBM Plex Sans" w:hAnsi="IBM Plex Sans" w:cs="IBM Plex Sans" w:eastAsia="IBM Plex Sans"/>
          <w:color w:val="2A2D33"/>
          <w:sz w:val="21"/>
          <w:szCs w:val="21"/>
        </w:rPr>
        <w:t>In both cases the platform does not describe a diagnosis. It describes what it observed: a reading, a movement, a response.</w:t>
      </w:r>
    </w:p>
    <w:tbl>
      <w:tblPr>
        <w:tblW w:type="auto" w:w="0"/>
        <w:jc w:val="center"/>
        <w:tblLayout w:type="fixed"/>
        <w:tblLook w:firstColumn="1" w:firstRow="1" w:lastColumn="0" w:lastRow="0" w:noHBand="0" w:noVBand="1" w:val="04A0"/>
        <w:tblLayout w:type="fixed"/>
      </w:tblPr>
      <w:tblGrid>
        <w:gridCol w:w="4875"/>
        <w:gridCol w:w="4875"/>
      </w:tblGrid>
      <w:tr>
        <w:trPr>
          <w:cantSplit/>
        </w:trPr>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Diabetes</w:t>
            </w:r>
          </w:p>
          <w:p>
            <w:pPr>
              <w:spacing w:before="0" w:after="0" w:line="336" w:lineRule="auto"/>
              <w:jc w:val="left"/>
            </w:pPr>
            <w:r>
              <w:rPr>
                <w:rFonts w:ascii="IBM Plex Sans" w:hAnsi="IBM Plex Sans" w:cs="IBM Plex Sans" w:eastAsia="IBM Plex Sans"/>
                <w:color w:val="2A2D33"/>
                <w:sz w:val="17"/>
                <w:szCs w:val="17"/>
              </w:rPr>
              <w:t>The glucose device records a low reading, and the home sensors notice an unusual stop in movement. The platform compares this to the baseline and checks in with the user. If there is no response within the set period, it reaches the most suitable person in their circle with one message: a low reading, an unusual stop in movement, and no response.</w:t>
            </w:r>
          </w:p>
        </w:tc>
        <w:tc>
          <w:tcPr>
            <w:tcW w:type="dxa" w:w="4876"/>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Older adults</w:t>
            </w:r>
          </w:p>
          <w:p>
            <w:pPr>
              <w:spacing w:before="0" w:after="0" w:line="336" w:lineRule="auto"/>
              <w:jc w:val="left"/>
            </w:pPr>
            <w:r>
              <w:rPr>
                <w:rFonts w:ascii="IBM Plex Sans" w:hAnsi="IBM Plex Sans" w:cs="IBM Plex Sans" w:eastAsia="IBM Plex Sans"/>
                <w:color w:val="2A2D33"/>
                <w:sz w:val="17"/>
                <w:szCs w:val="17"/>
              </w:rPr>
              <w:t>No movement at a time they usually move, a change in heart rate, and no answer to the check-in. The platform reviews the full context, then runs the appropriate response level and reaches whoever is closest. One alert to one person, instead of a general alarm to the whole family.</w:t>
            </w:r>
          </w:p>
        </w:tc>
      </w:tr>
    </w:tbl>
    <w:p>
      <w:pPr>
        <w:spacing w:before="0" w:after="0" w:line="240" w:lineRule="auto"/>
        <w:jc w:val="left"/>
      </w:pPr>
      <w:r>
        <w:rPr>
          <w:rFonts w:ascii="IBM Plex Sans" w:hAnsi="IBM Plex Sans" w:cs="IBM Plex Sans" w:eastAsia="IBM Plex Sans"/>
          <w:color w:val="0B0C0E"/>
          <w:sz w:val="12"/>
          <w:szCs w:val="12"/>
        </w:rPr>
      </w:r>
    </w:p>
    <w:p>
      <w:pPr>
        <w:keepNext/>
        <w:spacing w:before="360" w:after="200" w:line="240" w:lineRule="auto"/>
        <w:jc w:val="left"/>
      </w:pPr>
      <w:r>
        <w:drawing>
          <wp:inline xmlns:a="http://schemas.openxmlformats.org/drawingml/2006/main" xmlns:pic="http://schemas.openxmlformats.org/drawingml/2006/picture">
            <wp:extent cx="6192000" cy="2134057"/>
            <wp:docPr id="4" name="Picture 4"/>
            <wp:cNvGraphicFramePr>
              <a:graphicFrameLocks noChangeAspect="1"/>
            </wp:cNvGraphicFramePr>
            <a:graphic>
              <a:graphicData uri="http://schemas.openxmlformats.org/drawingml/2006/picture">
                <pic:pic>
                  <pic:nvPicPr>
                    <pic:cNvPr id="0" name="hero_health-hero-privacy.jpg"/>
                    <pic:cNvPicPr/>
                  </pic:nvPicPr>
                  <pic:blipFill>
                    <a:blip r:embed="rId14"/>
                    <a:stretch>
                      <a:fillRect/>
                    </a:stretch>
                  </pic:blipFill>
                  <pic:spPr>
                    <a:xfrm>
                      <a:off x="0" y="0"/>
                      <a:ext cx="6192000" cy="2134057"/>
                    </a:xfrm>
                    <a:prstGeom prst="rect"/>
                  </pic:spPr>
                </pic:pic>
              </a:graphicData>
            </a:graphic>
          </wp:inline>
        </w:drawing>
      </w:r>
    </w:p>
    <w:p>
      <w:pPr>
        <w:keepNext/>
        <w:spacing w:before="0" w:after="120" w:line="288" w:lineRule="auto"/>
        <w:jc w:val="left"/>
      </w:pPr>
      <w:r>
        <w:rPr>
          <w:rFonts w:ascii="IBM Plex Mono" w:hAnsi="IBM Plex Mono" w:cs="IBM Plex Mono" w:eastAsia="IBM Plex Mono"/>
          <w:color w:val="1AA653"/>
          <w:sz w:val="18"/>
          <w:szCs w:val="18"/>
        </w:rPr>
        <w:t xml:space="preserve">10    </w:t>
      </w:r>
      <w:r>
        <w:rPr>
          <w:rFonts w:ascii="IBM Plex Sans" w:hAnsi="IBM Plex Sans" w:cs="IBM Plex Sans" w:eastAsia="IBM Plex Sans"/>
          <w:b/>
          <w:color w:val="1AA653"/>
          <w:sz w:val="18"/>
          <w:szCs w:val="18"/>
          <w:bCs/>
        </w:rPr>
        <w:t>Integrations and privacy</w:t>
      </w:r>
    </w:p>
    <w:p>
      <w:pPr>
        <w:keepNext/>
        <w:spacing w:before="0" w:after="160" w:line="288" w:lineRule="auto"/>
        <w:jc w:val="left"/>
      </w:pPr>
      <w:r>
        <w:rPr>
          <w:rFonts w:ascii="IBM Plex Sans" w:hAnsi="IBM Plex Sans" w:cs="IBM Plex Sans" w:eastAsia="IBM Plex Sans"/>
          <w:b/>
          <w:color w:val="0B0C0E"/>
          <w:sz w:val="40"/>
          <w:szCs w:val="40"/>
          <w:bCs/>
        </w:rPr>
        <w:t>Open to sources. Closed without your permission.</w:t>
      </w:r>
    </w:p>
    <w:p>
      <w:pPr>
        <w:keepNext/>
        <w:spacing w:before="0" w:after="160" w:line="360" w:lineRule="auto"/>
        <w:jc w:val="left"/>
      </w:pPr>
      <w:r>
        <w:rPr>
          <w:rFonts w:ascii="IBM Plex Sans" w:hAnsi="IBM Plex Sans" w:cs="IBM Plex Sans" w:eastAsia="IBM Plex Sans"/>
          <w:color w:val="2A2D33"/>
          <w:sz w:val="21"/>
          <w:szCs w:val="21"/>
        </w:rPr>
        <w:t>Ten target integrations: Apple Health, Google Health Connect, Samsung Health, WHOOP, Fitbit, HUAWEI Health, Nike Run Club, Apple Home, Google Home and Home Assistant. Plus compatible watches and bands, blood pressure and glucose devices, home sensors, and SYLTRA LIFE devices.</w:t>
      </w:r>
    </w:p>
    <w:p>
      <w:pPr>
        <w:spacing w:before="0" w:after="160" w:line="348" w:lineRule="auto"/>
        <w:jc w:val="left"/>
      </w:pPr>
      <w:r>
        <w:rPr>
          <w:rFonts w:ascii="IBM Plex Sans" w:hAnsi="IBM Plex Sans" w:cs="IBM Plex Sans" w:eastAsia="IBM Plex Sans"/>
          <w:color w:val="5B6068"/>
          <w:sz w:val="17"/>
          <w:szCs w:val="17"/>
        </w:rPr>
        <w:t>Integrations are under development and verification. The appearance of a name or logo does not mean a partnership or certification unless officially announced. An updated list of verified compatible devices and apps is published with each launch stage.</w:t>
      </w:r>
    </w:p>
    <w:p>
      <w:pPr>
        <w:keepNext/>
        <w:spacing w:before="160" w:after="120" w:line="312" w:lineRule="auto"/>
        <w:jc w:val="left"/>
      </w:pPr>
      <w:r>
        <w:rPr>
          <w:rFonts w:ascii="IBM Plex Sans" w:hAnsi="IBM Plex Sans" w:cs="IBM Plex Sans" w:eastAsia="IBM Plex Sans"/>
          <w:b/>
          <w:color w:val="0B0C0E"/>
          <w:sz w:val="28"/>
          <w:szCs w:val="28"/>
          <w:bCs/>
        </w:rPr>
        <w:t>Six privacy principles</w:t>
      </w:r>
    </w:p>
    <w:tbl>
      <w:tblPr>
        <w:tblW w:type="auto" w:w="0"/>
        <w:jc w:val="center"/>
        <w:tblLayout w:type="fixed"/>
        <w:tblLook w:firstColumn="1" w:firstRow="1" w:lastColumn="0" w:lastRow="0" w:noHBand="0" w:noVBand="1" w:val="04A0"/>
        <w:tblLayout w:type="fixed"/>
      </w:tblPr>
      <w:tblGrid>
        <w:gridCol w:w="3250"/>
        <w:gridCol w:w="3250"/>
        <w:gridCol w:w="3250"/>
      </w:tblGrid>
      <w:tr>
        <w:trPr>
          <w:cantSplit/>
        </w:trPr>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Consent</w:t>
            </w:r>
          </w:p>
          <w:p>
            <w:pPr>
              <w:keepNext/>
              <w:spacing w:before="0" w:after="0" w:line="336" w:lineRule="auto"/>
              <w:jc w:val="left"/>
            </w:pPr>
            <w:r>
              <w:rPr>
                <w:rFonts w:ascii="IBM Plex Sans" w:hAnsi="IBM Plex Sans" w:cs="IBM Plex Sans" w:eastAsia="IBM Plex Sans"/>
                <w:color w:val="2A2D33"/>
                <w:sz w:val="17"/>
                <w:szCs w:val="17"/>
              </w:rPr>
              <w:t>No source is connected and no information is shared without a clear choice, with specific consent for each data type.</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Minimum necessary</w:t>
            </w:r>
          </w:p>
          <w:p>
            <w:pPr>
              <w:keepNext/>
              <w:spacing w:before="0" w:after="0" w:line="336" w:lineRule="auto"/>
              <w:jc w:val="left"/>
            </w:pPr>
            <w:r>
              <w:rPr>
                <w:rFonts w:ascii="IBM Plex Sans" w:hAnsi="IBM Plex Sans" w:cs="IBM Plex Sans" w:eastAsia="IBM Plex Sans"/>
                <w:color w:val="2A2D33"/>
                <w:sz w:val="17"/>
                <w:szCs w:val="17"/>
              </w:rPr>
              <w:t>Only information needed for the stated purpose is collected, and only the smallest amount required is shared.</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Control</w:t>
            </w:r>
          </w:p>
          <w:p>
            <w:pPr>
              <w:keepNext/>
              <w:spacing w:before="0" w:after="0" w:line="336" w:lineRule="auto"/>
              <w:jc w:val="left"/>
            </w:pPr>
            <w:r>
              <w:rPr>
                <w:rFonts w:ascii="IBM Plex Sans" w:hAnsi="IBM Plex Sans" w:cs="IBM Plex Sans" w:eastAsia="IBM Plex Sans"/>
                <w:color w:val="2A2D33"/>
                <w:sz w:val="17"/>
                <w:szCs w:val="17"/>
              </w:rPr>
              <w:t>Connect or disconnect any source, decide who sees what, stop location sharing, withdraw consent, and delete data.</w:t>
            </w:r>
          </w:p>
        </w:tc>
      </w:tr>
      <w:tr>
        <w:trPr>
          <w:cantSplit/>
        </w:trPr>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Transparency</w:t>
            </w:r>
          </w:p>
          <w:p>
            <w:pPr>
              <w:spacing w:before="0" w:after="0" w:line="336" w:lineRule="auto"/>
              <w:jc w:val="left"/>
            </w:pPr>
            <w:r>
              <w:rPr>
                <w:rFonts w:ascii="IBM Plex Sans" w:hAnsi="IBM Plex Sans" w:cs="IBM Plex Sans" w:eastAsia="IBM Plex Sans"/>
                <w:color w:val="2A2D33"/>
                <w:sz w:val="17"/>
                <w:szCs w:val="17"/>
              </w:rPr>
              <w:t>The source and purpose of data use are explained.</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Accountability</w:t>
            </w:r>
          </w:p>
          <w:p>
            <w:pPr>
              <w:spacing w:before="0" w:after="0" w:line="336" w:lineRule="auto"/>
              <w:jc w:val="left"/>
            </w:pPr>
            <w:r>
              <w:rPr>
                <w:rFonts w:ascii="IBM Plex Sans" w:hAnsi="IBM Plex Sans" w:cs="IBM Plex Sans" w:eastAsia="IBM Plex Sans"/>
                <w:color w:val="2A2D33"/>
                <w:sz w:val="17"/>
                <w:szCs w:val="17"/>
              </w:rPr>
              <w:t>Access and sharing actions are logged, and the user can review the alert and sharing history.</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Retention</w:t>
            </w:r>
          </w:p>
          <w:p>
            <w:pPr>
              <w:spacing w:before="0" w:after="0" w:line="336" w:lineRule="auto"/>
              <w:jc w:val="left"/>
            </w:pPr>
            <w:r>
              <w:rPr>
                <w:rFonts w:ascii="IBM Plex Sans" w:hAnsi="IBM Plex Sans" w:cs="IBM Plex Sans" w:eastAsia="IBM Plex Sans"/>
                <w:color w:val="2A2D33"/>
                <w:sz w:val="17"/>
                <w:szCs w:val="17"/>
              </w:rPr>
              <w:t>Data is not kept longer than necessary for the stated purpose.</w:t>
            </w:r>
          </w:p>
        </w:tc>
      </w:tr>
    </w:tbl>
    <w:p>
      <w:pPr>
        <w:spacing w:before="0" w:after="0" w:line="240" w:lineRule="auto"/>
        <w:jc w:val="left"/>
      </w:pPr>
      <w:r>
        <w:rPr>
          <w:rFonts w:ascii="IBM Plex Sans" w:hAnsi="IBM Plex Sans" w:cs="IBM Plex Sans" w:eastAsia="IBM Plex Sans"/>
          <w:color w:val="0B0C0E"/>
          <w:sz w:val="12"/>
          <w:szCs w:val="12"/>
        </w:rPr>
      </w:r>
    </w:p>
    <w:p>
      <w:pPr>
        <w:spacing w:before="0" w:after="120" w:line="360" w:lineRule="auto"/>
        <w:jc w:val="left"/>
      </w:pPr>
      <w:r>
        <w:rPr>
          <w:rFonts w:ascii="IBM Plex Sans" w:hAnsi="IBM Plex Sans" w:cs="IBM Plex Sans" w:eastAsia="IBM Plex Sans"/>
          <w:color w:val="0B0C0E"/>
          <w:sz w:val="19"/>
          <w:szCs w:val="19"/>
        </w:rPr>
        <w:t>Privacy is part of the product experience and shows on every screen, not a legal paragraph at the end. Two internal references: the SDAIA Personal Data Protection controls for sensitive health data, and the SFDA controls for software as a medical device.</w:t>
      </w:r>
    </w:p>
    <w:p>
      <w:pPr>
        <w:spacing w:before="0" w:after="0" w:line="240" w:lineRule="auto"/>
        <w:jc w:val="left"/>
      </w:pPr>
      <w:r>
        <w:rPr>
          <w:rFonts w:ascii="IBM Plex Sans" w:hAnsi="IBM Plex Sans" w:cs="IBM Plex Sans" w:eastAsia="IBM Plex Sans"/>
          <w:color w:val="0B0C0E"/>
          <w:sz w:val="44"/>
          <w:szCs w:val="44"/>
        </w:rPr>
      </w:r>
    </w:p>
    <w:p>
      <w:pPr>
        <w:keepNext/>
        <w:spacing w:before="0" w:after="120" w:line="288" w:lineRule="auto"/>
        <w:jc w:val="left"/>
      </w:pPr>
      <w:r>
        <w:rPr>
          <w:rFonts w:ascii="IBM Plex Mono" w:hAnsi="IBM Plex Mono" w:cs="IBM Plex Mono" w:eastAsia="IBM Plex Mono"/>
          <w:color w:val="1AA653"/>
          <w:sz w:val="18"/>
          <w:szCs w:val="18"/>
        </w:rPr>
        <w:t xml:space="preserve">11    </w:t>
      </w:r>
      <w:r>
        <w:rPr>
          <w:rFonts w:ascii="IBM Plex Sans" w:hAnsi="IBM Plex Sans" w:cs="IBM Plex Sans" w:eastAsia="IBM Plex Sans"/>
          <w:b/>
          <w:color w:val="1AA653"/>
          <w:sz w:val="18"/>
          <w:szCs w:val="18"/>
          <w:bCs/>
        </w:rPr>
        <w:t>Roadmap</w:t>
      </w:r>
    </w:p>
    <w:p>
      <w:pPr>
        <w:keepNext/>
        <w:spacing w:before="0" w:after="160" w:line="288" w:lineRule="auto"/>
        <w:jc w:val="left"/>
      </w:pPr>
      <w:r>
        <w:rPr>
          <w:rFonts w:ascii="IBM Plex Sans" w:hAnsi="IBM Plex Sans" w:cs="IBM Plex Sans" w:eastAsia="IBM Plex Sans"/>
          <w:b/>
          <w:color w:val="0B0C0E"/>
          <w:sz w:val="40"/>
          <w:szCs w:val="40"/>
          <w:bCs/>
        </w:rPr>
        <w:t>Three phases, and one status today.</w:t>
      </w:r>
    </w:p>
    <w:p>
      <w:pPr>
        <w:keepNext/>
        <w:spacing w:before="0" w:after="160" w:line="360" w:lineRule="auto"/>
        <w:jc w:val="left"/>
      </w:pPr>
      <w:r>
        <w:rPr>
          <w:rFonts w:ascii="IBM Plex Sans" w:hAnsi="IBM Plex Sans" w:cs="IBM Plex Sans" w:eastAsia="IBM Plex Sans"/>
          <w:color w:val="2A2D33"/>
          <w:sz w:val="21"/>
          <w:szCs w:val="21"/>
        </w:rPr>
        <w:t>We start with clear, testable rules, then personal learning to detect deviation from the pattern. Each phase unlocks new claims after its approval, never before.</w:t>
      </w:r>
    </w:p>
    <w:tbl>
      <w:tblPr>
        <w:tblW w:type="auto" w:w="0"/>
        <w:jc w:val="center"/>
        <w:tblLayout w:type="fixed"/>
        <w:tblLook w:firstColumn="1" w:firstRow="1" w:lastColumn="0" w:lastRow="0" w:noHBand="0" w:noVBand="1" w:val="04A0"/>
        <w:tblLayout w:type="fixed"/>
      </w:tblPr>
      <w:tblGrid>
        <w:gridCol w:w="680"/>
        <w:gridCol w:w="9070"/>
      </w:tblGrid>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01</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Wellness Safety</w:t>
            </w:r>
          </w:p>
          <w:p>
            <w:pPr>
              <w:keepNext/>
              <w:spacing w:before="0" w:after="0" w:line="336" w:lineRule="auto"/>
              <w:jc w:val="left"/>
            </w:pPr>
            <w:r>
              <w:rPr>
                <w:rFonts w:ascii="IBM Plex Sans" w:hAnsi="IBM Plex Sans" w:cs="IBM Plex Sans" w:eastAsia="IBM Plex Sans"/>
                <w:color w:val="2A2D33"/>
                <w:sz w:val="17"/>
                <w:szCs w:val="17"/>
              </w:rPr>
              <w:t>General integrations, movement and environment awareness, reminders and check-ins, a trusted circle and family escalation.</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left"/>
            </w:pPr>
            <w:r>
              <w:rPr>
                <w:rFonts w:ascii="IBM Plex Mono" w:hAnsi="IBM Plex Mono" w:cs="IBM Plex Mono" w:eastAsia="IBM Plex Mono"/>
                <w:color w:val="1AA653"/>
                <w:sz w:val="22"/>
                <w:szCs w:val="22"/>
              </w:rPr>
              <w:t>02</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Connected Care</w:t>
            </w:r>
          </w:p>
          <w:p>
            <w:pPr>
              <w:keepNext/>
              <w:spacing w:before="0" w:after="0" w:line="336" w:lineRule="auto"/>
              <w:jc w:val="left"/>
            </w:pPr>
            <w:r>
              <w:rPr>
                <w:rFonts w:ascii="IBM Plex Sans" w:hAnsi="IBM Plex Sans" w:cs="IBM Plex Sans" w:eastAsia="IBM Plex Sans"/>
                <w:color w:val="2A2D33"/>
                <w:sz w:val="17"/>
                <w:szCs w:val="17"/>
              </w:rPr>
              <w:t>Compatible medical devices, plans defined by a professional, programs for older adults and chronic conditions, and deeper analytics.</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spacing w:before="40" w:after="0" w:line="312" w:lineRule="auto"/>
              <w:jc w:val="left"/>
            </w:pPr>
            <w:r>
              <w:rPr>
                <w:rFonts w:ascii="IBM Plex Mono" w:hAnsi="IBM Plex Mono" w:cs="IBM Plex Mono" w:eastAsia="IBM Plex Mono"/>
                <w:color w:val="1AA653"/>
                <w:sz w:val="22"/>
                <w:szCs w:val="22"/>
              </w:rPr>
              <w:t>03</w:t>
            </w:r>
          </w:p>
        </w:tc>
        <w:tc>
          <w:tcPr>
            <w:tcW w:type="dxa" w:w="9071"/>
            <w:tcBorders>
              <w:top w:val="nil"/>
              <w:bottom w:val="single" w:sz="6" w:color="ECEDEF"/>
              <w:start w:val="nil"/>
              <w:end w:val="nil"/>
            </w:tcBorders>
            <w:tcMar>
              <w:top w:w="100" w:type="dxa"/>
              <w:bottom w:w="100" w:type="dxa"/>
              <w:start w:w="60" w:type="dxa"/>
              <w:end w:w="60" w:type="dxa"/>
            </w:tcMar>
          </w:tcPr>
          <w:p>
            <w:pPr>
              <w:keepNext/>
              <w:spacing w:before="0" w:after="20" w:line="312" w:lineRule="auto"/>
              <w:jc w:val="left"/>
            </w:pPr>
            <w:r>
              <w:rPr>
                <w:rFonts w:ascii="IBM Plex Sans" w:hAnsi="IBM Plex Sans" w:cs="IBM Plex Sans" w:eastAsia="IBM Plex Sans"/>
                <w:b/>
                <w:color w:val="0B0C0E"/>
                <w:sz w:val="21"/>
                <w:szCs w:val="21"/>
                <w:bCs/>
              </w:rPr>
              <w:t>Emergency Response</w:t>
            </w:r>
          </w:p>
          <w:p>
            <w:pPr>
              <w:spacing w:before="0" w:after="0" w:line="336" w:lineRule="auto"/>
              <w:jc w:val="left"/>
            </w:pPr>
            <w:r>
              <w:rPr>
                <w:rFonts w:ascii="IBM Plex Sans" w:hAnsi="IBM Plex Sans" w:cs="IBM Plex Sans" w:eastAsia="IBM Plex Sans"/>
                <w:color w:val="2A2D33"/>
                <w:sz w:val="17"/>
                <w:szCs w:val="17"/>
              </w:rPr>
              <w:t>Official integrations with response agencies or care providers, after regulatory requirements, agreements and testing are complete.</w:t>
            </w:r>
          </w:p>
        </w:tc>
      </w:tr>
    </w:tbl>
    <w:p>
      <w:pPr>
        <w:spacing w:before="0" w:after="0" w:line="240" w:lineRule="auto"/>
        <w:jc w:val="left"/>
      </w:pPr>
      <w:r>
        <w:rPr>
          <w:rFonts w:ascii="IBM Plex Sans" w:hAnsi="IBM Plex Sans" w:cs="IBM Plex Sans" w:eastAsia="IBM Plex Sans"/>
          <w:color w:val="0B0C0E"/>
          <w:sz w:val="16"/>
          <w:szCs w:val="16"/>
        </w:rPr>
      </w:r>
    </w:p>
    <w:p>
      <w:pPr>
        <w:keepNext/>
        <w:spacing w:before="160" w:after="120" w:line="312" w:lineRule="auto"/>
        <w:jc w:val="left"/>
      </w:pPr>
      <w:r>
        <w:rPr>
          <w:rFonts w:ascii="IBM Plex Sans" w:hAnsi="IBM Plex Sans" w:cs="IBM Plex Sans" w:eastAsia="IBM Plex Sans"/>
          <w:b/>
          <w:color w:val="0B0C0E"/>
          <w:sz w:val="28"/>
          <w:szCs w:val="28"/>
          <w:bCs/>
        </w:rPr>
        <w:t>Where we are now</w:t>
      </w:r>
    </w:p>
    <w:tbl>
      <w:tblPr>
        <w:tblW w:type="auto" w:w="0"/>
        <w:jc w:val="center"/>
        <w:tblLayout w:type="fixed"/>
        <w:tblLook w:firstColumn="1" w:firstRow="1" w:lastColumn="0" w:lastRow="0" w:noHBand="0" w:noVBand="1" w:val="04A0"/>
        <w:tblLayout w:type="fixed"/>
      </w:tblPr>
      <w:tblGrid>
        <w:gridCol w:w="3250"/>
        <w:gridCol w:w="3250"/>
        <w:gridCol w:w="3250"/>
      </w:tblGrid>
      <w:tr>
        <w:trPr>
          <w:cantSplit/>
        </w:trPr>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The website</w:t>
            </w:r>
          </w:p>
          <w:p>
            <w:pPr>
              <w:spacing w:before="0" w:after="0" w:line="336" w:lineRule="auto"/>
              <w:jc w:val="left"/>
            </w:pPr>
            <w:r>
              <w:rPr>
                <w:rFonts w:ascii="IBM Plex Sans" w:hAnsi="IBM Plex Sans" w:cs="IBM Plex Sans" w:eastAsia="IBM Plex Sans"/>
                <w:color w:val="2A2D33"/>
                <w:sz w:val="17"/>
                <w:szCs w:val="17"/>
              </w:rPr>
              <w:t>Live at health.syltraone.com: 15 pages in Arabic and English, and a journal of 11 articles.</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The app</w:t>
            </w:r>
          </w:p>
          <w:p>
            <w:pPr>
              <w:spacing w:before="0" w:after="0" w:line="336" w:lineRule="auto"/>
              <w:jc w:val="left"/>
            </w:pPr>
            <w:r>
              <w:rPr>
                <w:rFonts w:ascii="IBM Plex Sans" w:hAnsi="IBM Plex Sans" w:cs="IBM Plex Sans" w:eastAsia="IBM Plex Sans"/>
                <w:color w:val="2A2D33"/>
                <w:sz w:val="17"/>
                <w:szCs w:val="17"/>
              </w:rPr>
              <w:t>Screens on show: Today, Your home, Your circle, Medications, and Access mode.</w:t>
            </w:r>
          </w:p>
        </w:tc>
        <w:tc>
          <w:tcPr>
            <w:tcW w:type="dxa" w:w="3250"/>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jc w:val="left"/>
            </w:pPr>
            <w:r>
              <w:rPr>
                <w:rFonts w:ascii="IBM Plex Sans" w:hAnsi="IBM Plex Sans" w:cs="IBM Plex Sans" w:eastAsia="IBM Plex Sans"/>
                <w:b/>
                <w:color w:val="0B0C0E"/>
                <w:sz w:val="21"/>
                <w:szCs w:val="21"/>
                <w:bCs/>
              </w:rPr>
              <w:t>Early access</w:t>
            </w:r>
          </w:p>
          <w:p>
            <w:pPr>
              <w:spacing w:before="0" w:after="0" w:line="336" w:lineRule="auto"/>
              <w:jc w:val="left"/>
            </w:pPr>
            <w:r>
              <w:rPr>
                <w:rFonts w:ascii="IBM Plex Sans" w:hAnsi="IBM Plex Sans" w:cs="IBM Plex Sans" w:eastAsia="IBM Plex Sans"/>
                <w:color w:val="2A2D33"/>
                <w:sz w:val="17"/>
                <w:szCs w:val="17"/>
              </w:rPr>
              <w:t>The early testing program is open, and registrations run on the published infrastructure.</w:t>
            </w:r>
          </w:p>
        </w:tc>
      </w:tr>
    </w:tbl>
    <w:p>
      <w:pPr>
        <w:spacing w:before="0" w:after="0" w:line="240" w:lineRule="auto"/>
        <w:jc w:val="left"/>
      </w:pPr>
      <w:r>
        <w:rPr>
          <w:rFonts w:ascii="IBM Plex Sans" w:hAnsi="IBM Plex Sans" w:cs="IBM Plex Sans" w:eastAsia="IBM Plex Sans"/>
          <w:color w:val="0B0C0E"/>
          <w:sz w:val="12"/>
          <w:szCs w:val="12"/>
        </w:rPr>
      </w:r>
    </w:p>
    <w:p>
      <w:pPr>
        <w:sectPr>
          <w:footerReference w:type="default" r:id="rId10"/>
          <w:pgSz w:w="11906" w:h="16838"/>
          <w:pgMar w:top="964" w:right="1077" w:bottom="964" w:left="1077" w:header="0" w:footer="510" w:gutter="0"/>
          <w:cols w:space="720"/>
          <w:docGrid w:linePitch="360"/>
        </w:sectPr>
      </w:pPr>
    </w:p>
    <w:tbl>
      <w:tblPr>
        <w:tblW w:type="auto" w:w="0"/>
        <w:jc w:val="center"/>
        <w:tblLayout w:type="fixed"/>
        <w:tblLook w:firstColumn="1" w:firstRow="1" w:lastColumn="0" w:lastRow="0" w:noHBand="0" w:noVBand="1" w:val="04A0"/>
        <w:tblLayout w:type="fixed"/>
      </w:tblPr>
      <w:tblGrid>
        <w:gridCol w:w="11905"/>
      </w:tblGrid>
      <w:tr>
        <w:trPr>
          <w:trHeight w:val="16781" w:hRule="exact"/>
        </w:trPr>
        <w:tc>
          <w:tcPr>
            <w:tcW w:type="dxa" w:w="11906"/>
            <w:shd w:val="clear" w:color="auto" w:fill="0B0C0E"/>
            <w:tcBorders>
              <w:top w:val="nil"/>
              <w:bottom w:val="nil"/>
              <w:start w:val="nil"/>
              <w:end w:val="nil"/>
            </w:tcBorders>
            <w:tcMar>
              <w:top w:w="1300" w:type="dxa"/>
              <w:bottom w:w="1000" w:type="dxa"/>
              <w:start w:w="1130" w:type="dxa"/>
              <w:end w:w="1130" w:type="dxa"/>
            </w:tcMar>
            <w:vAlign w:val="top"/>
          </w:tcPr>
          <w:p>
            <w:pPr>
              <w:spacing w:before="0" w:after="0" w:line="240" w:lineRule="auto"/>
              <w:jc w:val="left"/>
            </w:pPr>
            <w:r>
              <w:rPr>
                <w:rFonts w:ascii="IBM Plex Sans" w:hAnsi="IBM Plex Sans" w:cs="IBM Plex Sans" w:eastAsia="IBM Plex Sans"/>
                <w:color w:val="0B0C0E"/>
                <w:sz w:val="240"/>
                <w:szCs w:val="240"/>
              </w:rPr>
            </w:r>
          </w:p>
          <w:p>
            <w:pPr>
              <w:spacing w:before="0" w:after="240" w:line="288" w:lineRule="auto"/>
              <w:jc w:val="left"/>
            </w:pPr>
            <w:r>
              <w:rPr>
                <w:rFonts w:ascii="IBM Plex Sans" w:hAnsi="IBM Plex Sans" w:cs="IBM Plex Sans" w:eastAsia="IBM Plex Sans"/>
                <w:b/>
                <w:color w:val="ECEDEF"/>
                <w:sz w:val="60"/>
                <w:szCs w:val="60"/>
                <w:bCs/>
              </w:rPr>
              <w:t>Join the early testing program.</w:t>
            </w:r>
          </w:p>
          <w:p>
            <w:pPr>
              <w:spacing w:before="0" w:after="520" w:line="372" w:lineRule="auto"/>
              <w:jc w:val="left"/>
            </w:pPr>
            <w:r>
              <w:rPr>
                <w:rFonts w:ascii="IBM Plex Sans" w:hAnsi="IBM Plex Sans" w:cs="IBM Plex Sans" w:eastAsia="IBM Plex Sans"/>
                <w:color w:val="C7CCD3"/>
                <w:sz w:val="25"/>
                <w:szCs w:val="25"/>
              </w:rPr>
              <w:t>We are looking for individuals, families and care providers who will try the platform in its first phase and tell us what works and what does not. Registration asks for contact details and areas of interest only. It never asks for health data.</w:t>
            </w:r>
          </w:p>
          <w:p>
            <w:pPr>
              <w:spacing w:before="0" w:after="800" w:line="312" w:lineRule="auto"/>
              <w:jc w:val="left"/>
            </w:pPr>
            <w:r>
              <w:rPr>
                <w:rFonts w:ascii="IBM Plex Mono" w:hAnsi="IBM Plex Mono" w:cs="IBM Plex Mono" w:eastAsia="IBM Plex Mono"/>
                <w:color w:val="22E06B"/>
                <w:sz w:val="32"/>
                <w:szCs w:val="32"/>
              </w:rPr>
              <w:t>health.syltraone.com</w:t>
            </w:r>
          </w:p>
          <w:p>
            <w:pPr>
              <w:spacing w:before="0" w:after="40" w:line="360" w:lineRule="auto"/>
              <w:jc w:val="left"/>
            </w:pPr>
            <w:r>
              <w:rPr>
                <w:rFonts w:ascii="IBM Plex Sans" w:hAnsi="IBM Plex Sans" w:cs="IBM Plex Sans" w:eastAsia="IBM Plex Sans"/>
                <w:color w:val="C7CCD3"/>
                <w:sz w:val="20"/>
                <w:szCs w:val="20"/>
              </w:rPr>
              <w:t>Riyadh, Kingdom of Saudi Arabia</w:t>
            </w:r>
          </w:p>
          <w:p>
            <w:pPr>
              <w:spacing w:before="0" w:after="40" w:line="360" w:lineRule="auto"/>
              <w:jc w:val="left"/>
            </w:pPr>
            <w:r>
              <w:rPr>
                <w:rFonts w:ascii="IBM Plex Sans" w:hAnsi="IBM Plex Sans" w:cs="IBM Plex Sans" w:eastAsia="IBM Plex Sans"/>
                <w:color w:val="C7CCD3"/>
                <w:sz w:val="20"/>
                <w:szCs w:val="20"/>
              </w:rPr>
              <w:t>instagram.com/syltrahealth</w:t>
            </w:r>
          </w:p>
          <w:p>
            <w:pPr>
              <w:spacing w:before="0" w:after="40" w:line="360" w:lineRule="auto"/>
              <w:jc w:val="left"/>
            </w:pPr>
            <w:r>
              <w:rPr>
                <w:rFonts w:ascii="IBM Plex Sans" w:hAnsi="IBM Plex Sans" w:cs="IBM Plex Sans" w:eastAsia="IBM Plex Sans"/>
                <w:color w:val="C7CCD3"/>
                <w:sz w:val="20"/>
                <w:szCs w:val="20"/>
              </w:rPr>
              <w:t>A SYLTRA ONE Company · syltraone.com</w:t>
            </w:r>
          </w:p>
          <w:p>
            <w:pPr>
              <w:spacing w:before="0" w:after="0" w:line="240" w:lineRule="auto"/>
              <w:jc w:val="left"/>
            </w:pPr>
            <w:r>
              <w:rPr>
                <w:rFonts w:ascii="IBM Plex Sans" w:hAnsi="IBM Plex Sans" w:cs="IBM Plex Sans" w:eastAsia="IBM Plex Sans"/>
                <w:color w:val="0B0C0E"/>
                <w:sz w:val="300"/>
                <w:szCs w:val="300"/>
              </w:rPr>
            </w:r>
          </w:p>
          <w:p>
            <w:pPr>
              <w:spacing w:before="0" w:after="280" w:line="240" w:lineRule="auto"/>
              <w:jc w:val="left"/>
            </w:pPr>
            <w:r>
              <w:drawing>
                <wp:inline xmlns:a="http://schemas.openxmlformats.org/drawingml/2006/main" xmlns:pic="http://schemas.openxmlformats.org/drawingml/2006/picture">
                  <wp:extent cx="2160000" cy="588994"/>
                  <wp:docPr id="5" name="Picture 5"/>
                  <wp:cNvGraphicFramePr>
                    <a:graphicFrameLocks noChangeAspect="1"/>
                  </wp:cNvGraphicFramePr>
                  <a:graphic>
                    <a:graphicData uri="http://schemas.openxmlformats.org/drawingml/2006/picture">
                      <pic:pic>
                        <pic:nvPicPr>
                          <pic:cNvPr id="0" name="health-lockup-full.png"/>
                          <pic:cNvPicPr/>
                        </pic:nvPicPr>
                        <pic:blipFill>
                          <a:blip r:embed="rId9"/>
                          <a:stretch>
                            <a:fillRect/>
                          </a:stretch>
                        </pic:blipFill>
                        <pic:spPr>
                          <a:xfrm>
                            <a:off x="0" y="0"/>
                            <a:ext cx="2160000" cy="588994"/>
                          </a:xfrm>
                          <a:prstGeom prst="rect"/>
                        </pic:spPr>
                      </pic:pic>
                    </a:graphicData>
                  </a:graphic>
                </wp:inline>
              </w:drawing>
            </w:r>
          </w:p>
          <w:p>
            <w:pPr>
              <w:spacing w:before="0" w:after="0" w:line="348" w:lineRule="auto"/>
              <w:jc w:val="left"/>
            </w:pPr>
            <w:r>
              <w:rPr>
                <w:rFonts w:ascii="IBM Plex Sans" w:hAnsi="IBM Plex Sans" w:cs="IBM Plex Sans" w:eastAsia="IBM Plex Sans"/>
                <w:color w:val="5B6068"/>
                <w:sz w:val="17"/>
                <w:szCs w:val="17"/>
              </w:rPr>
              <w:t>Technology designed to support understanding and follow-up. It does not replace medical evaluation or care.</w:t>
            </w:r>
          </w:p>
        </w:tc>
      </w:tr>
    </w:tbl>
    <w:sectPr w:rsidR="00FC693F" w:rsidRPr="0006063C" w:rsidSect="00034616">
      <w:footerReference w:type="default" r:id="rId15"/>
      <w:pgSz w:w="11906" w:h="16838"/>
      <w:pgMar w:top="0" w:right="0" w:bottom="0" w:left="0" w:header="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IBM Plex Mono" w:hAnsi="IBM Plex Mono" w:cs="IBM Plex Mono" w:eastAsia="IBM Plex Mono"/>
        <w:color w:val="5B6068"/>
        <w:sz w:val="15"/>
        <w:szCs w:val="15"/>
      </w:rPr>
      <w:t xml:space="preserve">SYLTRA HEALTH · Company Profile 2026   ·   </w:t>
    </w:r>
    <w:r>
      <w:rPr>
        <w:rFonts w:ascii="IBM Plex Mono" w:hAnsi="IBM Plex Mono" w:cs="IBM Plex Mono" w:eastAsia="IBM Plex Mono"/>
        <w:color w:val="5B6068"/>
        <w:sz w:val="15"/>
        <w:szCs w:val="15"/>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cs="IBM Plex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