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120" w:line="288" w:lineRule="auto"/>
        <w:jc w:val="start"/>
      </w:pPr>
      <w:r>
        <w:rPr>
          <w:rFonts w:ascii="IBM Plex Sans Arabic" w:hAnsi="IBM Plex Sans Arabic" w:cs="IBM Plex Sans Arabic" w:eastAsia="IBM Plex Sans Arabic"/>
          <w:color w:val="2F6BE0"/>
          <w:sz w:val="16"/>
          <w:szCs w:val="16"/>
          <w:rtl w:val="1"/>
        </w:rPr>
        <w:t>HR-01 · عقد عمل</w:t>
      </w:r>
    </w:p>
    <w:p>
      <w:pPr>
        <w:keepNext/>
        <w:bidi w:val="1"/>
        <w:spacing w:before="0" w:after="80" w:line="288" w:lineRule="auto"/>
        <w:jc w:val="start"/>
      </w:pPr>
      <w:r>
        <w:rPr>
          <w:rFonts w:ascii="IBM Plex Sans Arabic" w:hAnsi="IBM Plex Sans Arabic" w:cs="IBM Plex Sans Arabic" w:eastAsia="IBM Plex Sans Arabic"/>
          <w:b/>
          <w:bCs/>
          <w:color w:val="0B0C0E"/>
          <w:sz w:val="44"/>
          <w:szCs w:val="44"/>
          <w:rtl w:val="1"/>
        </w:rPr>
        <w:t>عقد عمل — مندوب مبيعات</w:t>
      </w:r>
    </w:p>
    <w:p>
      <w:pPr>
        <w:bidi w:val="1"/>
        <w:spacing w:before="0" w:after="280" w:line="336" w:lineRule="auto"/>
        <w:jc w:val="start"/>
      </w:pPr>
      <w:r>
        <w:rPr>
          <w:rFonts w:ascii="IBM Plex Sans Arabic" w:hAnsi="IBM Plex Sans Arabic" w:cs="IBM Plex Sans Arabic" w:eastAsia="IBM Plex Sans Arabic"/>
          <w:color w:val="5B6068"/>
          <w:sz w:val="22"/>
          <w:szCs w:val="22"/>
          <w:rtl w:val="1"/>
        </w:rPr>
        <w:t>عقد عمل محدد المدة وفق نظام العمل السعودي ولائحته التنفيذية، مع ملحق سياسة العمولات والأهداف.</w:t>
      </w:r>
    </w:p>
    <w:p>
      <w:pPr>
        <w:keepNext/>
        <w:bidi w:val="1"/>
        <w:spacing w:before="0" w:after="40" w:line="288" w:lineRule="auto"/>
        <w:jc w:val="start"/>
      </w:pPr>
      <w:r>
        <w:rPr>
          <w:rFonts w:ascii="IBM Plex Sans Arabic" w:hAnsi="IBM Plex Sans Arabic" w:cs="IBM Plex Sans Arabic" w:eastAsia="IBM Plex Sans Arabic"/>
          <w:color w:val="2F6BE0"/>
          <w:sz w:val="16"/>
          <w:szCs w:val="16"/>
          <w:rtl w:val="1"/>
        </w:rPr>
        <w:t>الطرفان</w:t>
      </w:r>
    </w:p>
    <w:tbl>
      <w:tblPr>
        <w:bidiVisual/>
        <w:tblW w:type="auto" w:w="0"/>
        <w:jc w:val="center"/>
        <w:tblLayout w:type="fixed"/>
        <w:tblLook w:firstColumn="1" w:firstRow="1" w:lastColumn="0" w:lastRow="0" w:noHBand="0" w:noVBand="1" w:val="04A0"/>
      </w:tblPr>
      <w:tblGrid>
        <w:gridCol w:w="3156"/>
        <w:gridCol w:w="6707"/>
      </w:tblGrid>
      <w:tr>
        <w:trPr>
          <w:trHeight w:val="510" w:hRule="atLeast"/>
        </w:trPr>
        <w:tc>
          <w:tcPr>
            <w:tcW w:type="dxa" w:w="3157"/>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5B6068"/>
                <w:sz w:val="18"/>
                <w:szCs w:val="18"/>
                <w:rtl w:val="1"/>
              </w:rPr>
              <w:t>الطرف الأول (صاحب العمل)</w:t>
            </w:r>
          </w:p>
        </w:tc>
        <w:tc>
          <w:tcPr>
            <w:tcW w:type="dxa" w:w="6708"/>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21"/>
                <w:szCs w:val="21"/>
                <w:rtl w:val="1"/>
              </w:rPr>
              <w:t>سيلترا سمارت — SYLTRA SMART</w:t>
            </w:r>
          </w:p>
        </w:tc>
      </w:tr>
      <w:tr>
        <w:trPr>
          <w:trHeight w:val="510" w:hRule="atLeast"/>
        </w:trPr>
        <w:tc>
          <w:tcPr>
            <w:tcW w:type="dxa" w:w="3157"/>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5B6068"/>
                <w:sz w:val="18"/>
                <w:szCs w:val="18"/>
                <w:rtl w:val="1"/>
              </w:rPr>
              <w:t>السجل التجاري</w:t>
            </w:r>
          </w:p>
        </w:tc>
        <w:tc>
          <w:tcPr>
            <w:tcW w:type="dxa" w:w="6708"/>
            <w:tcBorders>
              <w:top w:val="nil"/>
              <w:bottom w:val="single" w:sz="6" w:color="D9DCE1"/>
              <w:start w:val="nil"/>
              <w:end w:val="nil"/>
            </w:tcBorders>
            <w:tcMar>
              <w:top w:w="70" w:type="dxa"/>
              <w:bottom w:w="70" w:type="dxa"/>
              <w:start w:w="100" w:type="dxa"/>
              <w:end w:w="10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21"/>
                <w:szCs w:val="21"/>
              </w:rPr>
              <w:t xml:space="preserve"> </w:t>
            </w:r>
          </w:p>
        </w:tc>
      </w:tr>
      <w:tr>
        <w:trPr>
          <w:trHeight w:val="510" w:hRule="atLeast"/>
        </w:trPr>
        <w:tc>
          <w:tcPr>
            <w:tcW w:type="dxa" w:w="3157"/>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5B6068"/>
                <w:sz w:val="18"/>
                <w:szCs w:val="18"/>
                <w:rtl w:val="1"/>
              </w:rPr>
              <w:t>العنوان</w:t>
            </w:r>
          </w:p>
        </w:tc>
        <w:tc>
          <w:tcPr>
            <w:tcW w:type="dxa" w:w="6708"/>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21"/>
                <w:szCs w:val="21"/>
                <w:rtl w:val="1"/>
              </w:rPr>
              <w:t>الرياض — حي الملقا</w:t>
            </w:r>
          </w:p>
        </w:tc>
      </w:tr>
      <w:tr>
        <w:trPr>
          <w:trHeight w:val="510" w:hRule="atLeast"/>
        </w:trPr>
        <w:tc>
          <w:tcPr>
            <w:tcW w:type="dxa" w:w="3157"/>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5B6068"/>
                <w:sz w:val="18"/>
                <w:szCs w:val="18"/>
                <w:rtl w:val="1"/>
              </w:rPr>
              <w:t>يمثله في التوقيع</w:t>
            </w:r>
          </w:p>
        </w:tc>
        <w:tc>
          <w:tcPr>
            <w:tcW w:type="dxa" w:w="6708"/>
            <w:tcBorders>
              <w:top w:val="nil"/>
              <w:bottom w:val="single" w:sz="6" w:color="D9DCE1"/>
              <w:start w:val="nil"/>
              <w:end w:val="nil"/>
            </w:tcBorders>
            <w:tcMar>
              <w:top w:w="70" w:type="dxa"/>
              <w:bottom w:w="70" w:type="dxa"/>
              <w:start w:w="100" w:type="dxa"/>
              <w:end w:w="10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21"/>
                <w:szCs w:val="21"/>
              </w:rPr>
              <w:t xml:space="preserve"> </w:t>
            </w:r>
          </w:p>
        </w:tc>
      </w:tr>
      <w:tr>
        <w:trPr>
          <w:trHeight w:val="510" w:hRule="atLeast"/>
        </w:trPr>
        <w:tc>
          <w:tcPr>
            <w:tcW w:type="dxa" w:w="3157"/>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5B6068"/>
                <w:sz w:val="18"/>
                <w:szCs w:val="18"/>
                <w:rtl w:val="1"/>
              </w:rPr>
              <w:t>الطرف الثاني (العامل)</w:t>
            </w:r>
          </w:p>
        </w:tc>
        <w:tc>
          <w:tcPr>
            <w:tcW w:type="dxa" w:w="6708"/>
            <w:tcBorders>
              <w:top w:val="nil"/>
              <w:bottom w:val="single" w:sz="6" w:color="D9DCE1"/>
              <w:start w:val="nil"/>
              <w:end w:val="nil"/>
            </w:tcBorders>
            <w:tcMar>
              <w:top w:w="70" w:type="dxa"/>
              <w:bottom w:w="70" w:type="dxa"/>
              <w:start w:w="100" w:type="dxa"/>
              <w:end w:w="10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21"/>
                <w:szCs w:val="21"/>
              </w:rPr>
              <w:t xml:space="preserve"> </w:t>
            </w:r>
          </w:p>
        </w:tc>
      </w:tr>
      <w:tr>
        <w:trPr>
          <w:trHeight w:val="510" w:hRule="atLeast"/>
        </w:trPr>
        <w:tc>
          <w:tcPr>
            <w:tcW w:type="dxa" w:w="3157"/>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5B6068"/>
                <w:sz w:val="18"/>
                <w:szCs w:val="18"/>
                <w:rtl w:val="1"/>
              </w:rPr>
              <w:t>الجنسية</w:t>
            </w:r>
          </w:p>
        </w:tc>
        <w:tc>
          <w:tcPr>
            <w:tcW w:type="dxa" w:w="6708"/>
            <w:tcBorders>
              <w:top w:val="nil"/>
              <w:bottom w:val="single" w:sz="6" w:color="D9DCE1"/>
              <w:start w:val="nil"/>
              <w:end w:val="nil"/>
            </w:tcBorders>
            <w:tcMar>
              <w:top w:w="70" w:type="dxa"/>
              <w:bottom w:w="70" w:type="dxa"/>
              <w:start w:w="100" w:type="dxa"/>
              <w:end w:w="10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21"/>
                <w:szCs w:val="21"/>
              </w:rPr>
              <w:t xml:space="preserve"> </w:t>
            </w:r>
          </w:p>
        </w:tc>
      </w:tr>
      <w:tr>
        <w:trPr>
          <w:trHeight w:val="510" w:hRule="atLeast"/>
        </w:trPr>
        <w:tc>
          <w:tcPr>
            <w:tcW w:type="dxa" w:w="3157"/>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5B6068"/>
                <w:sz w:val="18"/>
                <w:szCs w:val="18"/>
                <w:rtl w:val="1"/>
              </w:rPr>
              <w:t>رقم الهوية / الإقامة</w:t>
            </w:r>
          </w:p>
        </w:tc>
        <w:tc>
          <w:tcPr>
            <w:tcW w:type="dxa" w:w="6708"/>
            <w:tcBorders>
              <w:top w:val="nil"/>
              <w:bottom w:val="single" w:sz="6" w:color="D9DCE1"/>
              <w:start w:val="nil"/>
              <w:end w:val="nil"/>
            </w:tcBorders>
            <w:tcMar>
              <w:top w:w="70" w:type="dxa"/>
              <w:bottom w:w="70" w:type="dxa"/>
              <w:start w:w="100" w:type="dxa"/>
              <w:end w:w="10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21"/>
                <w:szCs w:val="21"/>
              </w:rPr>
              <w:t xml:space="preserve"> </w:t>
            </w:r>
          </w:p>
        </w:tc>
      </w:tr>
      <w:tr>
        <w:trPr>
          <w:trHeight w:val="510" w:hRule="atLeast"/>
        </w:trPr>
        <w:tc>
          <w:tcPr>
            <w:tcW w:type="dxa" w:w="3157"/>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5B6068"/>
                <w:sz w:val="18"/>
                <w:szCs w:val="18"/>
                <w:rtl w:val="1"/>
              </w:rPr>
              <w:t>رقم الجوال</w:t>
            </w:r>
          </w:p>
        </w:tc>
        <w:tc>
          <w:tcPr>
            <w:tcW w:type="dxa" w:w="6708"/>
            <w:tcBorders>
              <w:top w:val="nil"/>
              <w:bottom w:val="single" w:sz="6" w:color="D9DCE1"/>
              <w:start w:val="nil"/>
              <w:end w:val="nil"/>
            </w:tcBorders>
            <w:tcMar>
              <w:top w:w="70" w:type="dxa"/>
              <w:bottom w:w="70" w:type="dxa"/>
              <w:start w:w="100" w:type="dxa"/>
              <w:end w:w="10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21"/>
                <w:szCs w:val="21"/>
              </w:rPr>
              <w:t xml:space="preserve"> </w:t>
            </w:r>
          </w:p>
        </w:tc>
      </w:tr>
      <w:tr>
        <w:trPr>
          <w:trHeight w:val="510" w:hRule="atLeast"/>
        </w:trPr>
        <w:tc>
          <w:tcPr>
            <w:tcW w:type="dxa" w:w="3157"/>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5B6068"/>
                <w:sz w:val="18"/>
                <w:szCs w:val="18"/>
                <w:rtl w:val="1"/>
              </w:rPr>
              <w:t>العنوان الوطني</w:t>
            </w:r>
          </w:p>
        </w:tc>
        <w:tc>
          <w:tcPr>
            <w:tcW w:type="dxa" w:w="6708"/>
            <w:tcBorders>
              <w:top w:val="nil"/>
              <w:bottom w:val="single" w:sz="6" w:color="D9DCE1"/>
              <w:start w:val="nil"/>
              <w:end w:val="nil"/>
            </w:tcBorders>
            <w:tcMar>
              <w:top w:w="70" w:type="dxa"/>
              <w:bottom w:w="70" w:type="dxa"/>
              <w:start w:w="100" w:type="dxa"/>
              <w:end w:w="10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21"/>
                <w:szCs w:val="21"/>
              </w:rPr>
              <w:t xml:space="preserve"> </w:t>
            </w:r>
          </w:p>
        </w:tc>
      </w:tr>
    </w:tbl>
    <w:p>
      <w:pPr>
        <w:bidi w:val="1"/>
        <w:spacing w:before="0" w:after="0" w:line="240" w:lineRule="auto"/>
        <w:jc w:val="start"/>
      </w:pPr>
      <w:r>
        <w:rPr>
          <w:rFonts w:ascii="IBM Plex Sans Arabic" w:hAnsi="IBM Plex Sans Arabic" w:cs="IBM Plex Sans Arabic" w:eastAsia="IBM Plex Sans Arabic"/>
          <w:color w:val="0B0C0E"/>
          <w:sz w:val="12"/>
          <w:szCs w:val="12"/>
        </w:rPr>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تم الاتفاق بين الطرفين، وهما بكامل الأهلية المعتبرة نظاماً، على ما يلي:</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المادة 1  طبيعة العمل ومكانه</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1.1  </w:t>
      </w:r>
      <w:r>
        <w:rPr>
          <w:rFonts w:ascii="IBM Plex Sans Arabic" w:hAnsi="IBM Plex Sans Arabic" w:cs="IBM Plex Sans Arabic" w:eastAsia="IBM Plex Sans Arabic"/>
          <w:color w:val="0B0C0E"/>
          <w:sz w:val="21"/>
          <w:szCs w:val="21"/>
          <w:rtl w:val="1"/>
        </w:rPr>
        <w:t>يعمل الطرف الثاني لدى الطرف الأول بوظيفة «مندوب مبيعات»، ويؤدي مهام بيع أنظمة وأجهزة المنزل الذكي التي توفرها الشركة، والتواصل مع العملاء، وإجراء الزيارات الميدانية، وتقديم العروض والعروض التقديمية، ومتابعة العملاء حتى إتمام التعاقد وتسليم المشروع.</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1.2  </w:t>
      </w:r>
      <w:r>
        <w:rPr>
          <w:rFonts w:ascii="IBM Plex Sans Arabic" w:hAnsi="IBM Plex Sans Arabic" w:cs="IBM Plex Sans Arabic" w:eastAsia="IBM Plex Sans Arabic"/>
          <w:color w:val="0B0C0E"/>
          <w:sz w:val="21"/>
          <w:szCs w:val="21"/>
          <w:rtl w:val="1"/>
        </w:rPr>
        <w:t>مقر العمل الأساسي هو مكتب الشركة في مدينة الرياض — حي الملقا، ويشمل نطاق العمل الزيارات الميدانية داخل مدينة الرياض وما يكلَّف به من مهام خارجها بموافقة الطرف الأول.</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1.3  </w:t>
      </w:r>
      <w:r>
        <w:rPr>
          <w:rFonts w:ascii="IBM Plex Sans Arabic" w:hAnsi="IBM Plex Sans Arabic" w:cs="IBM Plex Sans Arabic" w:eastAsia="IBM Plex Sans Arabic"/>
          <w:color w:val="0B0C0E"/>
          <w:sz w:val="21"/>
          <w:szCs w:val="21"/>
          <w:rtl w:val="1"/>
        </w:rPr>
        <w:t>يلتزم الطرف الثاني بأداء العمل بنفسه وبأمانة، وبالتقيد بتعليمات الطرف الأول ولوائحه الداخلية وسياسات البيع والأسعار المعتمدة.</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المادة 2  مدة العقد وفترة التجربة</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2.1  </w:t>
      </w:r>
      <w:r>
        <w:rPr>
          <w:rFonts w:ascii="IBM Plex Sans Arabic" w:hAnsi="IBM Plex Sans Arabic" w:cs="IBM Plex Sans Arabic" w:eastAsia="IBM Plex Sans Arabic"/>
          <w:color w:val="0B0C0E"/>
          <w:sz w:val="21"/>
          <w:szCs w:val="21"/>
          <w:rtl w:val="1"/>
        </w:rPr>
        <w:t>هذا العقد محدد المدة، مدته (____) شهراً تبدأ من تاريخ مباشرة العمل في ____ / ____ / ________م، ويتجدد تلقائياً لمدة مماثلة ما لم يُشعر أحد الطرفين الآخر كتابةً برغبته في عدم التجديد قبل انتهاء مدته بثلاثين يوماً على الأقل.</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2.2  </w:t>
      </w:r>
      <w:r>
        <w:rPr>
          <w:rFonts w:ascii="IBM Plex Sans Arabic" w:hAnsi="IBM Plex Sans Arabic" w:cs="IBM Plex Sans Arabic" w:eastAsia="IBM Plex Sans Arabic"/>
          <w:color w:val="0B0C0E"/>
          <w:sz w:val="21"/>
          <w:szCs w:val="21"/>
          <w:rtl w:val="1"/>
        </w:rPr>
        <w:t>يخضع الطرف الثاني لفترة تجربة مدتها تسعون (90) يوماً من تاريخ المباشرة، لا تدخل فيها إجازتا عيدي الفطر والأضحى والإجازة المرضية، ويحق لأيٍّ من الطرفين إنهاء العقد خلالها دون مكافأة أو تعويض.</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2.3  </w:t>
      </w:r>
      <w:r>
        <w:rPr>
          <w:rFonts w:ascii="IBM Plex Sans Arabic" w:hAnsi="IBM Plex Sans Arabic" w:cs="IBM Plex Sans Arabic" w:eastAsia="IBM Plex Sans Arabic"/>
          <w:color w:val="0B0C0E"/>
          <w:sz w:val="21"/>
          <w:szCs w:val="21"/>
          <w:rtl w:val="1"/>
        </w:rPr>
        <w:t>تتضمن فترة التجربة برنامج تأهيل على المنتجات وأسلوب البيع والعرض التوضيحي، ويُقيَّم الطرف الثاني في نهايتها وفق معايير الأداء الموضحة في الملحق (أ).</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المادة 3  الأجر والبدلات</w:t>
      </w:r>
    </w:p>
    <w:tbl>
      <w:tblPr>
        <w:bidiVisual/>
        <w:tblW w:type="auto" w:w="0"/>
        <w:jc w:val="center"/>
        <w:tblLayout w:type="fixed"/>
        <w:tblLook w:firstColumn="1" w:firstRow="1" w:lastColumn="0" w:lastRow="0" w:noHBand="0" w:noVBand="1" w:val="04A0"/>
      </w:tblPr>
      <w:tblGrid>
        <w:gridCol w:w="3748"/>
        <w:gridCol w:w="6116"/>
      </w:tblGrid>
      <w:tr>
        <w:trPr>
          <w:trHeight w:val="510" w:hRule="atLeast"/>
        </w:trPr>
        <w:tc>
          <w:tcPr>
            <w:tcW w:type="dxa" w:w="3749"/>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5B6068"/>
                <w:sz w:val="18"/>
                <w:szCs w:val="18"/>
                <w:rtl w:val="1"/>
              </w:rPr>
              <w:t>الراتب الأساسي الشهري</w:t>
            </w:r>
          </w:p>
        </w:tc>
        <w:tc>
          <w:tcPr>
            <w:tcW w:type="dxa" w:w="6116"/>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21"/>
                <w:szCs w:val="21"/>
                <w:rtl w:val="1"/>
              </w:rPr>
              <w:t>____________ ريال سعودي</w:t>
            </w:r>
          </w:p>
        </w:tc>
      </w:tr>
      <w:tr>
        <w:trPr>
          <w:trHeight w:val="510" w:hRule="atLeast"/>
        </w:trPr>
        <w:tc>
          <w:tcPr>
            <w:tcW w:type="dxa" w:w="3749"/>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5B6068"/>
                <w:sz w:val="18"/>
                <w:szCs w:val="18"/>
                <w:rtl w:val="1"/>
              </w:rPr>
              <w:t>بدل السكن</w:t>
            </w:r>
          </w:p>
        </w:tc>
        <w:tc>
          <w:tcPr>
            <w:tcW w:type="dxa" w:w="6116"/>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21"/>
                <w:szCs w:val="21"/>
                <w:rtl w:val="1"/>
              </w:rPr>
              <w:t>____________ ريال سعودي (أو ____ % من الأساسي)</w:t>
            </w:r>
          </w:p>
        </w:tc>
      </w:tr>
      <w:tr>
        <w:trPr>
          <w:trHeight w:val="510" w:hRule="atLeast"/>
        </w:trPr>
        <w:tc>
          <w:tcPr>
            <w:tcW w:type="dxa" w:w="3749"/>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5B6068"/>
                <w:sz w:val="18"/>
                <w:szCs w:val="18"/>
                <w:rtl w:val="1"/>
              </w:rPr>
              <w:t>بدل النقل / المواصلات</w:t>
            </w:r>
          </w:p>
        </w:tc>
        <w:tc>
          <w:tcPr>
            <w:tcW w:type="dxa" w:w="6116"/>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21"/>
                <w:szCs w:val="21"/>
                <w:rtl w:val="1"/>
              </w:rPr>
              <w:t>____________ ريال سعودي</w:t>
            </w:r>
          </w:p>
        </w:tc>
      </w:tr>
      <w:tr>
        <w:trPr>
          <w:trHeight w:val="510" w:hRule="atLeast"/>
        </w:trPr>
        <w:tc>
          <w:tcPr>
            <w:tcW w:type="dxa" w:w="3749"/>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5B6068"/>
                <w:sz w:val="18"/>
                <w:szCs w:val="18"/>
                <w:rtl w:val="1"/>
              </w:rPr>
              <w:t>إجمالي الأجر الشهري الثابت</w:t>
            </w:r>
          </w:p>
        </w:tc>
        <w:tc>
          <w:tcPr>
            <w:tcW w:type="dxa" w:w="6116"/>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21"/>
                <w:szCs w:val="21"/>
                <w:rtl w:val="1"/>
              </w:rPr>
              <w:t>____________ ريال سعودي</w:t>
            </w:r>
          </w:p>
        </w:tc>
      </w:tr>
      <w:tr>
        <w:trPr>
          <w:trHeight w:val="510" w:hRule="atLeast"/>
        </w:trPr>
        <w:tc>
          <w:tcPr>
            <w:tcW w:type="dxa" w:w="3749"/>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5B6068"/>
                <w:sz w:val="18"/>
                <w:szCs w:val="18"/>
                <w:rtl w:val="1"/>
              </w:rPr>
              <w:t>العمولات والحوافز</w:t>
            </w:r>
          </w:p>
        </w:tc>
        <w:tc>
          <w:tcPr>
            <w:tcW w:type="dxa" w:w="6116"/>
            <w:tcBorders>
              <w:top w:val="nil"/>
              <w:bottom w:val="single" w:sz="6" w:color="D9DCE1"/>
              <w:start w:val="nil"/>
              <w:end w:val="nil"/>
            </w:tcBorders>
            <w:tcMar>
              <w:top w:w="70" w:type="dxa"/>
              <w:bottom w:w="70" w:type="dxa"/>
              <w:start w:w="100" w:type="dxa"/>
              <w:end w:w="10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21"/>
                <w:szCs w:val="21"/>
                <w:rtl w:val="1"/>
              </w:rPr>
              <w:t>وفق الملحق (أ) — سياسة العمولات والأهداف</w:t>
            </w:r>
          </w:p>
        </w:tc>
      </w:tr>
    </w:tbl>
    <w:p>
      <w:pPr>
        <w:bidi w:val="1"/>
        <w:spacing w:before="0" w:after="0" w:line="240" w:lineRule="auto"/>
        <w:jc w:val="start"/>
      </w:pPr>
      <w:r>
        <w:rPr>
          <w:rFonts w:ascii="IBM Plex Sans Arabic" w:hAnsi="IBM Plex Sans Arabic" w:cs="IBM Plex Sans Arabic" w:eastAsia="IBM Plex Sans Arabic"/>
          <w:color w:val="0B0C0E"/>
          <w:sz w:val="12"/>
          <w:szCs w:val="12"/>
        </w:rPr>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3.1  </w:t>
      </w:r>
      <w:r>
        <w:rPr>
          <w:rFonts w:ascii="IBM Plex Sans Arabic" w:hAnsi="IBM Plex Sans Arabic" w:cs="IBM Plex Sans Arabic" w:eastAsia="IBM Plex Sans Arabic"/>
          <w:color w:val="0B0C0E"/>
          <w:sz w:val="21"/>
          <w:szCs w:val="21"/>
          <w:rtl w:val="1"/>
        </w:rPr>
        <w:t>يُصرف الأجر بالريال السعودي في نهاية كل شهر ميلادي عبر التحويل البنكي على حساب الطرف الثاني المسجَّل في نظام حماية الأجور.</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3.2  </w:t>
      </w:r>
      <w:r>
        <w:rPr>
          <w:rFonts w:ascii="IBM Plex Sans Arabic" w:hAnsi="IBM Plex Sans Arabic" w:cs="IBM Plex Sans Arabic" w:eastAsia="IBM Plex Sans Arabic"/>
          <w:color w:val="0B0C0E"/>
          <w:sz w:val="21"/>
          <w:szCs w:val="21"/>
          <w:rtl w:val="1"/>
        </w:rPr>
        <w:t>العمولات جزء متغير من الأجر يُحتسب ويُصرف وفق أحكام الملحق (أ)، ولا يُعدّ استحقاقها حقاً مكتسباً إلا بعد تحقق شروطها الواردة فيه.</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3.3  </w:t>
      </w:r>
      <w:r>
        <w:rPr>
          <w:rFonts w:ascii="IBM Plex Sans Arabic" w:hAnsi="IBM Plex Sans Arabic" w:cs="IBM Plex Sans Arabic" w:eastAsia="IBM Plex Sans Arabic"/>
          <w:color w:val="0B0C0E"/>
          <w:sz w:val="21"/>
          <w:szCs w:val="21"/>
          <w:rtl w:val="1"/>
        </w:rPr>
        <w:t>يلتزم الطرف الأول بتسجيل الطرف الثاني في التأمينات الاجتماعية وسداد ما يخصه من اشتراكات، ويُخصم من أجر الطرف الثاني ما يخصه منها وفق النظام.</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المادة 4  ساعات العمل والراحة</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4.1  </w:t>
      </w:r>
      <w:r>
        <w:rPr>
          <w:rFonts w:ascii="IBM Plex Sans Arabic" w:hAnsi="IBM Plex Sans Arabic" w:cs="IBM Plex Sans Arabic" w:eastAsia="IBM Plex Sans Arabic"/>
          <w:color w:val="0B0C0E"/>
          <w:sz w:val="21"/>
          <w:szCs w:val="21"/>
          <w:rtl w:val="1"/>
        </w:rPr>
        <w:t>ساعات العمل ثماني (8) ساعات في اليوم أو ثمانٍ وأربعون (48) ساعة في الأسبوع، وتُخفَّض في شهر رمضان إلى ست (6) ساعات في اليوم أو ست وثلاثين (36) ساعة في الأسبوع للعامل المسلم.</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4.2  </w:t>
      </w:r>
      <w:r>
        <w:rPr>
          <w:rFonts w:ascii="IBM Plex Sans Arabic" w:hAnsi="IBM Plex Sans Arabic" w:cs="IBM Plex Sans Arabic" w:eastAsia="IBM Plex Sans Arabic"/>
          <w:color w:val="0B0C0E"/>
          <w:sz w:val="21"/>
          <w:szCs w:val="21"/>
          <w:rtl w:val="1"/>
        </w:rPr>
        <w:t>أيام العمل من الأحد إلى الخميس، ويوم الجمعة هو يوم الراحة الأسبوعية، وللطرف الأول تنظيم زيارات العملاء يوم السبت بالتناوب على أن يُعوَّض الطرف الثاني بيوم راحة بديل خلال الأسبوع نفسه.</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4.3  </w:t>
      </w:r>
      <w:r>
        <w:rPr>
          <w:rFonts w:ascii="IBM Plex Sans Arabic" w:hAnsi="IBM Plex Sans Arabic" w:cs="IBM Plex Sans Arabic" w:eastAsia="IBM Plex Sans Arabic"/>
          <w:color w:val="0B0C0E"/>
          <w:sz w:val="21"/>
          <w:szCs w:val="21"/>
          <w:rtl w:val="1"/>
        </w:rPr>
        <w:t>طبيعة عمل المبيعات الميدانية تقتضي مرونة في توزيع ساعات العمل بين المكتب والميدان، ويُسجَّل الحضور والزيارات وفق النظام الذي يعتمده الطرف الأول.</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4.4  </w:t>
      </w:r>
      <w:r>
        <w:rPr>
          <w:rFonts w:ascii="IBM Plex Sans Arabic" w:hAnsi="IBM Plex Sans Arabic" w:cs="IBM Plex Sans Arabic" w:eastAsia="IBM Plex Sans Arabic"/>
          <w:color w:val="0B0C0E"/>
          <w:sz w:val="21"/>
          <w:szCs w:val="21"/>
          <w:rtl w:val="1"/>
        </w:rPr>
        <w:t>أي عمل إضافي يُكلَّف به الطرف الثاني كتابةً يُعوَّض وفق نظام العمل.</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المادة 5  الإجازات</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5.1  </w:t>
      </w:r>
      <w:r>
        <w:rPr>
          <w:rFonts w:ascii="IBM Plex Sans Arabic" w:hAnsi="IBM Plex Sans Arabic" w:cs="IBM Plex Sans Arabic" w:eastAsia="IBM Plex Sans Arabic"/>
          <w:color w:val="0B0C0E"/>
          <w:sz w:val="21"/>
          <w:szCs w:val="21"/>
          <w:rtl w:val="1"/>
        </w:rPr>
        <w:t>يستحق الطرف الثاني إجازة سنوية مدفوعة الأجر مدتها واحد وعشرون (21) يوماً، تُرفع إلى ثلاثين (30) يوماً متى أمضى خمس سنوات متصلة في خدمة الطرف الأول، ويُحدَّد موعدها بالاتفاق وبما لا يتعارض مع مواسم الذروة في المبيعات.</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5.2  </w:t>
      </w:r>
      <w:r>
        <w:rPr>
          <w:rFonts w:ascii="IBM Plex Sans Arabic" w:hAnsi="IBM Plex Sans Arabic" w:cs="IBM Plex Sans Arabic" w:eastAsia="IBM Plex Sans Arabic"/>
          <w:color w:val="0B0C0E"/>
          <w:sz w:val="21"/>
          <w:szCs w:val="21"/>
          <w:rtl w:val="1"/>
        </w:rPr>
        <w:t>يستحق الطرف الثاني إجازات الأعياد والمناسبات الرسمية والإجازة المرضية وسائر الإجازات وفق ما يقرره نظام العمل ولائحته التنفيذية.</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المادة 6  التزامات الطرف الثاني</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الالتزام بقائمة الأسعار والعروض المعتمدة، وعدم منح أي خصم أو شرط تعاقدي خارج الصلاحيات الممنوحة له كتابةً.</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تسجيل كل تواصل وزيارة وعرض في نظام المتابعة المعتمد، وتقديم التقرير الأسبوعي في موعده.</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الحفاظ على سرية أسعار الشراء والعملاء والعروض والمعلومات الفنية والتجارية، أثناء العقد وبعد انتهائه.</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عدم استلام أي مبالغ نقدية من العملاء إلا بتفويض كتابي، وتحويل كل دفعة إلى حسابات الشركة فوراً.</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الالتزام بالسلوك المهني وهوية الشركة في التعامل مع العملاء والشركاء، وعدم الإدلاء بوعود أو مواصفات غير معتمدة من الشركة.</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عدم العمل لدى الغير أو لحسابه الخاص في نشاط منافس أثناء سريان العقد.</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المادة 7  عهدة الشركة</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7.1  </w:t>
      </w:r>
      <w:r>
        <w:rPr>
          <w:rFonts w:ascii="IBM Plex Sans Arabic" w:hAnsi="IBM Plex Sans Arabic" w:cs="IBM Plex Sans Arabic" w:eastAsia="IBM Plex Sans Arabic"/>
          <w:color w:val="0B0C0E"/>
          <w:sz w:val="21"/>
          <w:szCs w:val="21"/>
          <w:rtl w:val="1"/>
        </w:rPr>
        <w:t>يستلم الطرف الثاني ما يُسلَّم له من أجهزة عرض، وعينات، وهاتف، وحاسب، وبطاقات، وسيارة الشركة عند تخصيصها، بموجب محضر استلام موقَّع، ويُعيدها بالحالة التي استلمها بها عند الطلب أو عند انتهاء العقد.</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7.2  </w:t>
      </w:r>
      <w:r>
        <w:rPr>
          <w:rFonts w:ascii="IBM Plex Sans Arabic" w:hAnsi="IBM Plex Sans Arabic" w:cs="IBM Plex Sans Arabic" w:eastAsia="IBM Plex Sans Arabic"/>
          <w:color w:val="0B0C0E"/>
          <w:sz w:val="21"/>
          <w:szCs w:val="21"/>
          <w:rtl w:val="1"/>
        </w:rPr>
        <w:t>عند تخصيص سيارة الشركة يلتزم الطرف الثاني بسياسة استخدام المركبات: الاستخدام لأغراض العمل، تسجيل الرحلات، الإبلاغ الفوري عن أي حادث أو مخالفة، وتحمّل المخالفات المرورية الناتجة عن تصرفه الشخصي.</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المادة 8  السرية وعدم المنافسة</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8.1  </w:t>
      </w:r>
      <w:r>
        <w:rPr>
          <w:rFonts w:ascii="IBM Plex Sans Arabic" w:hAnsi="IBM Plex Sans Arabic" w:cs="IBM Plex Sans Arabic" w:eastAsia="IBM Plex Sans Arabic"/>
          <w:color w:val="0B0C0E"/>
          <w:sz w:val="21"/>
          <w:szCs w:val="21"/>
          <w:rtl w:val="1"/>
        </w:rPr>
        <w:t>تُعدّ بيانات العملاء، وقوائم الأسعار، وهوامش الربح، والعروض، والمخططات الفنية، وبيانات منازل العملاء وأنظمتهم، أسراراً تجارية للطرف الأول لا يجوز إفشاؤها أو استخدامها لغير مصلحة الشركة.</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8.2  </w:t>
      </w:r>
      <w:r>
        <w:rPr>
          <w:rFonts w:ascii="IBM Plex Sans Arabic" w:hAnsi="IBM Plex Sans Arabic" w:cs="IBM Plex Sans Arabic" w:eastAsia="IBM Plex Sans Arabic"/>
          <w:color w:val="0B0C0E"/>
          <w:sz w:val="21"/>
          <w:szCs w:val="21"/>
          <w:rtl w:val="1"/>
        </w:rPr>
        <w:t>يلتزم الطرف الثاني لمدة (____) شهراً من تاريخ انتهاء العقد بعدم استقطاب عملاء الطرف الأول الذين تعامل معهم بحكم عمله لصالح جهة منافسة، وذلك في حدود ما يجيزه نظام العمل.</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8.3  </w:t>
      </w:r>
      <w:r>
        <w:rPr>
          <w:rFonts w:ascii="IBM Plex Sans Arabic" w:hAnsi="IBM Plex Sans Arabic" w:cs="IBM Plex Sans Arabic" w:eastAsia="IBM Plex Sans Arabic"/>
          <w:color w:val="0B0C0E"/>
          <w:sz w:val="21"/>
          <w:szCs w:val="21"/>
          <w:rtl w:val="1"/>
        </w:rPr>
        <w:t>الملكية الفكرية لكل ما يُعدّه الطرف الثاني بحكم عمله من عروض ومواد وقوائم تعود للطرف الأول.</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المادة 9  انتهاء العقد</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9.1  </w:t>
      </w:r>
      <w:r>
        <w:rPr>
          <w:rFonts w:ascii="IBM Plex Sans Arabic" w:hAnsi="IBM Plex Sans Arabic" w:cs="IBM Plex Sans Arabic" w:eastAsia="IBM Plex Sans Arabic"/>
          <w:color w:val="0B0C0E"/>
          <w:sz w:val="21"/>
          <w:szCs w:val="21"/>
          <w:rtl w:val="1"/>
        </w:rPr>
        <w:t>ينتهي العقد بانتهاء مدته ما لم يُجدَّد، أو باتفاق الطرفين كتابةً، أو بأي من الحالات التي يقررها نظام العمل.</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9.2  </w:t>
      </w:r>
      <w:r>
        <w:rPr>
          <w:rFonts w:ascii="IBM Plex Sans Arabic" w:hAnsi="IBM Plex Sans Arabic" w:cs="IBM Plex Sans Arabic" w:eastAsia="IBM Plex Sans Arabic"/>
          <w:color w:val="0B0C0E"/>
          <w:sz w:val="21"/>
          <w:szCs w:val="21"/>
          <w:rtl w:val="1"/>
        </w:rPr>
        <w:t>إذا أنهى أحد الطرفين العقد قبل انتهاء مدته لغير سبب مشروع، استحق الطرف الآخر التعويض المقرر في نظام العمل.</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9.3  </w:t>
      </w:r>
      <w:r>
        <w:rPr>
          <w:rFonts w:ascii="IBM Plex Sans Arabic" w:hAnsi="IBM Plex Sans Arabic" w:cs="IBM Plex Sans Arabic" w:eastAsia="IBM Plex Sans Arabic"/>
          <w:color w:val="0B0C0E"/>
          <w:sz w:val="21"/>
          <w:szCs w:val="21"/>
          <w:rtl w:val="1"/>
        </w:rPr>
        <w:t>يستحق الطرف الثاني مكافأة نهاية الخدمة وفق نظام العمل، وتُحتسب على أساس الأجر الأخير، وتُدرج العمولات في وعاء الاحتساب على أساس المتوسط الشهري لآخر اثني عشر شهراً أو مدة الخدمة إن قلّت عن ذلك.</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9.4  </w:t>
      </w:r>
      <w:r>
        <w:rPr>
          <w:rFonts w:ascii="IBM Plex Sans Arabic" w:hAnsi="IBM Plex Sans Arabic" w:cs="IBM Plex Sans Arabic" w:eastAsia="IBM Plex Sans Arabic"/>
          <w:color w:val="0B0C0E"/>
          <w:sz w:val="21"/>
          <w:szCs w:val="21"/>
          <w:rtl w:val="1"/>
        </w:rPr>
        <w:t>عند انتهاء العقد يسلّم الطرف الثاني كل ما بعهدته وقوائم العملاء الجارية وحالة كل عرض قائم، ويُصرف له مستحقاته خلال المدة النظامية.</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المادة 10  أحكام عامة</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10.1  </w:t>
      </w:r>
      <w:r>
        <w:rPr>
          <w:rFonts w:ascii="IBM Plex Sans Arabic" w:hAnsi="IBM Plex Sans Arabic" w:cs="IBM Plex Sans Arabic" w:eastAsia="IBM Plex Sans Arabic"/>
          <w:color w:val="0B0C0E"/>
          <w:sz w:val="21"/>
          <w:szCs w:val="21"/>
          <w:rtl w:val="1"/>
        </w:rPr>
        <w:t>يخضع هذا العقد لنظام العمل السعودي ولائحته التنفيذية، وما لم يرد فيه نص يُرجع إلى أحكام النظام واللوائح الصادرة عن وزارة الموارد البشرية والتنمية الاجتماعية.</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10.2  </w:t>
      </w:r>
      <w:r>
        <w:rPr>
          <w:rFonts w:ascii="IBM Plex Sans Arabic" w:hAnsi="IBM Plex Sans Arabic" w:cs="IBM Plex Sans Arabic" w:eastAsia="IBM Plex Sans Arabic"/>
          <w:color w:val="0B0C0E"/>
          <w:sz w:val="21"/>
          <w:szCs w:val="21"/>
          <w:rtl w:val="1"/>
        </w:rPr>
        <w:t>يُوثَّق هذا العقد إلكترونياً عبر منصة «قوى»، ويُعدّ النص الموثَّق هو المرجع عند الاختلاف.</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10.3  </w:t>
      </w:r>
      <w:r>
        <w:rPr>
          <w:rFonts w:ascii="IBM Plex Sans Arabic" w:hAnsi="IBM Plex Sans Arabic" w:cs="IBM Plex Sans Arabic" w:eastAsia="IBM Plex Sans Arabic"/>
          <w:color w:val="0B0C0E"/>
          <w:sz w:val="21"/>
          <w:szCs w:val="21"/>
          <w:rtl w:val="1"/>
        </w:rPr>
        <w:t>أي تعديل على هذا العقد لا يُعتدّ به ما لم يكن كتابياً وموقعاً من الطرفين.</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10.4  </w:t>
      </w:r>
      <w:r>
        <w:rPr>
          <w:rFonts w:ascii="IBM Plex Sans Arabic" w:hAnsi="IBM Plex Sans Arabic" w:cs="IBM Plex Sans Arabic" w:eastAsia="IBM Plex Sans Arabic"/>
          <w:color w:val="0B0C0E"/>
          <w:sz w:val="21"/>
          <w:szCs w:val="21"/>
          <w:rtl w:val="1"/>
        </w:rPr>
        <w:t>أي خلاف ينشأ عن هذا العقد تختص بنظره الجهات المختصة بتسوية الخلافات العمالية في المملكة العربية السعودية.</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10.5  </w:t>
      </w:r>
      <w:r>
        <w:rPr>
          <w:rFonts w:ascii="IBM Plex Sans Arabic" w:hAnsi="IBM Plex Sans Arabic" w:cs="IBM Plex Sans Arabic" w:eastAsia="IBM Plex Sans Arabic"/>
          <w:color w:val="0B0C0E"/>
          <w:sz w:val="21"/>
          <w:szCs w:val="21"/>
          <w:rtl w:val="1"/>
        </w:rPr>
        <w:t>حُرّر هذا العقد من نسختين أصليتين باللغة العربية، بيد كل طرف نسخة للعمل بموجبها، ويُعدّ الملحق (أ) جزءاً لا يتجزأ منه.</w:t>
      </w:r>
    </w:p>
    <w:p>
      <w:pPr>
        <w:bidi w:val="1"/>
        <w:spacing w:before="0" w:after="0" w:line="240" w:lineRule="auto"/>
        <w:jc w:val="start"/>
      </w:pPr>
      <w:r>
        <w:rPr>
          <w:rFonts w:ascii="IBM Plex Sans Arabic" w:hAnsi="IBM Plex Sans Arabic" w:cs="IBM Plex Sans Arabic" w:eastAsia="IBM Plex Sans Arabic"/>
          <w:color w:val="0B0C0E"/>
          <w:sz w:val="20"/>
          <w:szCs w:val="20"/>
        </w:rPr>
      </w:r>
    </w:p>
    <w:tbl>
      <w:tblPr>
        <w:bidiVisual/>
        <w:tblW w:type="auto" w:w="0"/>
        <w:jc w:val="center"/>
        <w:tblLayout w:type="fixed"/>
        <w:tblLook w:firstColumn="1" w:firstRow="1" w:lastColumn="0" w:lastRow="0" w:noHBand="0" w:noVBand="1" w:val="04A0"/>
      </w:tblPr>
      <w:tblGrid>
        <w:gridCol w:w="4932"/>
        <w:gridCol w:w="4932"/>
      </w:tblGrid>
      <w:tr>
        <w:trPr>
          <w:cantSplit/>
        </w:trPr>
        <w:tc>
          <w:tcPr>
            <w:tcW w:type="dxa" w:w="4932"/>
            <w:tcBorders>
              <w:top w:val="nil"/>
              <w:bottom w:val="nil"/>
              <w:start w:val="nil"/>
              <w:end w:val="nil"/>
            </w:tcBorders>
            <w:tcMar>
              <w:top w:w="100" w:type="dxa"/>
              <w:bottom w:w="100" w:type="dxa"/>
              <w:start w:w="160" w:type="dxa"/>
              <w:end w:w="160" w:type="dxa"/>
            </w:tcMar>
          </w:tcPr>
          <w:p>
            <w:pPr>
              <w:bidi w:val="1"/>
              <w:spacing w:before="0" w:after="40" w:line="312" w:lineRule="auto"/>
              <w:jc w:val="start"/>
            </w:pPr>
            <w:r>
              <w:rPr>
                <w:rFonts w:ascii="IBM Plex Sans Arabic" w:hAnsi="IBM Plex Sans Arabic" w:cs="IBM Plex Sans Arabic" w:eastAsia="IBM Plex Sans Arabic"/>
                <w:b/>
                <w:bCs/>
                <w:color w:val="0B0C0E"/>
                <w:sz w:val="20"/>
                <w:szCs w:val="20"/>
                <w:rtl w:val="1"/>
              </w:rPr>
              <w:t>الطرف الأول</w:t>
            </w:r>
          </w:p>
          <w:p>
            <w:pPr>
              <w:bidi w:val="1"/>
              <w:spacing w:before="0" w:after="280" w:line="312" w:lineRule="auto"/>
              <w:jc w:val="start"/>
            </w:pPr>
            <w:r>
              <w:rPr>
                <w:rFonts w:ascii="IBM Plex Sans Arabic" w:hAnsi="IBM Plex Sans Arabic" w:cs="IBM Plex Sans Arabic" w:eastAsia="IBM Plex Sans Arabic"/>
                <w:color w:val="5B6068"/>
                <w:sz w:val="18"/>
                <w:szCs w:val="18"/>
                <w:rtl w:val="1"/>
              </w:rPr>
              <w:t>سيلترا سمارت — SYLTRA SMART</w:t>
            </w:r>
          </w:p>
          <w:p>
            <w:pPr>
              <w:bidi w:val="1"/>
              <w:spacing w:before="0" w:after="120" w:line="312" w:lineRule="auto"/>
              <w:jc w:val="start"/>
            </w:pPr>
            <w:r>
              <w:rPr>
                <w:rFonts w:ascii="IBM Plex Sans Arabic" w:hAnsi="IBM Plex Sans Arabic" w:cs="IBM Plex Sans Arabic" w:eastAsia="IBM Plex Sans Arabic"/>
                <w:color w:val="5B6068"/>
                <w:sz w:val="19"/>
                <w:szCs w:val="19"/>
                <w:rtl w:val="1"/>
              </w:rPr>
              <w:t xml:space="preserve">الاسم:  </w:t>
            </w:r>
            <w:r>
              <w:rPr>
                <w:rFonts w:ascii="IBM Plex Sans Arabic" w:hAnsi="IBM Plex Sans Arabic" w:cs="IBM Plex Sans Arabic" w:eastAsia="IBM Plex Sans Arabic"/>
                <w:color w:val="C7CCD3"/>
                <w:sz w:val="19"/>
                <w:szCs w:val="19"/>
              </w:rPr>
              <w:t>_______________________</w:t>
            </w:r>
          </w:p>
          <w:p>
            <w:pPr>
              <w:bidi w:val="1"/>
              <w:spacing w:before="0" w:after="120" w:line="312" w:lineRule="auto"/>
              <w:jc w:val="start"/>
            </w:pPr>
            <w:r>
              <w:rPr>
                <w:rFonts w:ascii="IBM Plex Sans Arabic" w:hAnsi="IBM Plex Sans Arabic" w:cs="IBM Plex Sans Arabic" w:eastAsia="IBM Plex Sans Arabic"/>
                <w:color w:val="5B6068"/>
                <w:sz w:val="19"/>
                <w:szCs w:val="19"/>
                <w:rtl w:val="1"/>
              </w:rPr>
              <w:t xml:space="preserve">التوقيع:  </w:t>
            </w:r>
            <w:r>
              <w:rPr>
                <w:rFonts w:ascii="IBM Plex Sans Arabic" w:hAnsi="IBM Plex Sans Arabic" w:cs="IBM Plex Sans Arabic" w:eastAsia="IBM Plex Sans Arabic"/>
                <w:color w:val="C7CCD3"/>
                <w:sz w:val="19"/>
                <w:szCs w:val="19"/>
              </w:rPr>
              <w:t>_______________________</w:t>
            </w:r>
          </w:p>
          <w:p>
            <w:pPr>
              <w:bidi w:val="1"/>
              <w:spacing w:before="0" w:after="120" w:line="312" w:lineRule="auto"/>
              <w:jc w:val="start"/>
            </w:pPr>
            <w:r>
              <w:rPr>
                <w:rFonts w:ascii="IBM Plex Sans Arabic" w:hAnsi="IBM Plex Sans Arabic" w:cs="IBM Plex Sans Arabic" w:eastAsia="IBM Plex Sans Arabic"/>
                <w:color w:val="5B6068"/>
                <w:sz w:val="19"/>
                <w:szCs w:val="19"/>
                <w:rtl w:val="1"/>
              </w:rPr>
              <w:t xml:space="preserve">التاريخ:  </w:t>
            </w:r>
            <w:r>
              <w:rPr>
                <w:rFonts w:ascii="IBM Plex Sans Arabic" w:hAnsi="IBM Plex Sans Arabic" w:cs="IBM Plex Sans Arabic" w:eastAsia="IBM Plex Sans Arabic"/>
                <w:color w:val="C7CCD3"/>
                <w:sz w:val="19"/>
                <w:szCs w:val="19"/>
              </w:rPr>
              <w:t>_______________________</w:t>
            </w:r>
          </w:p>
        </w:tc>
        <w:tc>
          <w:tcPr>
            <w:tcW w:type="dxa" w:w="4932"/>
            <w:tcBorders>
              <w:top w:val="nil"/>
              <w:bottom w:val="nil"/>
              <w:start w:val="nil"/>
              <w:end w:val="nil"/>
            </w:tcBorders>
            <w:tcMar>
              <w:top w:w="100" w:type="dxa"/>
              <w:bottom w:w="100" w:type="dxa"/>
              <w:start w:w="160" w:type="dxa"/>
              <w:end w:w="160" w:type="dxa"/>
            </w:tcMar>
          </w:tcPr>
          <w:p>
            <w:pPr>
              <w:bidi w:val="1"/>
              <w:spacing w:before="0" w:after="40" w:line="312" w:lineRule="auto"/>
              <w:jc w:val="start"/>
            </w:pPr>
            <w:r>
              <w:rPr>
                <w:rFonts w:ascii="IBM Plex Sans Arabic" w:hAnsi="IBM Plex Sans Arabic" w:cs="IBM Plex Sans Arabic" w:eastAsia="IBM Plex Sans Arabic"/>
                <w:b/>
                <w:bCs/>
                <w:color w:val="0B0C0E"/>
                <w:sz w:val="20"/>
                <w:szCs w:val="20"/>
                <w:rtl w:val="1"/>
              </w:rPr>
              <w:t>الطرف الثاني</w:t>
            </w:r>
          </w:p>
          <w:p>
            <w:pPr>
              <w:bidi w:val="1"/>
              <w:spacing w:before="0" w:after="280" w:line="312" w:lineRule="auto"/>
              <w:jc w:val="start"/>
            </w:pPr>
            <w:r>
              <w:rPr>
                <w:rFonts w:ascii="IBM Plex Sans Arabic" w:hAnsi="IBM Plex Sans Arabic" w:cs="IBM Plex Sans Arabic" w:eastAsia="IBM Plex Sans Arabic"/>
                <w:color w:val="5B6068"/>
                <w:sz w:val="18"/>
                <w:szCs w:val="18"/>
                <w:rtl w:val="1"/>
              </w:rPr>
              <w:t>العامل</w:t>
            </w:r>
          </w:p>
          <w:p>
            <w:pPr>
              <w:bidi w:val="1"/>
              <w:spacing w:before="0" w:after="120" w:line="312" w:lineRule="auto"/>
              <w:jc w:val="start"/>
            </w:pPr>
            <w:r>
              <w:rPr>
                <w:rFonts w:ascii="IBM Plex Sans Arabic" w:hAnsi="IBM Plex Sans Arabic" w:cs="IBM Plex Sans Arabic" w:eastAsia="IBM Plex Sans Arabic"/>
                <w:color w:val="5B6068"/>
                <w:sz w:val="19"/>
                <w:szCs w:val="19"/>
                <w:rtl w:val="1"/>
              </w:rPr>
              <w:t xml:space="preserve">الاسم:  </w:t>
            </w:r>
            <w:r>
              <w:rPr>
                <w:rFonts w:ascii="IBM Plex Sans Arabic" w:hAnsi="IBM Plex Sans Arabic" w:cs="IBM Plex Sans Arabic" w:eastAsia="IBM Plex Sans Arabic"/>
                <w:color w:val="C7CCD3"/>
                <w:sz w:val="19"/>
                <w:szCs w:val="19"/>
              </w:rPr>
              <w:t>_______________________</w:t>
            </w:r>
          </w:p>
          <w:p>
            <w:pPr>
              <w:bidi w:val="1"/>
              <w:spacing w:before="0" w:after="120" w:line="312" w:lineRule="auto"/>
              <w:jc w:val="start"/>
            </w:pPr>
            <w:r>
              <w:rPr>
                <w:rFonts w:ascii="IBM Plex Sans Arabic" w:hAnsi="IBM Plex Sans Arabic" w:cs="IBM Plex Sans Arabic" w:eastAsia="IBM Plex Sans Arabic"/>
                <w:color w:val="5B6068"/>
                <w:sz w:val="19"/>
                <w:szCs w:val="19"/>
                <w:rtl w:val="1"/>
              </w:rPr>
              <w:t xml:space="preserve">التوقيع:  </w:t>
            </w:r>
            <w:r>
              <w:rPr>
                <w:rFonts w:ascii="IBM Plex Sans Arabic" w:hAnsi="IBM Plex Sans Arabic" w:cs="IBM Plex Sans Arabic" w:eastAsia="IBM Plex Sans Arabic"/>
                <w:color w:val="C7CCD3"/>
                <w:sz w:val="19"/>
                <w:szCs w:val="19"/>
              </w:rPr>
              <w:t>_______________________</w:t>
            </w:r>
          </w:p>
          <w:p>
            <w:pPr>
              <w:bidi w:val="1"/>
              <w:spacing w:before="0" w:after="120" w:line="312" w:lineRule="auto"/>
              <w:jc w:val="start"/>
            </w:pPr>
            <w:r>
              <w:rPr>
                <w:rFonts w:ascii="IBM Plex Sans Arabic" w:hAnsi="IBM Plex Sans Arabic" w:cs="IBM Plex Sans Arabic" w:eastAsia="IBM Plex Sans Arabic"/>
                <w:color w:val="5B6068"/>
                <w:sz w:val="19"/>
                <w:szCs w:val="19"/>
                <w:rtl w:val="1"/>
              </w:rPr>
              <w:t xml:space="preserve">التاريخ:  </w:t>
            </w:r>
            <w:r>
              <w:rPr>
                <w:rFonts w:ascii="IBM Plex Sans Arabic" w:hAnsi="IBM Plex Sans Arabic" w:cs="IBM Plex Sans Arabic" w:eastAsia="IBM Plex Sans Arabic"/>
                <w:color w:val="C7CCD3"/>
                <w:sz w:val="19"/>
                <w:szCs w:val="19"/>
              </w:rPr>
              <w:t>_______________________</w:t>
            </w:r>
          </w:p>
        </w:tc>
      </w:tr>
    </w:tbl>
    <w:p>
      <w:pPr>
        <w:bidi w:val="1"/>
        <w:spacing w:before="0" w:after="0" w:line="240" w:lineRule="auto"/>
        <w:jc w:val="start"/>
      </w:pPr>
      <w:r>
        <w:br w:type="page"/>
      </w:r>
    </w:p>
    <w:p>
      <w:pPr>
        <w:bidi w:val="0"/>
        <w:spacing w:before="0" w:after="120" w:line="288" w:lineRule="auto"/>
        <w:jc w:val="left"/>
      </w:pPr>
      <w:r>
        <w:rPr>
          <w:rFonts w:ascii="IBM Plex Mono" w:hAnsi="IBM Plex Mono" w:cs="IBM Plex Mono" w:eastAsia="IBM Plex Mono"/>
          <w:color w:val="2F6BE0"/>
          <w:sz w:val="16"/>
          <w:szCs w:val="16"/>
        </w:rPr>
        <w:t>HR-01 / A</w:t>
      </w:r>
    </w:p>
    <w:p>
      <w:pPr>
        <w:bidi w:val="1"/>
        <w:spacing w:before="0" w:after="80" w:line="300" w:lineRule="auto"/>
        <w:jc w:val="start"/>
      </w:pPr>
      <w:r>
        <w:rPr>
          <w:rFonts w:ascii="IBM Plex Sans Arabic" w:hAnsi="IBM Plex Sans Arabic" w:cs="IBM Plex Sans Arabic" w:eastAsia="IBM Plex Sans Arabic"/>
          <w:b/>
          <w:bCs/>
          <w:color w:val="0B0C0E"/>
          <w:sz w:val="36"/>
          <w:szCs w:val="36"/>
          <w:rtl w:val="1"/>
        </w:rPr>
        <w:t>الملحق (أ) — سياسة العمولات والأهداف</w:t>
      </w:r>
    </w:p>
    <w:p>
      <w:pPr>
        <w:bidi w:val="1"/>
        <w:spacing w:before="0" w:after="240" w:line="336" w:lineRule="auto"/>
        <w:jc w:val="start"/>
      </w:pPr>
      <w:r>
        <w:rPr>
          <w:rFonts w:ascii="IBM Plex Sans Arabic" w:hAnsi="IBM Plex Sans Arabic" w:cs="IBM Plex Sans Arabic" w:eastAsia="IBM Plex Sans Arabic"/>
          <w:color w:val="5B6068"/>
          <w:sz w:val="21"/>
          <w:szCs w:val="21"/>
          <w:rtl w:val="1"/>
        </w:rPr>
        <w:t>جزء لا يتجزأ من عقد العمل. تُراجع النسب والأهداف كل ربع سنة ولا يُعتدّ بتعديلها إلا كتابةً.</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1  مبدأ السياسة</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الأجر الثابت يقابل الالتزام بالدوام والنشاط اليومي، والعمولة تقابل النتيجة. تُحتسب العمولة على العقود التي تُوقَّع وتُسدَّد دفعتها الأولى، لا على العروض أو الوعود.</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2  أساس الاحتساب</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2.1  </w:t>
      </w:r>
      <w:r>
        <w:rPr>
          <w:rFonts w:ascii="IBM Plex Sans Arabic" w:hAnsi="IBM Plex Sans Arabic" w:cs="IBM Plex Sans Arabic" w:eastAsia="IBM Plex Sans Arabic"/>
          <w:color w:val="0B0C0E"/>
          <w:sz w:val="21"/>
          <w:szCs w:val="21"/>
          <w:rtl w:val="1"/>
        </w:rPr>
        <w:t>وعاء العمولة هو صافي قيمة العقد قبل ضريبة القيمة المضافة، بعد خصم أي خصومات ممنوحة للعميل.</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2.2  </w:t>
      </w:r>
      <w:r>
        <w:rPr>
          <w:rFonts w:ascii="IBM Plex Sans Arabic" w:hAnsi="IBM Plex Sans Arabic" w:cs="IBM Plex Sans Arabic" w:eastAsia="IBM Plex Sans Arabic"/>
          <w:color w:val="0B0C0E"/>
          <w:sz w:val="21"/>
          <w:szCs w:val="21"/>
          <w:rtl w:val="1"/>
        </w:rPr>
        <w:t>تُنسب الصفقة إلى المندوب الذي سجّل العميل أولاً في نظام المتابعة وأدار العرض حتى التوقيع. عند اشتراك مندوبين تُقسَّم العمولة بينهما بنسبة يقرّها المدير المباشر كتابةً قبل التوقيع.</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2.3  </w:t>
      </w:r>
      <w:r>
        <w:rPr>
          <w:rFonts w:ascii="IBM Plex Sans Arabic" w:hAnsi="IBM Plex Sans Arabic" w:cs="IBM Plex Sans Arabic" w:eastAsia="IBM Plex Sans Arabic"/>
          <w:color w:val="0B0C0E"/>
          <w:sz w:val="21"/>
          <w:szCs w:val="21"/>
          <w:rtl w:val="1"/>
        </w:rPr>
        <w:t>العملاء الذين يصلون عبر الموقع أو الإعلانات أو الإحالات ويُوزَّعون على المندوب تُحتسب لهم النسبة نفسها ما لم تنص هذه السياسة على غير ذلك.</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3  شرائح العمولة</w:t>
      </w:r>
    </w:p>
    <w:tbl>
      <w:tblPr>
        <w:bidiVisual/>
        <w:tblW w:type="auto" w:w="0"/>
        <w:jc w:val="center"/>
        <w:tblLayout w:type="fixed"/>
        <w:tblLook w:firstColumn="1" w:firstRow="1" w:lastColumn="0" w:lastRow="0" w:noHBand="0" w:noVBand="1" w:val="04A0"/>
      </w:tblPr>
      <w:tblGrid>
        <w:gridCol w:w="1578"/>
        <w:gridCol w:w="3551"/>
        <w:gridCol w:w="1775"/>
        <w:gridCol w:w="2959"/>
      </w:tblGrid>
      <w:tr>
        <w:trPr>
          <w:cantSplit/>
        </w:trPr>
        <w:tc>
          <w:tcPr>
            <w:tcW w:type="dxa" w:w="1578"/>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8"/>
                <w:szCs w:val="18"/>
                <w:rtl w:val="1"/>
              </w:rPr>
              <w:t>الشريحة</w:t>
            </w:r>
          </w:p>
        </w:tc>
        <w:tc>
          <w:tcPr>
            <w:tcW w:type="dxa" w:w="3551"/>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8"/>
                <w:szCs w:val="18"/>
                <w:rtl w:val="1"/>
              </w:rPr>
              <w:t>إجمالي المبيعات الشهرية (صافي)</w:t>
            </w:r>
          </w:p>
        </w:tc>
        <w:tc>
          <w:tcPr>
            <w:tcW w:type="dxa" w:w="1776"/>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8"/>
                <w:szCs w:val="18"/>
                <w:rtl w:val="1"/>
              </w:rPr>
              <w:t>نسبة العمولة</w:t>
            </w:r>
          </w:p>
        </w:tc>
        <w:tc>
          <w:tcPr>
            <w:tcW w:type="dxa" w:w="2959"/>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8"/>
                <w:szCs w:val="18"/>
                <w:rtl w:val="1"/>
              </w:rPr>
              <w:t>ملاحظة</w:t>
            </w:r>
          </w:p>
        </w:tc>
      </w:tr>
      <w:tr>
        <w:trPr>
          <w:cantSplit/>
          <w:trHeight w:val="567" w:hRule="atLeast"/>
        </w:trPr>
        <w:tc>
          <w:tcPr>
            <w:tcW w:type="dxa" w:w="1578"/>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الأولى</w:t>
            </w:r>
          </w:p>
        </w:tc>
        <w:tc>
          <w:tcPr>
            <w:tcW w:type="dxa" w:w="3551"/>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حتى ____________ ريال</w:t>
            </w:r>
          </w:p>
        </w:tc>
        <w:tc>
          <w:tcPr>
            <w:tcW w:type="dxa" w:w="1776"/>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0"/>
              <w:spacing w:before="0" w:after="0" w:line="312" w:lineRule="auto"/>
              <w:jc w:val="left"/>
            </w:pPr>
            <w:r>
              <w:rPr>
                <w:rFonts w:ascii="IBM Plex Sans Arabic" w:hAnsi="IBM Plex Sans Arabic" w:cs="IBM Plex Sans Arabic" w:eastAsia="IBM Plex Sans Arabic"/>
                <w:color w:val="0B0C0E"/>
                <w:sz w:val="19"/>
                <w:szCs w:val="19"/>
              </w:rPr>
              <w:t>____ %</w:t>
            </w:r>
          </w:p>
        </w:tc>
        <w:tc>
          <w:tcPr>
            <w:tcW w:type="dxa" w:w="2959"/>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الحد الأدنى لتحقيق الهدف</w:t>
            </w:r>
          </w:p>
        </w:tc>
      </w:tr>
      <w:tr>
        <w:trPr>
          <w:cantSplit/>
          <w:trHeight w:val="567" w:hRule="atLeast"/>
        </w:trPr>
        <w:tc>
          <w:tcPr>
            <w:tcW w:type="dxa" w:w="1578"/>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الثانية</w:t>
            </w:r>
          </w:p>
        </w:tc>
        <w:tc>
          <w:tcPr>
            <w:tcW w:type="dxa" w:w="3551"/>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من ____________ إلى ____________ ريال</w:t>
            </w:r>
          </w:p>
        </w:tc>
        <w:tc>
          <w:tcPr>
            <w:tcW w:type="dxa" w:w="1776"/>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0"/>
              <w:spacing w:before="0" w:after="0" w:line="312" w:lineRule="auto"/>
              <w:jc w:val="left"/>
            </w:pPr>
            <w:r>
              <w:rPr>
                <w:rFonts w:ascii="IBM Plex Sans Arabic" w:hAnsi="IBM Plex Sans Arabic" w:cs="IBM Plex Sans Arabic" w:eastAsia="IBM Plex Sans Arabic"/>
                <w:color w:val="0B0C0E"/>
                <w:sz w:val="19"/>
                <w:szCs w:val="19"/>
              </w:rPr>
              <w:t>____ %</w:t>
            </w:r>
          </w:p>
        </w:tc>
        <w:tc>
          <w:tcPr>
            <w:tcW w:type="dxa" w:w="2959"/>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تُطبَّق على كامل مبيعات الشهر</w:t>
            </w:r>
          </w:p>
        </w:tc>
      </w:tr>
      <w:tr>
        <w:trPr>
          <w:cantSplit/>
          <w:trHeight w:val="567" w:hRule="atLeast"/>
        </w:trPr>
        <w:tc>
          <w:tcPr>
            <w:tcW w:type="dxa" w:w="1578"/>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9"/>
                <w:szCs w:val="19"/>
                <w:rtl w:val="1"/>
              </w:rPr>
              <w:t>الثالثة</w:t>
            </w:r>
          </w:p>
        </w:tc>
        <w:tc>
          <w:tcPr>
            <w:tcW w:type="dxa" w:w="3551"/>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9"/>
                <w:szCs w:val="19"/>
                <w:rtl w:val="1"/>
              </w:rPr>
              <w:t>أكثر من ____________ ريال</w:t>
            </w:r>
          </w:p>
        </w:tc>
        <w:tc>
          <w:tcPr>
            <w:tcW w:type="dxa" w:w="1776"/>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19"/>
                <w:szCs w:val="19"/>
              </w:rPr>
              <w:t>____ %</w:t>
            </w:r>
          </w:p>
        </w:tc>
        <w:tc>
          <w:tcPr>
            <w:tcW w:type="dxa" w:w="2959"/>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9"/>
                <w:szCs w:val="19"/>
                <w:rtl w:val="1"/>
              </w:rPr>
              <w:t>تُطبَّق على كامل مبيعات الشهر</w:t>
            </w:r>
          </w:p>
        </w:tc>
      </w:tr>
    </w:tbl>
    <w:p>
      <w:pPr>
        <w:bidi w:val="1"/>
        <w:spacing w:before="0" w:after="0" w:line="240" w:lineRule="auto"/>
        <w:jc w:val="start"/>
      </w:pPr>
      <w:r>
        <w:rPr>
          <w:rFonts w:ascii="IBM Plex Sans Arabic" w:hAnsi="IBM Plex Sans Arabic" w:cs="IBM Plex Sans Arabic" w:eastAsia="IBM Plex Sans Arabic"/>
          <w:color w:val="0B0C0E"/>
          <w:sz w:val="12"/>
          <w:szCs w:val="12"/>
        </w:rPr>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3.1  </w:t>
      </w:r>
      <w:r>
        <w:rPr>
          <w:rFonts w:ascii="IBM Plex Sans Arabic" w:hAnsi="IBM Plex Sans Arabic" w:cs="IBM Plex Sans Arabic" w:eastAsia="IBM Plex Sans Arabic"/>
          <w:color w:val="0B0C0E"/>
          <w:sz w:val="21"/>
          <w:szCs w:val="21"/>
          <w:rtl w:val="1"/>
        </w:rPr>
        <w:t>صفقات المقاولين والمطوّرين والمشاريع متعددة الوحدات تُحتسب بنسبة موحدة قدرها ____ % نظراً لحجمها ودورة إغلاقها الأطول.</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3.2  </w:t>
      </w:r>
      <w:r>
        <w:rPr>
          <w:rFonts w:ascii="IBM Plex Sans Arabic" w:hAnsi="IBM Plex Sans Arabic" w:cs="IBM Plex Sans Arabic" w:eastAsia="IBM Plex Sans Arabic"/>
          <w:color w:val="0B0C0E"/>
          <w:sz w:val="21"/>
          <w:szCs w:val="21"/>
          <w:rtl w:val="1"/>
        </w:rPr>
        <w:t>أي خصم يمنحه المندوب خارج صلاحياته يُخصم فرقه من عمولته.</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4  الحوافز الإضافية</w:t>
      </w:r>
    </w:p>
    <w:tbl>
      <w:tblPr>
        <w:bidiVisual/>
        <w:tblW w:type="auto" w:w="0"/>
        <w:jc w:val="center"/>
        <w:tblLayout w:type="fixed"/>
        <w:tblLook w:firstColumn="1" w:firstRow="1" w:lastColumn="0" w:lastRow="0" w:noHBand="0" w:noVBand="1" w:val="04A0"/>
      </w:tblPr>
      <w:tblGrid>
        <w:gridCol w:w="2367"/>
        <w:gridCol w:w="4932"/>
        <w:gridCol w:w="2564"/>
      </w:tblGrid>
      <w:tr>
        <w:trPr>
          <w:cantSplit/>
        </w:trPr>
        <w:tc>
          <w:tcPr>
            <w:tcW w:type="dxa" w:w="2367"/>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8"/>
                <w:szCs w:val="18"/>
                <w:rtl w:val="1"/>
              </w:rPr>
              <w:t>الحافز</w:t>
            </w:r>
          </w:p>
        </w:tc>
        <w:tc>
          <w:tcPr>
            <w:tcW w:type="dxa" w:w="4932"/>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8"/>
                <w:szCs w:val="18"/>
                <w:rtl w:val="1"/>
              </w:rPr>
              <w:t>الشرط</w:t>
            </w:r>
          </w:p>
        </w:tc>
        <w:tc>
          <w:tcPr>
            <w:tcW w:type="dxa" w:w="2565"/>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8"/>
                <w:szCs w:val="18"/>
                <w:rtl w:val="1"/>
              </w:rPr>
              <w:t>القيمة</w:t>
            </w:r>
          </w:p>
        </w:tc>
      </w:tr>
      <w:tr>
        <w:trPr>
          <w:cantSplit/>
          <w:trHeight w:val="567" w:hRule="atLeast"/>
        </w:trPr>
        <w:tc>
          <w:tcPr>
            <w:tcW w:type="dxa" w:w="2367"/>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حافز الهدف الشهري</w:t>
            </w:r>
          </w:p>
        </w:tc>
        <w:tc>
          <w:tcPr>
            <w:tcW w:type="dxa" w:w="4932"/>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تحقيق الهدف الشهري المعتمد أو تجاوزه</w:t>
            </w:r>
          </w:p>
        </w:tc>
        <w:tc>
          <w:tcPr>
            <w:tcW w:type="dxa" w:w="2565"/>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____________ ريال</w:t>
            </w:r>
          </w:p>
        </w:tc>
      </w:tr>
      <w:tr>
        <w:trPr>
          <w:cantSplit/>
          <w:trHeight w:val="567" w:hRule="atLeast"/>
        </w:trPr>
        <w:tc>
          <w:tcPr>
            <w:tcW w:type="dxa" w:w="2367"/>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حافز الإحالة</w:t>
            </w:r>
          </w:p>
        </w:tc>
        <w:tc>
          <w:tcPr>
            <w:tcW w:type="dxa" w:w="4932"/>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عقد جديد من عميل أو مقاول أحاله المندوب بعد مشروع ناجح</w:t>
            </w:r>
          </w:p>
        </w:tc>
        <w:tc>
          <w:tcPr>
            <w:tcW w:type="dxa" w:w="2565"/>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____ % من صافي العقد</w:t>
            </w:r>
          </w:p>
        </w:tc>
      </w:tr>
      <w:tr>
        <w:trPr>
          <w:cantSplit/>
          <w:trHeight w:val="567" w:hRule="atLeast"/>
        </w:trPr>
        <w:tc>
          <w:tcPr>
            <w:tcW w:type="dxa" w:w="2367"/>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حافز الربع</w:t>
            </w:r>
          </w:p>
        </w:tc>
        <w:tc>
          <w:tcPr>
            <w:tcW w:type="dxa" w:w="4932"/>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تحقيق هدف الربع في الأشهر الثلاثة متتالية</w:t>
            </w:r>
          </w:p>
        </w:tc>
        <w:tc>
          <w:tcPr>
            <w:tcW w:type="dxa" w:w="2565"/>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____________ ريال</w:t>
            </w:r>
          </w:p>
        </w:tc>
      </w:tr>
      <w:tr>
        <w:trPr>
          <w:cantSplit/>
          <w:trHeight w:val="567" w:hRule="atLeast"/>
        </w:trPr>
        <w:tc>
          <w:tcPr>
            <w:tcW w:type="dxa" w:w="2367"/>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9"/>
                <w:szCs w:val="19"/>
                <w:rtl w:val="1"/>
              </w:rPr>
              <w:t>حافز أول مشروع</w:t>
            </w:r>
          </w:p>
        </w:tc>
        <w:tc>
          <w:tcPr>
            <w:tcW w:type="dxa" w:w="4932"/>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9"/>
                <w:szCs w:val="19"/>
                <w:rtl w:val="1"/>
              </w:rPr>
              <w:t>أول عقد يُوقَّع خلال فترة التجربة</w:t>
            </w:r>
          </w:p>
        </w:tc>
        <w:tc>
          <w:tcPr>
            <w:tcW w:type="dxa" w:w="2565"/>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9"/>
                <w:szCs w:val="19"/>
                <w:rtl w:val="1"/>
              </w:rPr>
              <w:t>____________ ريال</w:t>
            </w:r>
          </w:p>
        </w:tc>
      </w:tr>
    </w:tbl>
    <w:p>
      <w:pPr>
        <w:bidi w:val="1"/>
        <w:spacing w:before="0" w:after="0" w:line="240" w:lineRule="auto"/>
        <w:jc w:val="start"/>
      </w:pPr>
      <w:r>
        <w:rPr>
          <w:rFonts w:ascii="IBM Plex Sans Arabic" w:hAnsi="IBM Plex Sans Arabic" w:cs="IBM Plex Sans Arabic" w:eastAsia="IBM Plex Sans Arabic"/>
          <w:color w:val="0B0C0E"/>
          <w:sz w:val="12"/>
          <w:szCs w:val="12"/>
        </w:rPr>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5  أهداف النشاط والنتائج</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الأهداف الشهرية للمندوب الواحد. أهداف النشاط شرط لاستحقاق حافز الهدف الشهري، وتُراجع بعد الشهر الثاني على ضوء الأرقام الفعلية.</w:t>
      </w:r>
    </w:p>
    <w:tbl>
      <w:tblPr>
        <w:bidiVisual/>
        <w:tblW w:type="auto" w:w="0"/>
        <w:jc w:val="center"/>
        <w:tblLayout w:type="fixed"/>
        <w:tblLook w:firstColumn="1" w:firstRow="1" w:lastColumn="0" w:lastRow="0" w:noHBand="0" w:noVBand="1" w:val="04A0"/>
      </w:tblPr>
      <w:tblGrid>
        <w:gridCol w:w="4143"/>
        <w:gridCol w:w="1972"/>
        <w:gridCol w:w="3748"/>
      </w:tblGrid>
      <w:tr>
        <w:trPr>
          <w:cantSplit/>
        </w:trPr>
        <w:tc>
          <w:tcPr>
            <w:tcW w:type="dxa" w:w="4143"/>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8"/>
                <w:szCs w:val="18"/>
                <w:rtl w:val="1"/>
              </w:rPr>
              <w:t>المؤشر</w:t>
            </w:r>
          </w:p>
        </w:tc>
        <w:tc>
          <w:tcPr>
            <w:tcW w:type="dxa" w:w="1973"/>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8"/>
                <w:szCs w:val="18"/>
                <w:rtl w:val="1"/>
              </w:rPr>
              <w:t>الهدف الشهري</w:t>
            </w:r>
          </w:p>
        </w:tc>
        <w:tc>
          <w:tcPr>
            <w:tcW w:type="dxa" w:w="3749"/>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8"/>
                <w:szCs w:val="18"/>
                <w:rtl w:val="1"/>
              </w:rPr>
              <w:t>طريقة القياس</w:t>
            </w:r>
          </w:p>
        </w:tc>
      </w:tr>
      <w:tr>
        <w:trPr>
          <w:cantSplit/>
          <w:trHeight w:val="510" w:hRule="atLeast"/>
        </w:trPr>
        <w:tc>
          <w:tcPr>
            <w:tcW w:type="dxa" w:w="4143"/>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تواصل جديد (اتصال / رسالة / زيارة)</w:t>
            </w:r>
          </w:p>
        </w:tc>
        <w:tc>
          <w:tcPr>
            <w:tcW w:type="dxa" w:w="1973"/>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0"/>
              <w:spacing w:before="0" w:after="0" w:line="312" w:lineRule="auto"/>
              <w:jc w:val="left"/>
            </w:pPr>
            <w:r>
              <w:rPr>
                <w:rFonts w:ascii="IBM Plex Sans Arabic" w:hAnsi="IBM Plex Sans Arabic" w:cs="IBM Plex Sans Arabic" w:eastAsia="IBM Plex Sans Arabic"/>
                <w:color w:val="0B0C0E"/>
                <w:sz w:val="19"/>
                <w:szCs w:val="19"/>
              </w:rPr>
              <w:t>________</w:t>
            </w:r>
          </w:p>
        </w:tc>
        <w:tc>
          <w:tcPr>
            <w:tcW w:type="dxa" w:w="3749"/>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نظام المتابعة</w:t>
            </w:r>
          </w:p>
        </w:tc>
      </w:tr>
      <w:tr>
        <w:trPr>
          <w:cantSplit/>
          <w:trHeight w:val="510" w:hRule="atLeast"/>
        </w:trPr>
        <w:tc>
          <w:tcPr>
            <w:tcW w:type="dxa" w:w="4143"/>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زيارات ميدانية</w:t>
            </w:r>
          </w:p>
        </w:tc>
        <w:tc>
          <w:tcPr>
            <w:tcW w:type="dxa" w:w="1973"/>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0"/>
              <w:spacing w:before="0" w:after="0" w:line="312" w:lineRule="auto"/>
              <w:jc w:val="left"/>
            </w:pPr>
            <w:r>
              <w:rPr>
                <w:rFonts w:ascii="IBM Plex Sans Arabic" w:hAnsi="IBM Plex Sans Arabic" w:cs="IBM Plex Sans Arabic" w:eastAsia="IBM Plex Sans Arabic"/>
                <w:color w:val="0B0C0E"/>
                <w:sz w:val="19"/>
                <w:szCs w:val="19"/>
              </w:rPr>
              <w:t>________</w:t>
            </w:r>
          </w:p>
        </w:tc>
        <w:tc>
          <w:tcPr>
            <w:tcW w:type="dxa" w:w="3749"/>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تقرير الزيارة الميدانية (SL-02)</w:t>
            </w:r>
          </w:p>
        </w:tc>
      </w:tr>
      <w:tr>
        <w:trPr>
          <w:cantSplit/>
          <w:trHeight w:val="510" w:hRule="atLeast"/>
        </w:trPr>
        <w:tc>
          <w:tcPr>
            <w:tcW w:type="dxa" w:w="4143"/>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مواعيد عرض توضيحي (مكتب أو موقع)</w:t>
            </w:r>
          </w:p>
        </w:tc>
        <w:tc>
          <w:tcPr>
            <w:tcW w:type="dxa" w:w="1973"/>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0"/>
              <w:spacing w:before="0" w:after="0" w:line="312" w:lineRule="auto"/>
              <w:jc w:val="left"/>
            </w:pPr>
            <w:r>
              <w:rPr>
                <w:rFonts w:ascii="IBM Plex Sans Arabic" w:hAnsi="IBM Plex Sans Arabic" w:cs="IBM Plex Sans Arabic" w:eastAsia="IBM Plex Sans Arabic"/>
                <w:color w:val="0B0C0E"/>
                <w:sz w:val="19"/>
                <w:szCs w:val="19"/>
              </w:rPr>
              <w:t>________</w:t>
            </w:r>
          </w:p>
        </w:tc>
        <w:tc>
          <w:tcPr>
            <w:tcW w:type="dxa" w:w="3749"/>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نظام المتابعة</w:t>
            </w:r>
          </w:p>
        </w:tc>
      </w:tr>
      <w:tr>
        <w:trPr>
          <w:cantSplit/>
          <w:trHeight w:val="510" w:hRule="atLeast"/>
        </w:trPr>
        <w:tc>
          <w:tcPr>
            <w:tcW w:type="dxa" w:w="4143"/>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عروض أسعار مرسلة</w:t>
            </w:r>
          </w:p>
        </w:tc>
        <w:tc>
          <w:tcPr>
            <w:tcW w:type="dxa" w:w="1973"/>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0"/>
              <w:spacing w:before="0" w:after="0" w:line="312" w:lineRule="auto"/>
              <w:jc w:val="left"/>
            </w:pPr>
            <w:r>
              <w:rPr>
                <w:rFonts w:ascii="IBM Plex Sans Arabic" w:hAnsi="IBM Plex Sans Arabic" w:cs="IBM Plex Sans Arabic" w:eastAsia="IBM Plex Sans Arabic"/>
                <w:color w:val="0B0C0E"/>
                <w:sz w:val="19"/>
                <w:szCs w:val="19"/>
              </w:rPr>
              <w:t>________</w:t>
            </w:r>
          </w:p>
        </w:tc>
        <w:tc>
          <w:tcPr>
            <w:tcW w:type="dxa" w:w="3749"/>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نموذج عرض السعر (SL-01)</w:t>
            </w:r>
          </w:p>
        </w:tc>
      </w:tr>
      <w:tr>
        <w:trPr>
          <w:cantSplit/>
          <w:trHeight w:val="510" w:hRule="atLeast"/>
        </w:trPr>
        <w:tc>
          <w:tcPr>
            <w:tcW w:type="dxa" w:w="4143"/>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عقود موقَّعة</w:t>
            </w:r>
          </w:p>
        </w:tc>
        <w:tc>
          <w:tcPr>
            <w:tcW w:type="dxa" w:w="1973"/>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0"/>
              <w:spacing w:before="0" w:after="0" w:line="312" w:lineRule="auto"/>
              <w:jc w:val="left"/>
            </w:pPr>
            <w:r>
              <w:rPr>
                <w:rFonts w:ascii="IBM Plex Sans Arabic" w:hAnsi="IBM Plex Sans Arabic" w:cs="IBM Plex Sans Arabic" w:eastAsia="IBM Plex Sans Arabic"/>
                <w:color w:val="0B0C0E"/>
                <w:sz w:val="19"/>
                <w:szCs w:val="19"/>
              </w:rPr>
              <w:t>________</w:t>
            </w:r>
          </w:p>
        </w:tc>
        <w:tc>
          <w:tcPr>
            <w:tcW w:type="dxa" w:w="3749"/>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عقد التوريد والتركيب (SL-04)</w:t>
            </w:r>
          </w:p>
        </w:tc>
      </w:tr>
      <w:tr>
        <w:trPr>
          <w:cantSplit/>
          <w:trHeight w:val="510" w:hRule="atLeast"/>
        </w:trPr>
        <w:tc>
          <w:tcPr>
            <w:tcW w:type="dxa" w:w="4143"/>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9"/>
                <w:szCs w:val="19"/>
                <w:rtl w:val="1"/>
              </w:rPr>
              <w:t>صافي المبيعات (ريال)</w:t>
            </w:r>
          </w:p>
        </w:tc>
        <w:tc>
          <w:tcPr>
            <w:tcW w:type="dxa" w:w="1973"/>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19"/>
                <w:szCs w:val="19"/>
              </w:rPr>
              <w:t>________</w:t>
            </w:r>
          </w:p>
        </w:tc>
        <w:tc>
          <w:tcPr>
            <w:tcW w:type="dxa" w:w="3749"/>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9"/>
                <w:szCs w:val="19"/>
                <w:rtl w:val="1"/>
              </w:rPr>
              <w:t>العقود المسدَّدة دفعتها الأولى</w:t>
            </w:r>
          </w:p>
        </w:tc>
      </w:tr>
    </w:tbl>
    <w:p>
      <w:pPr>
        <w:bidi w:val="1"/>
        <w:spacing w:before="0" w:after="0" w:line="240" w:lineRule="auto"/>
        <w:jc w:val="start"/>
      </w:pPr>
      <w:r>
        <w:rPr>
          <w:rFonts w:ascii="IBM Plex Sans Arabic" w:hAnsi="IBM Plex Sans Arabic" w:cs="IBM Plex Sans Arabic" w:eastAsia="IBM Plex Sans Arabic"/>
          <w:color w:val="0B0C0E"/>
          <w:sz w:val="12"/>
          <w:szCs w:val="12"/>
        </w:rPr>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6  موعد الصرف والاسترداد</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6.1  </w:t>
      </w:r>
      <w:r>
        <w:rPr>
          <w:rFonts w:ascii="IBM Plex Sans Arabic" w:hAnsi="IBM Plex Sans Arabic" w:cs="IBM Plex Sans Arabic" w:eastAsia="IBM Plex Sans Arabic"/>
          <w:color w:val="0B0C0E"/>
          <w:sz w:val="21"/>
          <w:szCs w:val="21"/>
          <w:rtl w:val="1"/>
        </w:rPr>
        <w:t>تُحتسب العمولات في نهاية كل شهر وتُصرف مع راتب الشهر التالي، بعد تحصيل الدفعة الأولى من العميل.</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6.2  </w:t>
      </w:r>
      <w:r>
        <w:rPr>
          <w:rFonts w:ascii="IBM Plex Sans Arabic" w:hAnsi="IBM Plex Sans Arabic" w:cs="IBM Plex Sans Arabic" w:eastAsia="IBM Plex Sans Arabic"/>
          <w:color w:val="0B0C0E"/>
          <w:sz w:val="21"/>
          <w:szCs w:val="21"/>
          <w:rtl w:val="1"/>
        </w:rPr>
        <w:t>إذا أُلغي العقد أو استُردَّت قيمته للعميل خلال (____) يوماً من التوقيع لسبب يعود إلى المندوب، تُخصم العمولة المصروفة عنه من أول استحقاق تالٍ.</w:t>
      </w:r>
    </w:p>
    <w:p>
      <w:pPr>
        <w:bidi w:val="1"/>
        <w:spacing w:before="0" w:after="100" w:line="360" w:lineRule="auto"/>
        <w:jc w:val="start"/>
      </w:pPr>
      <w:r>
        <w:rPr>
          <w:rFonts w:ascii="IBM Plex Sans Arabic" w:hAnsi="IBM Plex Sans Arabic" w:cs="IBM Plex Sans Arabic" w:eastAsia="IBM Plex Sans Arabic"/>
          <w:b/>
          <w:bCs/>
          <w:color w:val="2F6BE0"/>
          <w:sz w:val="21"/>
          <w:szCs w:val="21"/>
        </w:rPr>
        <w:t xml:space="preserve">6.3  </w:t>
      </w:r>
      <w:r>
        <w:rPr>
          <w:rFonts w:ascii="IBM Plex Sans Arabic" w:hAnsi="IBM Plex Sans Arabic" w:cs="IBM Plex Sans Arabic" w:eastAsia="IBM Plex Sans Arabic"/>
          <w:color w:val="0B0C0E"/>
          <w:sz w:val="21"/>
          <w:szCs w:val="21"/>
          <w:rtl w:val="1"/>
        </w:rPr>
        <w:t>عند انتهاء خدمة المندوب تُصرف له عمولات العقود التي وُقِّعت وسُدِّدت دفعتها الأولى قبل تاريخ انتهاء الخدمة.</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7  صلاحيات الخصم</w:t>
      </w:r>
    </w:p>
    <w:tbl>
      <w:tblPr>
        <w:bidiVisual/>
        <w:tblW w:type="auto" w:w="0"/>
        <w:jc w:val="center"/>
        <w:tblLayout w:type="fixed"/>
        <w:tblLook w:firstColumn="1" w:firstRow="1" w:lastColumn="0" w:lastRow="0" w:noHBand="0" w:noVBand="1" w:val="04A0"/>
      </w:tblPr>
      <w:tblGrid>
        <w:gridCol w:w="2762"/>
        <w:gridCol w:w="3551"/>
        <w:gridCol w:w="3551"/>
      </w:tblGrid>
      <w:tr>
        <w:trPr>
          <w:cantSplit/>
        </w:trPr>
        <w:tc>
          <w:tcPr>
            <w:tcW w:type="dxa" w:w="2762"/>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8"/>
                <w:szCs w:val="18"/>
                <w:rtl w:val="1"/>
              </w:rPr>
              <w:t>المستوى</w:t>
            </w:r>
          </w:p>
        </w:tc>
        <w:tc>
          <w:tcPr>
            <w:tcW w:type="dxa" w:w="3551"/>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8"/>
                <w:szCs w:val="18"/>
                <w:rtl w:val="1"/>
              </w:rPr>
              <w:t>الحد الأقصى للخصم</w:t>
            </w:r>
          </w:p>
        </w:tc>
        <w:tc>
          <w:tcPr>
            <w:tcW w:type="dxa" w:w="3551"/>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8"/>
                <w:szCs w:val="18"/>
                <w:rtl w:val="1"/>
              </w:rPr>
              <w:t>الاعتماد</w:t>
            </w:r>
          </w:p>
        </w:tc>
      </w:tr>
      <w:tr>
        <w:trPr>
          <w:cantSplit/>
          <w:trHeight w:val="510" w:hRule="atLeast"/>
        </w:trPr>
        <w:tc>
          <w:tcPr>
            <w:tcW w:type="dxa" w:w="2762"/>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المندوب</w:t>
            </w:r>
          </w:p>
        </w:tc>
        <w:tc>
          <w:tcPr>
            <w:tcW w:type="dxa" w:w="3551"/>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حتى ____ % من قائمة الأسعار</w:t>
            </w:r>
          </w:p>
        </w:tc>
        <w:tc>
          <w:tcPr>
            <w:tcW w:type="dxa" w:w="3551"/>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دون رجوع</w:t>
            </w:r>
          </w:p>
        </w:tc>
      </w:tr>
      <w:tr>
        <w:trPr>
          <w:cantSplit/>
          <w:trHeight w:val="510" w:hRule="atLeast"/>
        </w:trPr>
        <w:tc>
          <w:tcPr>
            <w:tcW w:type="dxa" w:w="2762"/>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المدير المباشر</w:t>
            </w:r>
          </w:p>
        </w:tc>
        <w:tc>
          <w:tcPr>
            <w:tcW w:type="dxa" w:w="3551"/>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حتى ____ %</w:t>
            </w:r>
          </w:p>
        </w:tc>
        <w:tc>
          <w:tcPr>
            <w:tcW w:type="dxa" w:w="3551"/>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9"/>
                <w:szCs w:val="19"/>
                <w:rtl w:val="1"/>
              </w:rPr>
              <w:t>موافقة كتابية قبل إرسال العرض</w:t>
            </w:r>
          </w:p>
        </w:tc>
      </w:tr>
      <w:tr>
        <w:trPr>
          <w:cantSplit/>
          <w:trHeight w:val="510" w:hRule="atLeast"/>
        </w:trPr>
        <w:tc>
          <w:tcPr>
            <w:tcW w:type="dxa" w:w="2762"/>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9"/>
                <w:szCs w:val="19"/>
                <w:rtl w:val="1"/>
              </w:rPr>
              <w:t>المدير العام</w:t>
            </w:r>
          </w:p>
        </w:tc>
        <w:tc>
          <w:tcPr>
            <w:tcW w:type="dxa" w:w="3551"/>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9"/>
                <w:szCs w:val="19"/>
                <w:rtl w:val="1"/>
              </w:rPr>
              <w:t>أكثر من ذلك</w:t>
            </w:r>
          </w:p>
        </w:tc>
        <w:tc>
          <w:tcPr>
            <w:tcW w:type="dxa" w:w="3551"/>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9"/>
                <w:szCs w:val="19"/>
                <w:rtl w:val="1"/>
              </w:rPr>
              <w:t>موافقة كتابية</w:t>
            </w:r>
          </w:p>
        </w:tc>
      </w:tr>
    </w:tbl>
    <w:p>
      <w:pPr>
        <w:bidi w:val="1"/>
        <w:spacing w:before="0" w:after="0" w:line="240" w:lineRule="auto"/>
        <w:jc w:val="start"/>
      </w:pPr>
      <w:r>
        <w:rPr>
          <w:rFonts w:ascii="IBM Plex Sans Arabic" w:hAnsi="IBM Plex Sans Arabic" w:cs="IBM Plex Sans Arabic" w:eastAsia="IBM Plex Sans Arabic"/>
          <w:color w:val="0B0C0E"/>
          <w:sz w:val="12"/>
          <w:szCs w:val="12"/>
        </w:rPr>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8  مثال توضيحي لطريقة الاحتساب</w:t>
      </w:r>
    </w:p>
    <w:tbl>
      <w:tblPr>
        <w:bidiVisual/>
        <w:tblW w:type="auto" w:w="0"/>
        <w:jc w:val="center"/>
        <w:tblLayout w:type="fixed"/>
        <w:tblLook w:firstColumn="1" w:firstRow="1" w:lastColumn="0" w:lastRow="0" w:noHBand="0" w:noVBand="1" w:val="04A0"/>
      </w:tblPr>
      <w:tblGrid>
        <w:gridCol w:w="9864"/>
      </w:tblGrid>
      <w:tr>
        <w:tc>
          <w:tcPr>
            <w:tcW w:type="dxa" w:w="9865"/>
            <w:tcBorders>
              <w:top w:val="nil"/>
              <w:bottom w:val="nil"/>
              <w:start w:val="nil"/>
              <w:end w:val="nil"/>
            </w:tcBorders>
            <w:shd w:val="clear" w:color="auto" w:fill="F3F4F6"/>
            <w:tcMar>
              <w:top w:w="120" w:type="dxa"/>
              <w:bottom w:w="120" w:type="dxa"/>
              <w:start w:w="180" w:type="dxa"/>
              <w:end w:w="180" w:type="dxa"/>
            </w:tcMar>
          </w:tcPr>
          <w:p>
            <w:pPr>
              <w:bidi w:val="1"/>
              <w:spacing w:before="0" w:after="0" w:line="348" w:lineRule="auto"/>
              <w:jc w:val="start"/>
            </w:pPr>
            <w:r>
              <w:rPr>
                <w:rFonts w:ascii="IBM Plex Sans Arabic" w:hAnsi="IBM Plex Sans Arabic" w:cs="IBM Plex Sans Arabic" w:eastAsia="IBM Plex Sans Arabic"/>
                <w:color w:val="17181C"/>
                <w:sz w:val="19"/>
                <w:szCs w:val="19"/>
                <w:rtl w:val="1"/>
              </w:rPr>
              <w:t>مثال بأرقام افتراضية لتوضيح الآلية فقط: إذا كانت نسبة الشريحة الأولى 3 % والثانية 4 %، وحد الشريحة الثانية 100,000 ريال، وبلغ صافي مبيعات المندوب في الشهر 120,000 ريال، فتُحتسب العمولة على كامل المبلغ بنسبة الشريحة الثانية: 120,000 × 4 % = 4,800 ريال، يُضاف إليها حافز الهدف الشهري إن تحقق الهدف. الأرقام الفعلية هي ما يُثبت في الجداول أعلاه.</w:t>
            </w:r>
          </w:p>
        </w:tc>
      </w:tr>
    </w:tbl>
    <w:p>
      <w:pPr>
        <w:bidi w:val="1"/>
        <w:spacing w:before="0" w:after="0" w:line="240" w:lineRule="auto"/>
        <w:jc w:val="start"/>
      </w:pPr>
      <w:r>
        <w:rPr>
          <w:rFonts w:ascii="IBM Plex Sans Arabic" w:hAnsi="IBM Plex Sans Arabic" w:cs="IBM Plex Sans Arabic" w:eastAsia="IBM Plex Sans Arabic"/>
          <w:color w:val="0B0C0E"/>
          <w:sz w:val="12"/>
          <w:szCs w:val="12"/>
        </w:rPr>
      </w:r>
    </w:p>
    <w:p>
      <w:pPr>
        <w:bidi w:val="1"/>
        <w:spacing w:before="0" w:after="0" w:line="240" w:lineRule="auto"/>
        <w:jc w:val="start"/>
      </w:pPr>
      <w:r>
        <w:rPr>
          <w:rFonts w:ascii="IBM Plex Sans Arabic" w:hAnsi="IBM Plex Sans Arabic" w:cs="IBM Plex Sans Arabic" w:eastAsia="IBM Plex Sans Arabic"/>
          <w:color w:val="0B0C0E"/>
          <w:sz w:val="16"/>
          <w:szCs w:val="16"/>
        </w:rPr>
      </w:r>
    </w:p>
    <w:tbl>
      <w:tblPr>
        <w:bidiVisual/>
        <w:tblW w:type="auto" w:w="0"/>
        <w:jc w:val="center"/>
        <w:tblLayout w:type="fixed"/>
        <w:tblLook w:firstColumn="1" w:firstRow="1" w:lastColumn="0" w:lastRow="0" w:noHBand="0" w:noVBand="1" w:val="04A0"/>
      </w:tblPr>
      <w:tblGrid>
        <w:gridCol w:w="4932"/>
        <w:gridCol w:w="4932"/>
      </w:tblGrid>
      <w:tr>
        <w:trPr>
          <w:cantSplit/>
        </w:trPr>
        <w:tc>
          <w:tcPr>
            <w:tcW w:type="dxa" w:w="4932"/>
            <w:tcBorders>
              <w:top w:val="nil"/>
              <w:bottom w:val="nil"/>
              <w:start w:val="nil"/>
              <w:end w:val="nil"/>
            </w:tcBorders>
            <w:tcMar>
              <w:top w:w="100" w:type="dxa"/>
              <w:bottom w:w="100" w:type="dxa"/>
              <w:start w:w="160" w:type="dxa"/>
              <w:end w:w="160" w:type="dxa"/>
            </w:tcMar>
          </w:tcPr>
          <w:p>
            <w:pPr>
              <w:bidi w:val="1"/>
              <w:spacing w:before="0" w:after="40" w:line="312" w:lineRule="auto"/>
              <w:jc w:val="start"/>
            </w:pPr>
            <w:r>
              <w:rPr>
                <w:rFonts w:ascii="IBM Plex Sans Arabic" w:hAnsi="IBM Plex Sans Arabic" w:cs="IBM Plex Sans Arabic" w:eastAsia="IBM Plex Sans Arabic"/>
                <w:b/>
                <w:bCs/>
                <w:color w:val="0B0C0E"/>
                <w:sz w:val="20"/>
                <w:szCs w:val="20"/>
                <w:rtl w:val="1"/>
              </w:rPr>
              <w:t>اعتماد الطرف الأول</w:t>
            </w:r>
          </w:p>
          <w:p>
            <w:pPr>
              <w:bidi w:val="1"/>
              <w:spacing w:before="0" w:after="280" w:line="312" w:lineRule="auto"/>
              <w:jc w:val="start"/>
            </w:pPr>
            <w:r>
              <w:rPr>
                <w:rFonts w:ascii="IBM Plex Sans Arabic" w:hAnsi="IBM Plex Sans Arabic" w:cs="IBM Plex Sans Arabic" w:eastAsia="IBM Plex Sans Arabic"/>
                <w:color w:val="5B6068"/>
                <w:sz w:val="18"/>
                <w:szCs w:val="18"/>
                <w:rtl w:val="1"/>
              </w:rPr>
              <w:t>سيلترا سمارت — SYLTRA SMART</w:t>
            </w:r>
          </w:p>
          <w:p>
            <w:pPr>
              <w:bidi w:val="1"/>
              <w:spacing w:before="0" w:after="120" w:line="312" w:lineRule="auto"/>
              <w:jc w:val="start"/>
            </w:pPr>
            <w:r>
              <w:rPr>
                <w:rFonts w:ascii="IBM Plex Sans Arabic" w:hAnsi="IBM Plex Sans Arabic" w:cs="IBM Plex Sans Arabic" w:eastAsia="IBM Plex Sans Arabic"/>
                <w:color w:val="5B6068"/>
                <w:sz w:val="19"/>
                <w:szCs w:val="19"/>
                <w:rtl w:val="1"/>
              </w:rPr>
              <w:t xml:space="preserve">الاسم:  </w:t>
            </w:r>
            <w:r>
              <w:rPr>
                <w:rFonts w:ascii="IBM Plex Sans Arabic" w:hAnsi="IBM Plex Sans Arabic" w:cs="IBM Plex Sans Arabic" w:eastAsia="IBM Plex Sans Arabic"/>
                <w:color w:val="C7CCD3"/>
                <w:sz w:val="19"/>
                <w:szCs w:val="19"/>
              </w:rPr>
              <w:t>_______________________</w:t>
            </w:r>
          </w:p>
          <w:p>
            <w:pPr>
              <w:bidi w:val="1"/>
              <w:spacing w:before="0" w:after="120" w:line="312" w:lineRule="auto"/>
              <w:jc w:val="start"/>
            </w:pPr>
            <w:r>
              <w:rPr>
                <w:rFonts w:ascii="IBM Plex Sans Arabic" w:hAnsi="IBM Plex Sans Arabic" w:cs="IBM Plex Sans Arabic" w:eastAsia="IBM Plex Sans Arabic"/>
                <w:color w:val="5B6068"/>
                <w:sz w:val="19"/>
                <w:szCs w:val="19"/>
                <w:rtl w:val="1"/>
              </w:rPr>
              <w:t xml:space="preserve">التوقيع:  </w:t>
            </w:r>
            <w:r>
              <w:rPr>
                <w:rFonts w:ascii="IBM Plex Sans Arabic" w:hAnsi="IBM Plex Sans Arabic" w:cs="IBM Plex Sans Arabic" w:eastAsia="IBM Plex Sans Arabic"/>
                <w:color w:val="C7CCD3"/>
                <w:sz w:val="19"/>
                <w:szCs w:val="19"/>
              </w:rPr>
              <w:t>_______________________</w:t>
            </w:r>
          </w:p>
          <w:p>
            <w:pPr>
              <w:bidi w:val="1"/>
              <w:spacing w:before="0" w:after="120" w:line="312" w:lineRule="auto"/>
              <w:jc w:val="start"/>
            </w:pPr>
            <w:r>
              <w:rPr>
                <w:rFonts w:ascii="IBM Plex Sans Arabic" w:hAnsi="IBM Plex Sans Arabic" w:cs="IBM Plex Sans Arabic" w:eastAsia="IBM Plex Sans Arabic"/>
                <w:color w:val="5B6068"/>
                <w:sz w:val="19"/>
                <w:szCs w:val="19"/>
                <w:rtl w:val="1"/>
              </w:rPr>
              <w:t xml:space="preserve">التاريخ:  </w:t>
            </w:r>
            <w:r>
              <w:rPr>
                <w:rFonts w:ascii="IBM Plex Sans Arabic" w:hAnsi="IBM Plex Sans Arabic" w:cs="IBM Plex Sans Arabic" w:eastAsia="IBM Plex Sans Arabic"/>
                <w:color w:val="C7CCD3"/>
                <w:sz w:val="19"/>
                <w:szCs w:val="19"/>
              </w:rPr>
              <w:t>_______________________</w:t>
            </w:r>
          </w:p>
        </w:tc>
        <w:tc>
          <w:tcPr>
            <w:tcW w:type="dxa" w:w="4932"/>
            <w:tcBorders>
              <w:top w:val="nil"/>
              <w:bottom w:val="nil"/>
              <w:start w:val="nil"/>
              <w:end w:val="nil"/>
            </w:tcBorders>
            <w:tcMar>
              <w:top w:w="100" w:type="dxa"/>
              <w:bottom w:w="100" w:type="dxa"/>
              <w:start w:w="160" w:type="dxa"/>
              <w:end w:w="160" w:type="dxa"/>
            </w:tcMar>
          </w:tcPr>
          <w:p>
            <w:pPr>
              <w:bidi w:val="1"/>
              <w:spacing w:before="0" w:after="40" w:line="312" w:lineRule="auto"/>
              <w:jc w:val="start"/>
            </w:pPr>
            <w:r>
              <w:rPr>
                <w:rFonts w:ascii="IBM Plex Sans Arabic" w:hAnsi="IBM Plex Sans Arabic" w:cs="IBM Plex Sans Arabic" w:eastAsia="IBM Plex Sans Arabic"/>
                <w:b/>
                <w:bCs/>
                <w:color w:val="0B0C0E"/>
                <w:sz w:val="20"/>
                <w:szCs w:val="20"/>
                <w:rtl w:val="1"/>
              </w:rPr>
              <w:t>إقرار الطرف الثاني</w:t>
            </w:r>
          </w:p>
          <w:p>
            <w:pPr>
              <w:bidi w:val="1"/>
              <w:spacing w:before="0" w:after="280" w:line="312" w:lineRule="auto"/>
              <w:jc w:val="start"/>
            </w:pPr>
            <w:r>
              <w:rPr>
                <w:rFonts w:ascii="IBM Plex Sans Arabic" w:hAnsi="IBM Plex Sans Arabic" w:cs="IBM Plex Sans Arabic" w:eastAsia="IBM Plex Sans Arabic"/>
                <w:color w:val="5B6068"/>
                <w:sz w:val="18"/>
                <w:szCs w:val="18"/>
                <w:rtl w:val="1"/>
              </w:rPr>
              <w:t>اطلعت على هذه السياسة ووافقت عليها</w:t>
            </w:r>
          </w:p>
          <w:p>
            <w:pPr>
              <w:bidi w:val="1"/>
              <w:spacing w:before="0" w:after="120" w:line="312" w:lineRule="auto"/>
              <w:jc w:val="start"/>
            </w:pPr>
            <w:r>
              <w:rPr>
                <w:rFonts w:ascii="IBM Plex Sans Arabic" w:hAnsi="IBM Plex Sans Arabic" w:cs="IBM Plex Sans Arabic" w:eastAsia="IBM Plex Sans Arabic"/>
                <w:color w:val="5B6068"/>
                <w:sz w:val="19"/>
                <w:szCs w:val="19"/>
                <w:rtl w:val="1"/>
              </w:rPr>
              <w:t xml:space="preserve">الاسم:  </w:t>
            </w:r>
            <w:r>
              <w:rPr>
                <w:rFonts w:ascii="IBM Plex Sans Arabic" w:hAnsi="IBM Plex Sans Arabic" w:cs="IBM Plex Sans Arabic" w:eastAsia="IBM Plex Sans Arabic"/>
                <w:color w:val="C7CCD3"/>
                <w:sz w:val="19"/>
                <w:szCs w:val="19"/>
              </w:rPr>
              <w:t>_______________________</w:t>
            </w:r>
          </w:p>
          <w:p>
            <w:pPr>
              <w:bidi w:val="1"/>
              <w:spacing w:before="0" w:after="120" w:line="312" w:lineRule="auto"/>
              <w:jc w:val="start"/>
            </w:pPr>
            <w:r>
              <w:rPr>
                <w:rFonts w:ascii="IBM Plex Sans Arabic" w:hAnsi="IBM Plex Sans Arabic" w:cs="IBM Plex Sans Arabic" w:eastAsia="IBM Plex Sans Arabic"/>
                <w:color w:val="5B6068"/>
                <w:sz w:val="19"/>
                <w:szCs w:val="19"/>
                <w:rtl w:val="1"/>
              </w:rPr>
              <w:t xml:space="preserve">التوقيع:  </w:t>
            </w:r>
            <w:r>
              <w:rPr>
                <w:rFonts w:ascii="IBM Plex Sans Arabic" w:hAnsi="IBM Plex Sans Arabic" w:cs="IBM Plex Sans Arabic" w:eastAsia="IBM Plex Sans Arabic"/>
                <w:color w:val="C7CCD3"/>
                <w:sz w:val="19"/>
                <w:szCs w:val="19"/>
              </w:rPr>
              <w:t>_______________________</w:t>
            </w:r>
          </w:p>
          <w:p>
            <w:pPr>
              <w:bidi w:val="1"/>
              <w:spacing w:before="0" w:after="120" w:line="312" w:lineRule="auto"/>
              <w:jc w:val="start"/>
            </w:pPr>
            <w:r>
              <w:rPr>
                <w:rFonts w:ascii="IBM Plex Sans Arabic" w:hAnsi="IBM Plex Sans Arabic" w:cs="IBM Plex Sans Arabic" w:eastAsia="IBM Plex Sans Arabic"/>
                <w:color w:val="5B6068"/>
                <w:sz w:val="19"/>
                <w:szCs w:val="19"/>
                <w:rtl w:val="1"/>
              </w:rPr>
              <w:t xml:space="preserve">التاريخ:  </w:t>
            </w:r>
            <w:r>
              <w:rPr>
                <w:rFonts w:ascii="IBM Plex Sans Arabic" w:hAnsi="IBM Plex Sans Arabic" w:cs="IBM Plex Sans Arabic" w:eastAsia="IBM Plex Sans Arabic"/>
                <w:color w:val="C7CCD3"/>
                <w:sz w:val="19"/>
                <w:szCs w:val="19"/>
              </w:rPr>
              <w:t>_______________________</w:t>
            </w:r>
          </w:p>
        </w:tc>
      </w:tr>
    </w:tbl>
    <w:sectPr w:rsidR="00FC693F" w:rsidRPr="0006063C" w:rsidSect="00034616">
      <w:headerReference w:type="default" r:id="rId9"/>
      <w:footerReference w:type="default" r:id="rId10"/>
      <w:pgSz w:w="11906" w:h="16838"/>
      <w:pgMar w:top="1701" w:right="1020" w:bottom="1134" w:left="1020"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88" w:lineRule="auto"/>
      <w:jc w:val="center"/>
    </w:pPr>
    <w:r>
      <w:rPr>
        <w:rFonts w:ascii="IBM Plex Sans Arabic" w:hAnsi="IBM Plex Sans Arabic" w:cs="IBM Plex Sans Arabic" w:eastAsia="IBM Plex Sans Arabic"/>
        <w:color w:val="5B6068"/>
        <w:sz w:val="15"/>
        <w:szCs w:val="15"/>
        <w:rtl w:val="1"/>
      </w:rPr>
      <w:t xml:space="preserve">سيلترا سمارت · الرياض — حي الملقا · </w:t>
    </w:r>
    <w:r>
      <w:rPr>
        <w:rFonts w:ascii="IBM Plex Mono" w:hAnsi="IBM Plex Mono" w:cs="IBM Plex Mono" w:eastAsia="IBM Plex Mono"/>
        <w:color w:val="5B6068"/>
        <w:sz w:val="15"/>
        <w:szCs w:val="15"/>
      </w:rPr>
      <w:t>+966 55 009 8550 · info@syltraone.com · syltraone.com</w:t>
    </w:r>
  </w:p>
  <w:p>
    <w:pPr>
      <w:bidi w:val="1"/>
      <w:spacing w:before="0" w:after="0" w:line="288" w:lineRule="auto"/>
      <w:jc w:val="center"/>
    </w:pPr>
    <w:r>
      <w:rPr>
        <w:rFonts w:ascii="IBM Plex Sans Arabic" w:hAnsi="IBM Plex Sans Arabic" w:cs="IBM Plex Sans Arabic" w:eastAsia="IBM Plex Sans Arabic"/>
        <w:color w:val="5B6068"/>
        <w:sz w:val="15"/>
        <w:szCs w:val="15"/>
        <w:rtl w:val="1"/>
      </w:rPr>
      <w:t xml:space="preserve">صفحة </w:t>
    </w:r>
    <w:r>
      <w:rPr>
        <w:rFonts w:ascii="IBM Plex Mono" w:hAnsi="IBM Plex Mono" w:cs="IBM Plex Mono" w:eastAsia="IBM Plex Mono"/>
        <w:color w:val="5B6068"/>
        <w:sz w:val="15"/>
        <w:szCs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4932"/>
      <w:gridCol w:w="4932"/>
    </w:tblGrid>
    <w:tr>
      <w:tc>
        <w:tcPr>
          <w:tcW w:type="dxa" w:w="4932"/>
          <w:tcBorders>
            <w:top w:val="nil"/>
            <w:bottom w:val="nil"/>
            <w:start w:val="nil"/>
            <w:end w:val="nil"/>
          </w:tcBorders>
          <w:tcMar>
            <w:top w:w="0" w:type="dxa"/>
            <w:bottom w:w="0" w:type="dxa"/>
            <w:start w:w="0" w:type="dxa"/>
            <w:end w:w="0" w:type="dxa"/>
          </w:tcMar>
          <w:vAlign w:val="bottom"/>
        </w:tcPr>
        <w:p>
          <w:pPr>
            <w:bidi w:val="0"/>
            <w:spacing w:before="0" w:after="0" w:line="288" w:lineRule="auto"/>
            <w:jc w:val="left"/>
          </w:pPr>
          <w:r>
            <w:rPr>
              <w:rFonts w:ascii="IBM Plex Mono" w:hAnsi="IBM Plex Mono" w:cs="IBM Plex Mono" w:eastAsia="IBM Plex Mono"/>
              <w:color w:val="5B6068"/>
              <w:sz w:val="15"/>
              <w:szCs w:val="15"/>
            </w:rPr>
            <w:t>SYLTRA SMART · HR-01 · عقد عمل</w:t>
          </w:r>
        </w:p>
        <w:p>
          <w:pPr>
            <w:bidi w:val="0"/>
            <w:spacing w:before="0" w:after="0" w:line="288" w:lineRule="auto"/>
            <w:jc w:val="left"/>
          </w:pPr>
          <w:r>
            <w:rPr>
              <w:rFonts w:ascii="IBM Plex Sans Arabic" w:hAnsi="IBM Plex Sans Arabic" w:cs="IBM Plex Sans Arabic" w:eastAsia="IBM Plex Sans Arabic"/>
              <w:color w:val="5B6068"/>
              <w:sz w:val="16"/>
              <w:szCs w:val="16"/>
              <w:rtl w:val="1"/>
            </w:rPr>
            <w:t>عقد عمل — مندوب مبيعات</w:t>
          </w:r>
        </w:p>
      </w:tc>
      <w:tc>
        <w:tcPr>
          <w:tcW w:type="dxa" w:w="4932"/>
          <w:tcBorders>
            <w:top w:val="nil"/>
            <w:bottom w:val="nil"/>
            <w:start w:val="nil"/>
            <w:end w:val="nil"/>
          </w:tcBorders>
          <w:tcMar>
            <w:top w:w="0" w:type="dxa"/>
            <w:bottom w:w="0" w:type="dxa"/>
            <w:start w:w="0" w:type="dxa"/>
            <w:end w:w="0" w:type="dxa"/>
          </w:tcMar>
          <w:vAlign w:val="bottom"/>
        </w:tcPr>
        <w:p>
          <w:pPr>
            <w:bidi w:val="0"/>
            <w:spacing w:before="0" w:after="0" w:line="240" w:lineRule="auto"/>
            <w:jc w:val="right"/>
          </w:pPr>
          <w:r>
            <w:drawing>
              <wp:inline xmlns:a="http://schemas.openxmlformats.org/drawingml/2006/main" xmlns:pic="http://schemas.openxmlformats.org/drawingml/2006/picture">
                <wp:extent cx="936000" cy="341355"/>
                <wp:docPr id="1" name="Picture 1"/>
                <wp:cNvGraphicFramePr>
                  <a:graphicFrameLocks noChangeAspect="1"/>
                </wp:cNvGraphicFramePr>
                <a:graphic>
                  <a:graphicData uri="http://schemas.openxmlformats.org/drawingml/2006/picture">
                    <pic:pic>
                      <pic:nvPicPr>
                        <pic:cNvPr id="0" name="wordmark-dark.png"/>
                        <pic:cNvPicPr/>
                      </pic:nvPicPr>
                      <pic:blipFill>
                        <a:blip r:embed="rId1"/>
                        <a:stretch>
                          <a:fillRect/>
                        </a:stretch>
                      </pic:blipFill>
                      <pic:spPr>
                        <a:xfrm>
                          <a:off x="0" y="0"/>
                          <a:ext cx="936000" cy="341355"/>
                        </a:xfrm>
                        <a:prstGeom prst="rect"/>
                      </pic:spPr>
                    </pic:pic>
                  </a:graphicData>
                </a:graphic>
              </wp:inline>
            </w:drawing>
          </w:r>
        </w:p>
      </w:tc>
    </w:tr>
  </w:tbl>
  <w:p>
    <w:pPr>
      <w:pBdr>
        <w:bottom w:val="single" w:sz="8" w:color="2F6BE0"/>
      </w:pBdr>
      <w:bidi w:val="0"/>
      <w:spacing w:before="40" w:after="0" w:line="240" w:lineRule="auto"/>
      <w:jc w:val="left"/>
    </w:pPr>
    <w:r>
      <w:rPr>
        <w:rFonts w:ascii="IBM Plex Sans Arabic" w:hAnsi="IBM Plex Sans Arabic" w:cs="IBM Plex Sans Arabic" w:eastAsia="IBM Plex Sans Arabic"/>
        <w:color w:val="0B0C0E"/>
        <w:sz w:val="4"/>
        <w:szCs w:val="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IBM Plex Sans Arabic" w:hAnsi="IBM Plex Sans Arabic" w:cs="IBM Plex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