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120" w:line="288" w:lineRule="auto"/>
        <w:jc w:val="start"/>
      </w:pPr>
      <w:r>
        <w:rPr>
          <w:rFonts w:ascii="IBM Plex Sans Arabic" w:hAnsi="IBM Plex Sans Arabic" w:cs="IBM Plex Sans Arabic" w:eastAsia="IBM Plex Sans Arabic"/>
          <w:color w:val="2F6BE0"/>
          <w:sz w:val="16"/>
          <w:szCs w:val="16"/>
          <w:rtl w:val="1"/>
        </w:rPr>
        <w:t>SL-05 · دليل المبيعات</w:t>
      </w:r>
    </w:p>
    <w:p>
      <w:pPr>
        <w:keepNext/>
        <w:bidi w:val="1"/>
        <w:spacing w:before="0" w:after="80" w:line="288" w:lineRule="auto"/>
        <w:jc w:val="start"/>
      </w:pPr>
      <w:r>
        <w:rPr>
          <w:rFonts w:ascii="IBM Plex Sans Arabic" w:hAnsi="IBM Plex Sans Arabic" w:cs="IBM Plex Sans Arabic" w:eastAsia="IBM Plex Sans Arabic"/>
          <w:b/>
          <w:bCs/>
          <w:color w:val="0B0C0E"/>
          <w:sz w:val="44"/>
          <w:szCs w:val="44"/>
          <w:rtl w:val="1"/>
        </w:rPr>
        <w:t>دليل المبيعات</w:t>
      </w:r>
    </w:p>
    <w:p>
      <w:pPr>
        <w:bidi w:val="1"/>
        <w:spacing w:before="0" w:after="280" w:line="336" w:lineRule="auto"/>
        <w:jc w:val="start"/>
      </w:pPr>
      <w:r>
        <w:rPr>
          <w:rFonts w:ascii="IBM Plex Sans Arabic" w:hAnsi="IBM Plex Sans Arabic" w:cs="IBM Plex Sans Arabic" w:eastAsia="IBM Plex Sans Arabic"/>
          <w:color w:val="5B6068"/>
          <w:sz w:val="22"/>
          <w:szCs w:val="22"/>
          <w:rtl w:val="1"/>
        </w:rPr>
        <w:t>ما نقوله، وما لا نقوله، وكيف نحوّل الزيارة إلى موعد والموعد إلى عقد. للاستخدام الداخلي.</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1  سيلترا سمارت في ثلاثين ثانية</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سيلترا سمارت شركة سعودية في الرياض تصمّم وتورّد وتركّب أنظمة المنزل الذكي: الإضاءة، الستائر، التكييف، الأقفال، الكاميرات، الحساسات، الصوت، شاشات التحكم، ونظام كامل للمنزل. نبيع الأجهزة ونركّبها ونبرمجها ونسلّمها تعمل.</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ثلاث حقائق تميّزنا، وهي ما يجب أن يسمعه كل عميل:</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التحكم الأساسي يعمل داخل المنزل. لو انقطع الإنترنت، الإضاءة والستائر والأقفال تعمل، والتحكم اليدوي متاح دائماً.</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النظام مفتوح المعمار. Matter وZigbee وZ-Wave وThread وHome Assistant جميعها مدعومة، ونتكامل مع أي جهاز يتحدث بروتوكولاً مفتوحاً أياً كانت علامته. العميل لا يُقفل على مورّد واحد.</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معاينة مجانية، ورد خلال يوم عمل، وعرض سعر مفصّل: أجهزة وتركيب وبرمجة وضمان، كل بند بسعره.</w:t>
      </w:r>
    </w:p>
    <w:tbl>
      <w:tblPr>
        <w:bidiVisual/>
        <w:tblW w:type="auto" w:w="0"/>
        <w:jc w:val="center"/>
        <w:tblLayout w:type="fixed"/>
        <w:tblLook w:firstColumn="1" w:firstRow="1" w:lastColumn="0" w:lastRow="0" w:noHBand="0" w:noVBand="1" w:val="04A0"/>
      </w:tblPr>
      <w:tblGrid>
        <w:gridCol w:w="9864"/>
      </w:tblGrid>
      <w:tr>
        <w:tc>
          <w:tcPr>
            <w:tcW w:type="dxa" w:w="9865"/>
            <w:tcBorders>
              <w:top w:val="nil"/>
              <w:bottom w:val="nil"/>
              <w:start w:val="nil"/>
              <w:end w:val="nil"/>
            </w:tcBorders>
            <w:shd w:val="clear" w:color="auto" w:fill="F3F4F6"/>
            <w:tcMar>
              <w:top w:w="120" w:type="dxa"/>
              <w:bottom w:w="120" w:type="dxa"/>
              <w:start w:w="180" w:type="dxa"/>
              <w:end w:w="180" w:type="dxa"/>
            </w:tcMar>
          </w:tcPr>
          <w:p>
            <w:pPr>
              <w:bidi w:val="1"/>
              <w:spacing w:before="0" w:after="0" w:line="348" w:lineRule="auto"/>
              <w:jc w:val="start"/>
            </w:pPr>
            <w:r>
              <w:rPr>
                <w:rFonts w:ascii="IBM Plex Sans Arabic" w:hAnsi="IBM Plex Sans Arabic" w:cs="IBM Plex Sans Arabic" w:eastAsia="IBM Plex Sans Arabic"/>
                <w:color w:val="17181C"/>
                <w:sz w:val="19"/>
                <w:szCs w:val="19"/>
                <w:rtl w:val="1"/>
              </w:rPr>
              <w:t>الجملة التي نفتتح بها: «نحن نبني منزلاً ذكياً يعمل حتى لو غاب الإنترنت، ويقبل أي جهاز مفتوح تضيفه بعد سنة أو عشر».</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2  الجمهور الثلاثة ومدخل كل واحد</w:t>
      </w:r>
    </w:p>
    <w:tbl>
      <w:tblPr>
        <w:bidiVisual/>
        <w:tblW w:type="auto" w:w="0"/>
        <w:jc w:val="center"/>
        <w:tblLayout w:type="fixed"/>
        <w:tblLook w:firstColumn="1" w:firstRow="1" w:lastColumn="0" w:lastRow="0" w:noHBand="0" w:noVBand="1" w:val="04A0"/>
      </w:tblPr>
      <w:tblGrid>
        <w:gridCol w:w="1775"/>
        <w:gridCol w:w="2959"/>
        <w:gridCol w:w="3156"/>
        <w:gridCol w:w="1972"/>
      </w:tblGrid>
      <w:tr>
        <w:trPr>
          <w:cantSplit/>
        </w:trPr>
        <w:tc>
          <w:tcPr>
            <w:tcW w:type="dxa" w:w="1776"/>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الجمهور</w:t>
            </w:r>
          </w:p>
        </w:tc>
        <w:tc>
          <w:tcPr>
            <w:tcW w:type="dxa" w:w="2959"/>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ما يهمه</w:t>
            </w:r>
          </w:p>
        </w:tc>
        <w:tc>
          <w:tcPr>
            <w:tcW w:type="dxa" w:w="3157"/>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المدخل</w:t>
            </w:r>
          </w:p>
        </w:tc>
        <w:tc>
          <w:tcPr>
            <w:tcW w:type="dxa" w:w="1973"/>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الهدف من أول لقاء</w:t>
            </w:r>
          </w:p>
        </w:tc>
      </w:tr>
      <w:tr>
        <w:trPr>
          <w:cantSplit/>
          <w:trHeight w:val="567" w:hRule="atLeast"/>
        </w:trPr>
        <w:tc>
          <w:tcPr>
            <w:tcW w:type="dxa" w:w="177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مالك الفيلا</w:t>
            </w:r>
          </w:p>
        </w:tc>
        <w:tc>
          <w:tcPr>
            <w:tcW w:type="dxa" w:w="2959"/>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الراحة، الأمان، شكل اللوحات على الجدار، ألا يتعطل النظام</w:t>
            </w:r>
          </w:p>
        </w:tc>
        <w:tc>
          <w:tcPr>
            <w:tcW w:type="dxa" w:w="3157"/>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الفلل تحت التشطيب: المالك والكهربائي موجودان والقرار قبل إغلاق الجدران</w:t>
            </w:r>
          </w:p>
        </w:tc>
        <w:tc>
          <w:tcPr>
            <w:tcW w:type="dxa" w:w="197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موعد عرض توضيحي في المكتب أو معاينة في الفيلا</w:t>
            </w:r>
          </w:p>
        </w:tc>
      </w:tr>
      <w:tr>
        <w:trPr>
          <w:cantSplit/>
          <w:trHeight w:val="567" w:hRule="atLeast"/>
        </w:trPr>
        <w:tc>
          <w:tcPr>
            <w:tcW w:type="dxa" w:w="1776"/>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المقاول / مكتب التصميم</w:t>
            </w:r>
          </w:p>
        </w:tc>
        <w:tc>
          <w:tcPr>
            <w:tcW w:type="dxa" w:w="2959"/>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مورّد لا يعطّل جدوله، ولا يحرجه أمام عميله، وعمولة إحالة واضحة</w:t>
            </w:r>
          </w:p>
        </w:tc>
        <w:tc>
          <w:tcPr>
            <w:tcW w:type="dxa" w:w="3157"/>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نعرض عليه شريكاً فنياً لمشاريعه: معاينة مجانية لعملائه ورسومات نقاط التحكم قبل التمديدات</w:t>
            </w:r>
          </w:p>
        </w:tc>
        <w:tc>
          <w:tcPr>
            <w:tcW w:type="dxa" w:w="197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اتفاق إحالة أو ضمّنا في مشروع واحد قائم</w:t>
            </w:r>
          </w:p>
        </w:tc>
      </w:tr>
      <w:tr>
        <w:trPr>
          <w:cantSplit/>
          <w:trHeight w:val="567" w:hRule="atLeast"/>
        </w:trPr>
        <w:tc>
          <w:tcPr>
            <w:tcW w:type="dxa" w:w="177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المطوّر العقاري</w:t>
            </w:r>
          </w:p>
        </w:tc>
        <w:tc>
          <w:tcPr>
            <w:tcW w:type="dxa" w:w="2959"/>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قيمة إضافية للوحدة بسعر معقول، وتنفيذ متكرر بلا مفاجآت</w:t>
            </w:r>
          </w:p>
        </w:tc>
        <w:tc>
          <w:tcPr>
            <w:tcW w:type="dxa" w:w="3157"/>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باقة موحدة للوحدة النموذجية + تسعير بالكمية</w:t>
            </w:r>
          </w:p>
        </w:tc>
        <w:tc>
          <w:tcPr>
            <w:tcW w:type="dxa" w:w="197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تركيب وحدة نموذجية واحدة</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3  سكربت الزيارة الميدانية</w:t>
      </w:r>
    </w:p>
    <w:p>
      <w:pPr>
        <w:keepNext/>
        <w:bidi w:val="1"/>
        <w:spacing w:before="160" w:after="60" w:line="312" w:lineRule="auto"/>
        <w:jc w:val="start"/>
      </w:pPr>
      <w:r>
        <w:rPr>
          <w:rFonts w:ascii="IBM Plex Sans Arabic" w:hAnsi="IBM Plex Sans Arabic" w:cs="IBM Plex Sans Arabic" w:eastAsia="IBM Plex Sans Arabic"/>
          <w:b/>
          <w:bCs/>
          <w:color w:val="17181C"/>
          <w:sz w:val="23"/>
          <w:szCs w:val="23"/>
          <w:rtl w:val="1"/>
        </w:rPr>
        <w:t>الفتح — 20 ثانية</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«السلام عليكم، أنا ______ من سيلترا سمارت، شركة أنظمة المنزل الذكي، مكتبنا في الملقا. شفت الفيلا في مرحلة التشطيب، وهذا أنسب وقت نتكلم فيه عن نقاط التحكم قبل ما تُقفل الجدران. عندك دقيقتين؟»</w:t>
      </w:r>
    </w:p>
    <w:p>
      <w:pPr>
        <w:keepNext/>
        <w:bidi w:val="1"/>
        <w:spacing w:before="160" w:after="60" w:line="312" w:lineRule="auto"/>
        <w:jc w:val="start"/>
      </w:pPr>
      <w:r>
        <w:rPr>
          <w:rFonts w:ascii="IBM Plex Sans Arabic" w:hAnsi="IBM Plex Sans Arabic" w:cs="IBM Plex Sans Arabic" w:eastAsia="IBM Plex Sans Arabic"/>
          <w:b/>
          <w:bCs/>
          <w:color w:val="17181C"/>
          <w:sz w:val="23"/>
          <w:szCs w:val="23"/>
          <w:rtl w:val="1"/>
        </w:rPr>
        <w:t>أسئلة الاكتشاف — اسأل واسكت</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«متى التسليم المتوقع؟ وفي أي مرحلة الكهرباء الآن؟»</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«ما الذي تريد أن يكون ذكياً في البيت: الإضاءة؟ الستائر؟ التكييف؟ الأبواب؟ الكاميرات؟»</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«جربت نظاماً ذكياً قبل هذا أو عند أحد من معارفك؟ ما الذي أعجبك وما الذي أزعجك؟»</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«من الذي يقرر في هذه الأمور: أنت، أم المهندس، أم مكتب التصميم؟»</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«هل هناك عرض من جهة أخرى؟» (نسمع ولا نهاجم).</w:t>
      </w:r>
    </w:p>
    <w:p>
      <w:pPr>
        <w:keepNext/>
        <w:bidi w:val="1"/>
        <w:spacing w:before="160" w:after="60" w:line="312" w:lineRule="auto"/>
        <w:jc w:val="start"/>
      </w:pPr>
      <w:r>
        <w:rPr>
          <w:rFonts w:ascii="IBM Plex Sans Arabic" w:hAnsi="IBM Plex Sans Arabic" w:cs="IBM Plex Sans Arabic" w:eastAsia="IBM Plex Sans Arabic"/>
          <w:b/>
          <w:bCs/>
          <w:color w:val="17181C"/>
          <w:sz w:val="23"/>
          <w:szCs w:val="23"/>
          <w:rtl w:val="1"/>
        </w:rPr>
        <w:t>عرض القيمة — جملة واحدة لكل ما سمعته</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اربط كل احتياج سمعته بحقيقة من الثلاث: «قلت إن أكثر ما يزعجك تعليق التطبيق، نظامنا يعمل محلياً داخل البيت فلا ينتظر سيرفراً». لا تعرض كل شيء. اعرض ما يخصه.</w:t>
      </w:r>
    </w:p>
    <w:p>
      <w:pPr>
        <w:keepNext/>
        <w:bidi w:val="1"/>
        <w:spacing w:before="160" w:after="60" w:line="312" w:lineRule="auto"/>
        <w:jc w:val="start"/>
      </w:pPr>
      <w:r>
        <w:rPr>
          <w:rFonts w:ascii="IBM Plex Sans Arabic" w:hAnsi="IBM Plex Sans Arabic" w:cs="IBM Plex Sans Arabic" w:eastAsia="IBM Plex Sans Arabic"/>
          <w:b/>
          <w:bCs/>
          <w:color w:val="17181C"/>
          <w:sz w:val="23"/>
          <w:szCs w:val="23"/>
          <w:rtl w:val="1"/>
        </w:rPr>
        <w:t>الإغلاق — على موعد، لا على بيع</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«الأفضل أن ترى النظام يعمل بدل أن أشرحه. عندنا في مكتب الملقا غرفة معروضة كاملة؛ الزيارة سبع دقائق. الأحد أو الثلاثاء أنسب لك؟» ثم ثبّت التاريخ والساعة في الجوال أمامه، وسجّله في تقرير الزيارة قبل أن تركب السيارة.</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4  سكربت الاتصال بالمقاولين ومكاتب التصميم</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«أهلاً مهندس ______، معك ______ من سيلترا سمارت في الملقا. نحن نورّد ونركّب أنظمة المنزل الذكي، ونشتغل مع مكاتب التصميم كشريك فني: نعاين مشروع عميلكم مجاناً، ونعطيكم مخطط نقاط التحكم قبل التمديدات حتى لا يتكرر التكسير، والتنفيذ والضمان علينا. عندكم مشروع فيلا حالياً في مرحلة التشطيب يمكن نبدأ فيه؟»</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لو قال «أرسل لي البروفايل»: أرسله خلال ساعة، واطلب موعد عشر دقائق في مكتبه أو مكتبنا خلال الأسبوع نفسه.</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لو قال «عندنا مورّد»: «ممتاز، لن أطلب أن تغيّره. اسمح لي أكون الخيار الثاني في مشروع واحد فقط لتقارن». ثم انتقل للموعد.</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لو قال «كم العمولة؟»: «اتفاق إحالة مكتوب بنسبة ثابتة من صافي العقد، تصلك بعد استلام العميل». لا تذكر رقماً قبل اعتماده من الإدارة.</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5  الاعتراضات السبعة والرد عليها</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القاعدة: اسمع الاعتراض كاملاً، أعده بكلماتك، ثم أجب بحقيقة أو رقم أو عرض عملي. لا تجادل ولا تتهم منتج غيرنا.</w:t>
      </w:r>
    </w:p>
    <w:p>
      <w:pPr>
        <w:keepNext/>
        <w:bidi w:val="1"/>
        <w:spacing w:before="120" w:after="40" w:line="348" w:lineRule="auto"/>
        <w:jc w:val="start"/>
      </w:pPr>
      <w:r>
        <w:rPr>
          <w:rFonts w:ascii="IBM Plex Sans Arabic" w:hAnsi="IBM Plex Sans Arabic" w:cs="IBM Plex Sans Arabic" w:eastAsia="IBM Plex Sans Arabic"/>
          <w:b/>
          <w:bCs/>
          <w:color w:val="17181C"/>
          <w:sz w:val="21"/>
          <w:szCs w:val="21"/>
          <w:rtl w:val="1"/>
        </w:rPr>
        <w:t>«الأجهزة الصينية أرخص بكثير»</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«صحيح، وبعضها جيد. الفرق ليس الجهاز، الفرق ما يحصل بعد سنة: من يبرمج؟ من يضيف جهازاً جديداً؟ من يرد عند العطل؟ أنت تشتري منا نظاماً مركّباً ومبرمجاً ومضموناً، لا كرتوناً. وإذا عندك جهاز يعجبك يتحدث بروتوكولاً مفتوحاً، ندمجه في النظام نفسه».</w:t>
      </w:r>
    </w:p>
    <w:p>
      <w:pPr>
        <w:keepNext/>
        <w:bidi w:val="1"/>
        <w:spacing w:before="120" w:after="40" w:line="348" w:lineRule="auto"/>
        <w:jc w:val="start"/>
      </w:pPr>
      <w:r>
        <w:rPr>
          <w:rFonts w:ascii="IBM Plex Sans Arabic" w:hAnsi="IBM Plex Sans Arabic" w:cs="IBM Plex Sans Arabic" w:eastAsia="IBM Plex Sans Arabic"/>
          <w:b/>
          <w:bCs/>
          <w:color w:val="17181C"/>
          <w:sz w:val="21"/>
          <w:szCs w:val="21"/>
          <w:rtl w:val="1"/>
        </w:rPr>
        <w:t>«لو انقطع الإنترنت يتعطل البيت؟»</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«لا. التحكم الأساسي يعمل داخل البيت على شبكتك المحلية. الإنترنت يلزم للتحكم من خارج البيت فقط، والمفاتيح اليدوية تعمل دائماً». ثم أرِه ذلك في العرض التوضيحي: افصل الإنترنت أمامه.</w:t>
      </w:r>
    </w:p>
    <w:p>
      <w:pPr>
        <w:keepNext/>
        <w:bidi w:val="1"/>
        <w:spacing w:before="120" w:after="40" w:line="348" w:lineRule="auto"/>
        <w:jc w:val="start"/>
      </w:pPr>
      <w:r>
        <w:rPr>
          <w:rFonts w:ascii="IBM Plex Sans Arabic" w:hAnsi="IBM Plex Sans Arabic" w:cs="IBM Plex Sans Arabic" w:eastAsia="IBM Plex Sans Arabic"/>
          <w:b/>
          <w:bCs/>
          <w:color w:val="17181C"/>
          <w:sz w:val="21"/>
          <w:szCs w:val="21"/>
          <w:rtl w:val="1"/>
        </w:rPr>
        <w:t>«لو غيّرت الأجهزة بعد سنتين أو أضفت شيئاً؟»</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«النظام مفتوح: Matter وZigbee وZ-Wave وThread وHome Assistant مدعومة، وأي جهاز مفتوح تضيفه لاحقاً يدخل في النظام نفسه. لا نقفلك على علامتنا ولا على علامة واحدة».</w:t>
      </w:r>
    </w:p>
    <w:p>
      <w:pPr>
        <w:keepNext/>
        <w:bidi w:val="1"/>
        <w:spacing w:before="120" w:after="40" w:line="348" w:lineRule="auto"/>
        <w:jc w:val="start"/>
      </w:pPr>
      <w:r>
        <w:rPr>
          <w:rFonts w:ascii="IBM Plex Sans Arabic" w:hAnsi="IBM Plex Sans Arabic" w:cs="IBM Plex Sans Arabic" w:eastAsia="IBM Plex Sans Arabic"/>
          <w:b/>
          <w:bCs/>
          <w:color w:val="17181C"/>
          <w:sz w:val="21"/>
          <w:szCs w:val="21"/>
          <w:rtl w:val="1"/>
        </w:rPr>
        <w:t>«التركيب فوضى وتكسير»</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«لهذا نأتي في مرحلة التشطيب: نعطي الكهربائي مخطط النقاط قبل إغلاق الجدران، فلا تكسير. وفي البيوت المسكونة نختار حلولاً لاسلكية حيث يلزم». اذكر مدة التنفيذ التقديرية من عرض السعر فقط.</w:t>
      </w:r>
    </w:p>
    <w:p>
      <w:pPr>
        <w:keepNext/>
        <w:bidi w:val="1"/>
        <w:spacing w:before="120" w:after="40" w:line="348" w:lineRule="auto"/>
        <w:jc w:val="start"/>
      </w:pPr>
      <w:r>
        <w:rPr>
          <w:rFonts w:ascii="IBM Plex Sans Arabic" w:hAnsi="IBM Plex Sans Arabic" w:cs="IBM Plex Sans Arabic" w:eastAsia="IBM Plex Sans Arabic"/>
          <w:b/>
          <w:bCs/>
          <w:color w:val="17181C"/>
          <w:sz w:val="21"/>
          <w:szCs w:val="21"/>
          <w:rtl w:val="1"/>
        </w:rPr>
        <w:t>«ما الضمان؟ ومن يرد لو تعطل؟»</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اذكر مدد الضمان المعتمدة في عرض السعر حرفياً، وقناة الدعم المعتمدة. لا تَعِد بشيء غير مكتوب في العقد.</w:t>
      </w:r>
    </w:p>
    <w:p>
      <w:pPr>
        <w:keepNext/>
        <w:bidi w:val="1"/>
        <w:spacing w:before="120" w:after="40" w:line="348" w:lineRule="auto"/>
        <w:jc w:val="start"/>
      </w:pPr>
      <w:r>
        <w:rPr>
          <w:rFonts w:ascii="IBM Plex Sans Arabic" w:hAnsi="IBM Plex Sans Arabic" w:cs="IBM Plex Sans Arabic" w:eastAsia="IBM Plex Sans Arabic"/>
          <w:b/>
          <w:bCs/>
          <w:color w:val="17181C"/>
          <w:sz w:val="21"/>
          <w:szCs w:val="21"/>
          <w:rtl w:val="1"/>
        </w:rPr>
        <w:t>«غالٍ»</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«مقارنة بماذا؟» ثم افصل: «العرض يفصّل الأجهزة والتركيب والبرمجة والضمان بنداً بنداً. لو الميزانية محددة، نبدأ بالإضاءة والستائر ونترك النظام مفتوحاً للإضافة لاحقاً بدل أن نخفض الجودة». الخصم آخر أداة لا أولها، وفي حدود صلاحياتك فقط.</w:t>
      </w:r>
    </w:p>
    <w:p>
      <w:pPr>
        <w:keepNext/>
        <w:bidi w:val="1"/>
        <w:spacing w:before="120" w:after="40" w:line="348" w:lineRule="auto"/>
        <w:jc w:val="start"/>
      </w:pPr>
      <w:r>
        <w:rPr>
          <w:rFonts w:ascii="IBM Plex Sans Arabic" w:hAnsi="IBM Plex Sans Arabic" w:cs="IBM Plex Sans Arabic" w:eastAsia="IBM Plex Sans Arabic"/>
          <w:b/>
          <w:bCs/>
          <w:color w:val="17181C"/>
          <w:sz w:val="21"/>
          <w:szCs w:val="21"/>
          <w:rtl w:val="1"/>
        </w:rPr>
        <w:t>«أفكّر وأرد عليك»</w:t>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«طبعاً. حتى يكون تفكيرك على شيء ملموس، خلّنا نثبّت موعد سبع دقائق في المعرض، وبعدها تقرر». الهدف موعد بتاريخ، لا وعد.</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6  سيناريو العرض التوضيحي — سبع دقائق</w:t>
      </w:r>
    </w:p>
    <w:tbl>
      <w:tblPr>
        <w:bidiVisual/>
        <w:tblW w:type="auto" w:w="0"/>
        <w:jc w:val="center"/>
        <w:tblLayout w:type="fixed"/>
        <w:tblLook w:firstColumn="1" w:firstRow="1" w:lastColumn="0" w:lastRow="0" w:noHBand="0" w:noVBand="1" w:val="04A0"/>
      </w:tblPr>
      <w:tblGrid>
        <w:gridCol w:w="1183"/>
        <w:gridCol w:w="4734"/>
        <w:gridCol w:w="3945"/>
      </w:tblGrid>
      <w:tr>
        <w:trPr>
          <w:cantSplit/>
        </w:trPr>
        <w:tc>
          <w:tcPr>
            <w:tcW w:type="dxa" w:w="1184"/>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الدقيقة</w:t>
            </w:r>
          </w:p>
        </w:tc>
        <w:tc>
          <w:tcPr>
            <w:tcW w:type="dxa" w:w="4735"/>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ماذا يحدث</w:t>
            </w:r>
          </w:p>
        </w:tc>
        <w:tc>
          <w:tcPr>
            <w:tcW w:type="dxa" w:w="3946"/>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الجملة</w:t>
            </w:r>
          </w:p>
        </w:tc>
      </w:tr>
      <w:tr>
        <w:trPr>
          <w:cantSplit/>
          <w:trHeight w:val="510" w:hRule="atLeast"/>
        </w:trPr>
        <w:tc>
          <w:tcPr>
            <w:tcW w:type="dxa" w:w="1184"/>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0–1</w:t>
            </w:r>
          </w:p>
        </w:tc>
        <w:tc>
          <w:tcPr>
            <w:tcW w:type="dxa" w:w="4735"/>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العميل يدخل؛ الإضاءة تتعدّل والستارة تتحرك بمشهد «وصول»</w:t>
            </w:r>
          </w:p>
        </w:tc>
        <w:tc>
          <w:tcPr>
            <w:tcW w:type="dxa" w:w="394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«هذا ما يحدث عندما تفتح باب بيتك»</w:t>
            </w:r>
          </w:p>
        </w:tc>
      </w:tr>
      <w:tr>
        <w:trPr>
          <w:cantSplit/>
          <w:trHeight w:val="510" w:hRule="atLeast"/>
        </w:trPr>
        <w:tc>
          <w:tcPr>
            <w:tcW w:type="dxa" w:w="1184"/>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1–2</w:t>
            </w:r>
          </w:p>
        </w:tc>
        <w:tc>
          <w:tcPr>
            <w:tcW w:type="dxa" w:w="4735"/>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اللوحة على الجدار: تحكم بالغرفة كلها من مكان واحد</w:t>
            </w:r>
          </w:p>
        </w:tc>
        <w:tc>
          <w:tcPr>
            <w:tcW w:type="dxa" w:w="3946"/>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«اللوحة تبقى على الجدار، والجوال إضافة لا شرط»</w:t>
            </w:r>
          </w:p>
        </w:tc>
      </w:tr>
      <w:tr>
        <w:trPr>
          <w:cantSplit/>
          <w:trHeight w:val="510" w:hRule="atLeast"/>
        </w:trPr>
        <w:tc>
          <w:tcPr>
            <w:tcW w:type="dxa" w:w="1184"/>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2–3</w:t>
            </w:r>
          </w:p>
        </w:tc>
        <w:tc>
          <w:tcPr>
            <w:tcW w:type="dxa" w:w="4735"/>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افصل الإنترنت أمامه. شغّل الإضاءة والستارة من اللوحة</w:t>
            </w:r>
          </w:p>
        </w:tc>
        <w:tc>
          <w:tcPr>
            <w:tcW w:type="dxa" w:w="394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«الإنترنت مفصول الآن. البيت يعمل»</w:t>
            </w:r>
          </w:p>
        </w:tc>
      </w:tr>
      <w:tr>
        <w:trPr>
          <w:cantSplit/>
          <w:trHeight w:val="510" w:hRule="atLeast"/>
        </w:trPr>
        <w:tc>
          <w:tcPr>
            <w:tcW w:type="dxa" w:w="1184"/>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3–4</w:t>
            </w:r>
          </w:p>
        </w:tc>
        <w:tc>
          <w:tcPr>
            <w:tcW w:type="dxa" w:w="4735"/>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جهاز من علامة أخرى مضاف للنظام يعمل من اللوحة نفسها</w:t>
            </w:r>
          </w:p>
        </w:tc>
        <w:tc>
          <w:tcPr>
            <w:tcW w:type="dxa" w:w="3946"/>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«أي جهاز مفتوح تضيفه لاحقاً يدخل هنا»</w:t>
            </w:r>
          </w:p>
        </w:tc>
      </w:tr>
      <w:tr>
        <w:trPr>
          <w:cantSplit/>
          <w:trHeight w:val="510" w:hRule="atLeast"/>
        </w:trPr>
        <w:tc>
          <w:tcPr>
            <w:tcW w:type="dxa" w:w="1184"/>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4–5</w:t>
            </w:r>
          </w:p>
        </w:tc>
        <w:tc>
          <w:tcPr>
            <w:tcW w:type="dxa" w:w="4735"/>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الحساس والإشعار: باب، حركة، تسرب — ثم القفل الذكي</w:t>
            </w:r>
          </w:p>
        </w:tc>
        <w:tc>
          <w:tcPr>
            <w:tcW w:type="dxa" w:w="394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«البيت يخبرك عندما يتغير شيء»</w:t>
            </w:r>
          </w:p>
        </w:tc>
      </w:tr>
      <w:tr>
        <w:trPr>
          <w:cantSplit/>
          <w:trHeight w:val="510" w:hRule="atLeast"/>
        </w:trPr>
        <w:tc>
          <w:tcPr>
            <w:tcW w:type="dxa" w:w="1184"/>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5–6</w:t>
            </w:r>
          </w:p>
        </w:tc>
        <w:tc>
          <w:tcPr>
            <w:tcW w:type="dxa" w:w="4735"/>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افتح عرض السعر النموذجي: كل بند بسعره</w:t>
            </w:r>
          </w:p>
        </w:tc>
        <w:tc>
          <w:tcPr>
            <w:tcW w:type="dxa" w:w="3946"/>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«هكذا يصلك العرض: أجهزة، تركيب، برمجة، ضمان»</w:t>
            </w:r>
          </w:p>
        </w:tc>
      </w:tr>
      <w:tr>
        <w:trPr>
          <w:cantSplit/>
          <w:trHeight w:val="510" w:hRule="atLeast"/>
        </w:trPr>
        <w:tc>
          <w:tcPr>
            <w:tcW w:type="dxa" w:w="1184"/>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6–7</w:t>
            </w:r>
          </w:p>
        </w:tc>
        <w:tc>
          <w:tcPr>
            <w:tcW w:type="dxa" w:w="4735"/>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الإغلاق: معاينة الفيلا بتاريخ</w:t>
            </w:r>
          </w:p>
        </w:tc>
        <w:tc>
          <w:tcPr>
            <w:tcW w:type="dxa" w:w="394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«الخطوة التالية معاينة مجانية في الموقع. متى يناسبك؟»</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tbl>
      <w:tblPr>
        <w:bidiVisual/>
        <w:tblW w:type="auto" w:w="0"/>
        <w:jc w:val="center"/>
        <w:tblLayout w:type="fixed"/>
        <w:tblLook w:firstColumn="1" w:firstRow="1" w:lastColumn="0" w:lastRow="0" w:noHBand="0" w:noVBand="1" w:val="04A0"/>
      </w:tblPr>
      <w:tblGrid>
        <w:gridCol w:w="9864"/>
      </w:tblGrid>
      <w:tr>
        <w:tc>
          <w:tcPr>
            <w:tcW w:type="dxa" w:w="9865"/>
            <w:tcBorders>
              <w:top w:val="nil"/>
              <w:bottom w:val="nil"/>
              <w:start w:val="nil"/>
              <w:end w:val="nil"/>
            </w:tcBorders>
            <w:shd w:val="clear" w:color="auto" w:fill="F3F4F6"/>
            <w:tcMar>
              <w:top w:w="120" w:type="dxa"/>
              <w:bottom w:w="120" w:type="dxa"/>
              <w:start w:w="180" w:type="dxa"/>
              <w:end w:w="180" w:type="dxa"/>
            </w:tcMar>
          </w:tcPr>
          <w:p>
            <w:pPr>
              <w:bidi w:val="1"/>
              <w:spacing w:before="0" w:after="0" w:line="348" w:lineRule="auto"/>
              <w:jc w:val="start"/>
            </w:pPr>
            <w:r>
              <w:rPr>
                <w:rFonts w:ascii="IBM Plex Sans Arabic" w:hAnsi="IBM Plex Sans Arabic" w:cs="IBM Plex Sans Arabic" w:eastAsia="IBM Plex Sans Arabic"/>
                <w:color w:val="17181C"/>
                <w:sz w:val="19"/>
                <w:szCs w:val="19"/>
                <w:rtl w:val="1"/>
              </w:rPr>
              <w:t>قبل كل عرض: اللوحة تعمل، الجوال مشحون، الإنترنت جاهز للفصل والوصل، وعرض سعر نموذجي مطبوع. العرض الذي يتعثر فيه جهاز واحد يخسر الصفقة كلها.</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7  ما لا نقوله أبداً</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لا نذكر رقماً أو مدة أو ضماناً غير مكتوب في قائمة الأسعار أو عرض السعر المعتمد.</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لا نعد بخدمة أو تكامل لم تعتمده الشركة، ولا نصف منتج المنافس بالرديء.</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لا نقول: ثوري، نقلة نوعية، الأول من نوعه، لا مثيل له، يغيّر قواعد اللعبة. نقول مواصفة ورقماً ومثالاً.</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لا نقول «التقنية تختفي». نقول «التقنية تعمل في الخلفية، والنتيجة في المقدمة».</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لا نتكلم عن أقسام الشركة الأخرى أو مشاريع لم تُطلق بعد. موضوعنا المنزل الذكي.</w:t>
      </w:r>
    </w:p>
    <w:p>
      <w:pPr>
        <w:bidi w:val="1"/>
        <w:spacing w:before="0" w:after="60" w:line="348" w:lineRule="auto"/>
        <w:jc w:val="start"/>
      </w:pPr>
      <w:r>
        <w:rPr>
          <w:rFonts w:ascii="IBM Plex Sans Arabic" w:hAnsi="IBM Plex Sans Arabic" w:cs="IBM Plex Sans Arabic" w:eastAsia="IBM Plex Sans Arabic"/>
          <w:b/>
          <w:bCs/>
          <w:color w:val="2F6BE0"/>
          <w:sz w:val="21"/>
          <w:szCs w:val="21"/>
        </w:rPr>
        <w:t xml:space="preserve">•  </w:t>
      </w:r>
      <w:r>
        <w:rPr>
          <w:rFonts w:ascii="IBM Plex Sans Arabic" w:hAnsi="IBM Plex Sans Arabic" w:cs="IBM Plex Sans Arabic" w:eastAsia="IBM Plex Sans Arabic"/>
          <w:color w:val="0B0C0E"/>
          <w:sz w:val="21"/>
          <w:szCs w:val="21"/>
          <w:rtl w:val="1"/>
        </w:rPr>
        <w:t>لا نستلم مبالغ نقدية من العميل. الدفع بالتحويل إلى حساب الشركة فقط.</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8  تأهيل العميل: A / B / C</w:t>
      </w:r>
    </w:p>
    <w:tbl>
      <w:tblPr>
        <w:bidiVisual/>
        <w:tblW w:type="auto" w:w="0"/>
        <w:jc w:val="center"/>
        <w:tblLayout w:type="fixed"/>
        <w:tblLook w:firstColumn="1" w:firstRow="1" w:lastColumn="0" w:lastRow="0" w:noHBand="0" w:noVBand="1" w:val="04A0"/>
      </w:tblPr>
      <w:tblGrid>
        <w:gridCol w:w="1381"/>
        <w:gridCol w:w="4537"/>
        <w:gridCol w:w="3945"/>
      </w:tblGrid>
      <w:tr>
        <w:trPr>
          <w:cantSplit/>
        </w:trPr>
        <w:tc>
          <w:tcPr>
            <w:tcW w:type="dxa" w:w="1381"/>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التصنيف</w:t>
            </w:r>
          </w:p>
        </w:tc>
        <w:tc>
          <w:tcPr>
            <w:tcW w:type="dxa" w:w="4538"/>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الشرط</w:t>
            </w:r>
          </w:p>
        </w:tc>
        <w:tc>
          <w:tcPr>
            <w:tcW w:type="dxa" w:w="3946"/>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الإيقاع</w:t>
            </w:r>
          </w:p>
        </w:tc>
      </w:tr>
      <w:tr>
        <w:trPr>
          <w:cantSplit/>
          <w:trHeight w:val="510" w:hRule="atLeast"/>
        </w:trPr>
        <w:tc>
          <w:tcPr>
            <w:tcW w:type="dxa" w:w="1381"/>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b/>
                <w:bCs/>
                <w:color w:val="0B0C0E"/>
                <w:sz w:val="18"/>
                <w:szCs w:val="18"/>
              </w:rPr>
              <w:t>A</w:t>
            </w:r>
          </w:p>
        </w:tc>
        <w:tc>
          <w:tcPr>
            <w:tcW w:type="dxa" w:w="4538"/>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قرار خلال 30 يوماً + ميزانية واضحة + صانع القرار موجود</w:t>
            </w:r>
          </w:p>
        </w:tc>
        <w:tc>
          <w:tcPr>
            <w:tcW w:type="dxa" w:w="394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متابعة كل 48 ساعة، وعرض سعر خلال يومي عمل من المعاينة</w:t>
            </w:r>
          </w:p>
        </w:tc>
      </w:tr>
      <w:tr>
        <w:trPr>
          <w:cantSplit/>
          <w:trHeight w:val="510" w:hRule="atLeast"/>
        </w:trPr>
        <w:tc>
          <w:tcPr>
            <w:tcW w:type="dxa" w:w="1381"/>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b/>
                <w:bCs/>
                <w:color w:val="0B0C0E"/>
                <w:sz w:val="18"/>
                <w:szCs w:val="18"/>
              </w:rPr>
              <w:t>B</w:t>
            </w:r>
          </w:p>
        </w:tc>
        <w:tc>
          <w:tcPr>
            <w:tcW w:type="dxa" w:w="4538"/>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اهتمام جدي، ينقصه عنصر واحد (الميزانية، القرار، التوقيت)</w:t>
            </w:r>
          </w:p>
        </w:tc>
        <w:tc>
          <w:tcPr>
            <w:tcW w:type="dxa" w:w="3946"/>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متابعة أسبوعية بمحتوى: صورة مشروع، فيديو عرض، دعوة للمعرض</w:t>
            </w:r>
          </w:p>
        </w:tc>
      </w:tr>
      <w:tr>
        <w:trPr>
          <w:cantSplit/>
          <w:trHeight w:val="510" w:hRule="atLeast"/>
        </w:trPr>
        <w:tc>
          <w:tcPr>
            <w:tcW w:type="dxa" w:w="1381"/>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b/>
                <w:bCs/>
                <w:color w:val="0B0C0E"/>
                <w:sz w:val="18"/>
                <w:szCs w:val="18"/>
              </w:rPr>
              <w:t>C</w:t>
            </w:r>
          </w:p>
        </w:tc>
        <w:tc>
          <w:tcPr>
            <w:tcW w:type="dxa" w:w="4538"/>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اهتمام مبدئي أو مشروع بعيد</w:t>
            </w:r>
          </w:p>
        </w:tc>
        <w:tc>
          <w:tcPr>
            <w:tcW w:type="dxa" w:w="394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رسالة شهرية واحدة، ويُعاد التقييم كل ربع</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9  الإيقاع اليومي والأسبوعي</w:t>
      </w:r>
    </w:p>
    <w:tbl>
      <w:tblPr>
        <w:bidiVisual/>
        <w:tblW w:type="auto" w:w="0"/>
        <w:jc w:val="center"/>
        <w:tblLayout w:type="fixed"/>
        <w:tblLook w:firstColumn="1" w:firstRow="1" w:lastColumn="0" w:lastRow="0" w:noHBand="0" w:noVBand="1" w:val="04A0"/>
      </w:tblPr>
      <w:tblGrid>
        <w:gridCol w:w="1578"/>
        <w:gridCol w:w="4143"/>
        <w:gridCol w:w="4143"/>
      </w:tblGrid>
      <w:tr>
        <w:trPr>
          <w:cantSplit/>
        </w:trPr>
        <w:tc>
          <w:tcPr>
            <w:tcW w:type="dxa" w:w="1578"/>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0"/>
              <w:spacing w:before="0" w:after="0" w:line="300" w:lineRule="auto"/>
              <w:jc w:val="left"/>
            </w:pPr>
            <w:r>
              <w:rPr>
                <w:rFonts w:ascii="IBM Plex Sans Arabic" w:hAnsi="IBM Plex Sans Arabic" w:cs="IBM Plex Sans Arabic" w:eastAsia="IBM Plex Sans Arabic"/>
                <w:b/>
                <w:bCs/>
                <w:color w:val="ECEDEF"/>
                <w:sz w:val="17"/>
                <w:szCs w:val="17"/>
              </w:rPr>
            </w:r>
          </w:p>
        </w:tc>
        <w:tc>
          <w:tcPr>
            <w:tcW w:type="dxa" w:w="4143"/>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المندوب الميداني (السيارة)</w:t>
            </w:r>
          </w:p>
        </w:tc>
        <w:tc>
          <w:tcPr>
            <w:tcW w:type="dxa" w:w="4143"/>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مندوب المكتب</w:t>
            </w:r>
          </w:p>
        </w:tc>
      </w:tr>
      <w:tr>
        <w:trPr>
          <w:cantSplit/>
          <w:trHeight w:val="510" w:hRule="atLeast"/>
        </w:trPr>
        <w:tc>
          <w:tcPr>
            <w:tcW w:type="dxa" w:w="1578"/>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8:30</w:t>
            </w:r>
          </w:p>
        </w:tc>
        <w:tc>
          <w:tcPr>
            <w:tcW w:type="dxa" w:w="414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مراجعة مواعيد اليوم ومسار الأحياء (الملقا، الياسمين، النرجس، حطين، العقيق)</w:t>
            </w:r>
          </w:p>
        </w:tc>
        <w:tc>
          <w:tcPr>
            <w:tcW w:type="dxa" w:w="414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مراجعة العملاء A وB وتجهيز قائمة الاتصال</w:t>
            </w:r>
          </w:p>
        </w:tc>
      </w:tr>
      <w:tr>
        <w:trPr>
          <w:cantSplit/>
          <w:trHeight w:val="510" w:hRule="atLeast"/>
        </w:trPr>
        <w:tc>
          <w:tcPr>
            <w:tcW w:type="dxa" w:w="1578"/>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9:00–13:00</w:t>
            </w:r>
          </w:p>
        </w:tc>
        <w:tc>
          <w:tcPr>
            <w:tcW w:type="dxa" w:w="414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4 زيارات ميدانية على الأقل: فلل تحت التشطيب + مكاتب تصميم</w:t>
            </w:r>
          </w:p>
        </w:tc>
        <w:tc>
          <w:tcPr>
            <w:tcW w:type="dxa" w:w="414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25 اتصالاً ورسالة، واستقبال زيارات المعرض</w:t>
            </w:r>
          </w:p>
        </w:tc>
      </w:tr>
      <w:tr>
        <w:trPr>
          <w:cantSplit/>
          <w:trHeight w:val="510" w:hRule="atLeast"/>
        </w:trPr>
        <w:tc>
          <w:tcPr>
            <w:tcW w:type="dxa" w:w="1578"/>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13:00–14:00</w:t>
            </w:r>
          </w:p>
        </w:tc>
        <w:tc>
          <w:tcPr>
            <w:tcW w:type="dxa" w:w="414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تعبئة تقارير الزيارة (SL-02) في السيارة قبل الانتقال</w:t>
            </w:r>
          </w:p>
        </w:tc>
        <w:tc>
          <w:tcPr>
            <w:tcW w:type="dxa" w:w="414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إرسال العروض المعلّقة ومتابعة المقاولين</w:t>
            </w:r>
          </w:p>
        </w:tc>
      </w:tr>
      <w:tr>
        <w:trPr>
          <w:cantSplit/>
          <w:trHeight w:val="510" w:hRule="atLeast"/>
        </w:trPr>
        <w:tc>
          <w:tcPr>
            <w:tcW w:type="dxa" w:w="1578"/>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14:00–17:00</w:t>
            </w:r>
          </w:p>
        </w:tc>
        <w:tc>
          <w:tcPr>
            <w:tcW w:type="dxa" w:w="414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زيارات المتابعة أو عرض توضيحي في المكتب</w:t>
            </w:r>
          </w:p>
        </w:tc>
        <w:tc>
          <w:tcPr>
            <w:tcW w:type="dxa" w:w="414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عروض توضيحية بالمكتب، تحديث نظام المتابعة</w:t>
            </w:r>
          </w:p>
        </w:tc>
      </w:tr>
      <w:tr>
        <w:trPr>
          <w:cantSplit/>
          <w:trHeight w:val="510" w:hRule="atLeast"/>
        </w:trPr>
        <w:tc>
          <w:tcPr>
            <w:tcW w:type="dxa" w:w="1578"/>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17:00</w:t>
            </w:r>
          </w:p>
        </w:tc>
        <w:tc>
          <w:tcPr>
            <w:tcW w:type="dxa" w:w="414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تحديث نظام المتابعة وتثبيت مواعيد الغد</w:t>
            </w:r>
          </w:p>
        </w:tc>
        <w:tc>
          <w:tcPr>
            <w:tcW w:type="dxa" w:w="4143"/>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تحديث نظام المتابعة وتثبيت مواعيد الغد</w:t>
            </w:r>
          </w:p>
        </w:tc>
      </w:tr>
      <w:tr>
        <w:trPr>
          <w:cantSplit/>
          <w:trHeight w:val="510" w:hRule="atLeast"/>
        </w:trPr>
        <w:tc>
          <w:tcPr>
            <w:tcW w:type="dxa" w:w="1578"/>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الخميس</w:t>
            </w:r>
          </w:p>
        </w:tc>
        <w:tc>
          <w:tcPr>
            <w:tcW w:type="dxa" w:w="414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تسليم السجل الأسبوعي (SL-03) قبل نهاية الدوام</w:t>
            </w:r>
          </w:p>
        </w:tc>
        <w:tc>
          <w:tcPr>
            <w:tcW w:type="dxa" w:w="4143"/>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تسليم السجل الأسبوعي (SL-03) قبل نهاية الدوام</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p>
      <w:pPr>
        <w:bidi w:val="1"/>
        <w:spacing w:before="0" w:after="100" w:line="360" w:lineRule="auto"/>
        <w:jc w:val="start"/>
      </w:pPr>
      <w:r>
        <w:rPr>
          <w:rFonts w:ascii="IBM Plex Sans Arabic" w:hAnsi="IBM Plex Sans Arabic" w:cs="IBM Plex Sans Arabic" w:eastAsia="IBM Plex Sans Arabic"/>
          <w:color w:val="0B0C0E"/>
          <w:sz w:val="21"/>
          <w:szCs w:val="21"/>
          <w:rtl w:val="1"/>
        </w:rPr>
        <w:t>يتبادل المندوبان الدورين كل أسبوع حتى يتقن كلاهما الميدان والمكتب.</w:t>
      </w:r>
    </w:p>
    <w:p>
      <w:pPr>
        <w:keepNext/>
        <w:bidi w:val="1"/>
        <w:spacing w:before="280" w:after="120" w:line="300" w:lineRule="auto"/>
        <w:jc w:val="start"/>
      </w:pPr>
      <w:r>
        <w:rPr>
          <w:rFonts w:ascii="IBM Plex Sans Arabic" w:hAnsi="IBM Plex Sans Arabic" w:cs="IBM Plex Sans Arabic" w:eastAsia="IBM Plex Sans Arabic"/>
          <w:b/>
          <w:bCs/>
          <w:color w:val="0B0C0E"/>
          <w:sz w:val="28"/>
          <w:szCs w:val="28"/>
          <w:rtl w:val="1"/>
        </w:rPr>
        <w:t>10  النماذج التي يستخدمها المندوب</w:t>
      </w:r>
    </w:p>
    <w:tbl>
      <w:tblPr>
        <w:bidiVisual/>
        <w:tblW w:type="auto" w:w="0"/>
        <w:jc w:val="center"/>
        <w:tblLayout w:type="fixed"/>
        <w:tblLook w:firstColumn="1" w:firstRow="1" w:lastColumn="0" w:lastRow="0" w:noHBand="0" w:noVBand="1" w:val="04A0"/>
      </w:tblPr>
      <w:tblGrid>
        <w:gridCol w:w="1578"/>
        <w:gridCol w:w="4340"/>
        <w:gridCol w:w="3945"/>
      </w:tblGrid>
      <w:tr>
        <w:trPr>
          <w:cantSplit/>
        </w:trPr>
        <w:tc>
          <w:tcPr>
            <w:tcW w:type="dxa" w:w="1578"/>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الرمز</w:t>
            </w:r>
          </w:p>
        </w:tc>
        <w:tc>
          <w:tcPr>
            <w:tcW w:type="dxa" w:w="4340"/>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النموذج</w:t>
            </w:r>
          </w:p>
        </w:tc>
        <w:tc>
          <w:tcPr>
            <w:tcW w:type="dxa" w:w="3946"/>
            <w:tcBorders>
              <w:top w:val="single" w:sz="4" w:color="17181C"/>
              <w:bottom w:val="single" w:sz="4" w:color="17181C"/>
              <w:start w:val="single" w:sz="4" w:color="17181C"/>
              <w:end w:val="single" w:sz="4" w:color="17181C"/>
            </w:tcBorders>
            <w:shd w:val="clear" w:color="auto" w:fill="17181C"/>
            <w:tcMar>
              <w:top w:w="80" w:type="dxa"/>
              <w:bottom w:w="80" w:type="dxa"/>
              <w:start w:w="120" w:type="dxa"/>
              <w:end w:w="120" w:type="dxa"/>
            </w:tcMar>
            <w:vAlign w:val="center"/>
          </w:tcPr>
          <w:p>
            <w:pPr>
              <w:keepNext/>
              <w:bidi w:val="1"/>
              <w:spacing w:before="0" w:after="0" w:line="300" w:lineRule="auto"/>
              <w:jc w:val="start"/>
            </w:pPr>
            <w:r>
              <w:rPr>
                <w:rFonts w:ascii="IBM Plex Sans Arabic" w:hAnsi="IBM Plex Sans Arabic" w:cs="IBM Plex Sans Arabic" w:eastAsia="IBM Plex Sans Arabic"/>
                <w:b/>
                <w:bCs/>
                <w:color w:val="ECEDEF"/>
                <w:sz w:val="17"/>
                <w:szCs w:val="17"/>
                <w:rtl w:val="1"/>
              </w:rPr>
              <w:t>متى</w:t>
            </w:r>
          </w:p>
        </w:tc>
      </w:tr>
      <w:tr>
        <w:trPr>
          <w:cantSplit/>
          <w:trHeight w:val="454" w:hRule="atLeast"/>
        </w:trPr>
        <w:tc>
          <w:tcPr>
            <w:tcW w:type="dxa" w:w="1578"/>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color w:val="0B0C0E"/>
                <w:sz w:val="18"/>
                <w:szCs w:val="18"/>
              </w:rPr>
              <w:t>SL-01</w:t>
            </w:r>
          </w:p>
        </w:tc>
        <w:tc>
          <w:tcPr>
            <w:tcW w:type="dxa" w:w="4340"/>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عرض سعر</w:t>
            </w:r>
          </w:p>
        </w:tc>
        <w:tc>
          <w:tcPr>
            <w:tcW w:type="dxa" w:w="394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خلال يومي عمل من المعاينة، بعد اعتماد المدير</w:t>
            </w:r>
          </w:p>
        </w:tc>
      </w:tr>
      <w:tr>
        <w:trPr>
          <w:cantSplit/>
          <w:trHeight w:val="454" w:hRule="atLeast"/>
        </w:trPr>
        <w:tc>
          <w:tcPr>
            <w:tcW w:type="dxa" w:w="1578"/>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color w:val="0B0C0E"/>
                <w:sz w:val="18"/>
                <w:szCs w:val="18"/>
              </w:rPr>
              <w:t>SL-02</w:t>
            </w:r>
          </w:p>
        </w:tc>
        <w:tc>
          <w:tcPr>
            <w:tcW w:type="dxa" w:w="4340"/>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تقرير زيارة ميدانية</w:t>
            </w:r>
          </w:p>
        </w:tc>
        <w:tc>
          <w:tcPr>
            <w:tcW w:type="dxa" w:w="3946"/>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في اليوم نفسه، لكل زيارة</w:t>
            </w:r>
          </w:p>
        </w:tc>
      </w:tr>
      <w:tr>
        <w:trPr>
          <w:cantSplit/>
          <w:trHeight w:val="454" w:hRule="atLeast"/>
        </w:trPr>
        <w:tc>
          <w:tcPr>
            <w:tcW w:type="dxa" w:w="1578"/>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color w:val="0B0C0E"/>
                <w:sz w:val="18"/>
                <w:szCs w:val="18"/>
              </w:rPr>
              <w:t>SL-03</w:t>
            </w:r>
          </w:p>
        </w:tc>
        <w:tc>
          <w:tcPr>
            <w:tcW w:type="dxa" w:w="4340"/>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سجل المبيعات الأسبوعي</w:t>
            </w:r>
          </w:p>
        </w:tc>
        <w:tc>
          <w:tcPr>
            <w:tcW w:type="dxa" w:w="394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كل خميس قبل نهاية الدوام</w:t>
            </w:r>
          </w:p>
        </w:tc>
      </w:tr>
      <w:tr>
        <w:trPr>
          <w:cantSplit/>
          <w:trHeight w:val="454" w:hRule="atLeast"/>
        </w:trPr>
        <w:tc>
          <w:tcPr>
            <w:tcW w:type="dxa" w:w="1578"/>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0"/>
              <w:spacing w:before="0" w:after="0" w:line="312" w:lineRule="auto"/>
              <w:jc w:val="left"/>
            </w:pPr>
            <w:r>
              <w:rPr>
                <w:rFonts w:ascii="IBM Plex Sans Arabic" w:hAnsi="IBM Plex Sans Arabic" w:cs="IBM Plex Sans Arabic" w:eastAsia="IBM Plex Sans Arabic"/>
                <w:color w:val="0B0C0E"/>
                <w:sz w:val="18"/>
                <w:szCs w:val="18"/>
              </w:rPr>
              <w:t>SL-04</w:t>
            </w:r>
          </w:p>
        </w:tc>
        <w:tc>
          <w:tcPr>
            <w:tcW w:type="dxa" w:w="4340"/>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عقد توريد وتركيب + محضر استلام</w:t>
            </w:r>
          </w:p>
        </w:tc>
        <w:tc>
          <w:tcPr>
            <w:tcW w:type="dxa" w:w="3946"/>
            <w:tcBorders>
              <w:top w:val="single" w:sz="4" w:color="D9DCE1"/>
              <w:bottom w:val="single" w:sz="4" w:color="D9DCE1"/>
              <w:start w:val="single" w:sz="4" w:color="D9DCE1"/>
              <w:end w:val="single" w:sz="4" w:color="D9DCE1"/>
            </w:tcBorders>
            <w:shd w:val="clear" w:color="auto" w:fill="FAFBFC"/>
            <w:tcMar>
              <w:top w:w="80" w:type="dxa"/>
              <w:bottom w:w="80" w:type="dxa"/>
              <w:start w:w="120" w:type="dxa"/>
              <w:end w:w="120" w:type="dxa"/>
            </w:tcMar>
            <w:vAlign w:val="center"/>
          </w:tcPr>
          <w:p>
            <w:pPr>
              <w:keepNext/>
              <w:bidi w:val="1"/>
              <w:spacing w:before="0" w:after="0" w:line="312" w:lineRule="auto"/>
              <w:jc w:val="start"/>
            </w:pPr>
            <w:r>
              <w:rPr>
                <w:rFonts w:ascii="IBM Plex Sans Arabic" w:hAnsi="IBM Plex Sans Arabic" w:cs="IBM Plex Sans Arabic" w:eastAsia="IBM Plex Sans Arabic"/>
                <w:color w:val="0B0C0E"/>
                <w:sz w:val="18"/>
                <w:szCs w:val="18"/>
                <w:rtl w:val="1"/>
              </w:rPr>
              <w:t>عند قبول العميل للعرض، ويوقّعه المدير</w:t>
            </w:r>
          </w:p>
        </w:tc>
      </w:tr>
      <w:tr>
        <w:trPr>
          <w:cantSplit/>
          <w:trHeight w:val="454" w:hRule="atLeast"/>
        </w:trPr>
        <w:tc>
          <w:tcPr>
            <w:tcW w:type="dxa" w:w="1578"/>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0"/>
              <w:spacing w:before="0" w:after="0" w:line="312" w:lineRule="auto"/>
              <w:jc w:val="left"/>
            </w:pPr>
            <w:r>
              <w:rPr>
                <w:rFonts w:ascii="IBM Plex Sans Arabic" w:hAnsi="IBM Plex Sans Arabic" w:cs="IBM Plex Sans Arabic" w:eastAsia="IBM Plex Sans Arabic"/>
                <w:color w:val="0B0C0E"/>
                <w:sz w:val="18"/>
                <w:szCs w:val="18"/>
              </w:rPr>
              <w:t>HR-01 / A</w:t>
            </w:r>
          </w:p>
        </w:tc>
        <w:tc>
          <w:tcPr>
            <w:tcW w:type="dxa" w:w="4340"/>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سياسة العمولات والأهداف</w:t>
            </w:r>
          </w:p>
        </w:tc>
        <w:tc>
          <w:tcPr>
            <w:tcW w:type="dxa" w:w="3946"/>
            <w:tcBorders>
              <w:top w:val="single" w:sz="4" w:color="D9DCE1"/>
              <w:bottom w:val="single" w:sz="4" w:color="D9DCE1"/>
              <w:start w:val="single" w:sz="4" w:color="D9DCE1"/>
              <w:end w:val="single" w:sz="4" w:color="D9DCE1"/>
            </w:tcBorders>
            <w:tcMar>
              <w:top w:w="80" w:type="dxa"/>
              <w:bottom w:w="80" w:type="dxa"/>
              <w:start w:w="120" w:type="dxa"/>
              <w:end w:w="120" w:type="dxa"/>
            </w:tcMar>
            <w:vAlign w:val="center"/>
          </w:tcPr>
          <w:p>
            <w:pPr>
              <w:bidi w:val="1"/>
              <w:spacing w:before="0" w:after="0" w:line="312" w:lineRule="auto"/>
              <w:jc w:val="start"/>
            </w:pPr>
            <w:r>
              <w:rPr>
                <w:rFonts w:ascii="IBM Plex Sans Arabic" w:hAnsi="IBM Plex Sans Arabic" w:cs="IBM Plex Sans Arabic" w:eastAsia="IBM Plex Sans Arabic"/>
                <w:color w:val="0B0C0E"/>
                <w:sz w:val="18"/>
                <w:szCs w:val="18"/>
                <w:rtl w:val="1"/>
              </w:rPr>
              <w:t>مرجع الأهداف الشهرية وصلاحيات الخصم</w:t>
            </w:r>
          </w:p>
        </w:tc>
      </w:tr>
    </w:tbl>
    <w:p>
      <w:pPr>
        <w:bidi w:val="1"/>
        <w:spacing w:before="0" w:after="0" w:line="240" w:lineRule="auto"/>
        <w:jc w:val="start"/>
      </w:pPr>
      <w:r>
        <w:rPr>
          <w:rFonts w:ascii="IBM Plex Sans Arabic" w:hAnsi="IBM Plex Sans Arabic" w:cs="IBM Plex Sans Arabic" w:eastAsia="IBM Plex Sans Arabic"/>
          <w:color w:val="0B0C0E"/>
          <w:sz w:val="12"/>
          <w:szCs w:val="12"/>
        </w:rPr>
      </w:r>
    </w:p>
    <w:sectPr w:rsidR="00FC693F" w:rsidRPr="0006063C" w:rsidSect="00034616">
      <w:headerReference w:type="default" r:id="rId9"/>
      <w:footerReference w:type="default" r:id="rId10"/>
      <w:pgSz w:w="11906" w:h="16838"/>
      <w:pgMar w:top="1701" w:right="1020" w:bottom="1134" w:left="1020"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88" w:lineRule="auto"/>
      <w:jc w:val="center"/>
    </w:pPr>
    <w:r>
      <w:rPr>
        <w:rFonts w:ascii="IBM Plex Sans Arabic" w:hAnsi="IBM Plex Sans Arabic" w:cs="IBM Plex Sans Arabic" w:eastAsia="IBM Plex Sans Arabic"/>
        <w:color w:val="5B6068"/>
        <w:sz w:val="15"/>
        <w:szCs w:val="15"/>
        <w:rtl w:val="1"/>
      </w:rPr>
      <w:t xml:space="preserve">سيلترا سمارت · الرياض — حي الملقا · </w:t>
    </w:r>
    <w:r>
      <w:rPr>
        <w:rFonts w:ascii="IBM Plex Mono" w:hAnsi="IBM Plex Mono" w:cs="IBM Plex Mono" w:eastAsia="IBM Plex Mono"/>
        <w:color w:val="5B6068"/>
        <w:sz w:val="15"/>
        <w:szCs w:val="15"/>
      </w:rPr>
      <w:t>+966 55 009 8550 · info@syltraone.com · syltraone.com</w:t>
    </w:r>
  </w:p>
  <w:p>
    <w:pPr>
      <w:bidi w:val="1"/>
      <w:spacing w:before="0" w:after="0" w:line="288" w:lineRule="auto"/>
      <w:jc w:val="center"/>
    </w:pPr>
    <w:r>
      <w:rPr>
        <w:rFonts w:ascii="IBM Plex Sans Arabic" w:hAnsi="IBM Plex Sans Arabic" w:cs="IBM Plex Sans Arabic" w:eastAsia="IBM Plex Sans Arabic"/>
        <w:color w:val="5B6068"/>
        <w:sz w:val="15"/>
        <w:szCs w:val="15"/>
        <w:rtl w:val="1"/>
      </w:rPr>
      <w:t xml:space="preserve">صفحة </w:t>
    </w:r>
    <w:r>
      <w:rPr>
        <w:rFonts w:ascii="IBM Plex Mono" w:hAnsi="IBM Plex Mono" w:cs="IBM Plex Mono" w:eastAsia="IBM Plex Mono"/>
        <w:color w:val="5B6068"/>
        <w:sz w:val="15"/>
        <w:szCs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4932"/>
      <w:gridCol w:w="4932"/>
    </w:tblGrid>
    <w:tr>
      <w:tc>
        <w:tcPr>
          <w:tcW w:type="dxa" w:w="4932"/>
          <w:tcBorders>
            <w:top w:val="nil"/>
            <w:bottom w:val="nil"/>
            <w:start w:val="nil"/>
            <w:end w:val="nil"/>
          </w:tcBorders>
          <w:tcMar>
            <w:top w:w="0" w:type="dxa"/>
            <w:bottom w:w="0" w:type="dxa"/>
            <w:start w:w="0" w:type="dxa"/>
            <w:end w:w="0" w:type="dxa"/>
          </w:tcMar>
          <w:vAlign w:val="bottom"/>
        </w:tcPr>
        <w:p>
          <w:pPr>
            <w:bidi w:val="0"/>
            <w:spacing w:before="0" w:after="0" w:line="288" w:lineRule="auto"/>
            <w:jc w:val="left"/>
          </w:pPr>
          <w:r>
            <w:rPr>
              <w:rFonts w:ascii="IBM Plex Mono" w:hAnsi="IBM Plex Mono" w:cs="IBM Plex Mono" w:eastAsia="IBM Plex Mono"/>
              <w:color w:val="5B6068"/>
              <w:sz w:val="15"/>
              <w:szCs w:val="15"/>
            </w:rPr>
            <w:t>SYLTRA SMART · SL-05 · دليل المبيعات</w:t>
          </w:r>
        </w:p>
        <w:p>
          <w:pPr>
            <w:bidi w:val="0"/>
            <w:spacing w:before="0" w:after="0" w:line="288" w:lineRule="auto"/>
            <w:jc w:val="left"/>
          </w:pPr>
          <w:r>
            <w:rPr>
              <w:rFonts w:ascii="IBM Plex Sans Arabic" w:hAnsi="IBM Plex Sans Arabic" w:cs="IBM Plex Sans Arabic" w:eastAsia="IBM Plex Sans Arabic"/>
              <w:color w:val="5B6068"/>
              <w:sz w:val="16"/>
              <w:szCs w:val="16"/>
              <w:rtl w:val="1"/>
            </w:rPr>
            <w:t>دليل المبيعات — للاستخدام الداخلي</w:t>
          </w:r>
        </w:p>
      </w:tc>
      <w:tc>
        <w:tcPr>
          <w:tcW w:type="dxa" w:w="4932"/>
          <w:tcBorders>
            <w:top w:val="nil"/>
            <w:bottom w:val="nil"/>
            <w:start w:val="nil"/>
            <w:end w:val="nil"/>
          </w:tcBorders>
          <w:tcMar>
            <w:top w:w="0" w:type="dxa"/>
            <w:bottom w:w="0" w:type="dxa"/>
            <w:start w:w="0" w:type="dxa"/>
            <w:end w:w="0" w:type="dxa"/>
          </w:tcMar>
          <w:vAlign w:val="bottom"/>
        </w:tcPr>
        <w:p>
          <w:pPr>
            <w:bidi w:val="0"/>
            <w:spacing w:before="0" w:after="0" w:line="240" w:lineRule="auto"/>
            <w:jc w:val="right"/>
          </w:pPr>
          <w:r>
            <w:drawing>
              <wp:inline xmlns:a="http://schemas.openxmlformats.org/drawingml/2006/main" xmlns:pic="http://schemas.openxmlformats.org/drawingml/2006/picture">
                <wp:extent cx="936000" cy="341355"/>
                <wp:docPr id="1" name="Picture 1"/>
                <wp:cNvGraphicFramePr>
                  <a:graphicFrameLocks noChangeAspect="1"/>
                </wp:cNvGraphicFramePr>
                <a:graphic>
                  <a:graphicData uri="http://schemas.openxmlformats.org/drawingml/2006/picture">
                    <pic:pic>
                      <pic:nvPicPr>
                        <pic:cNvPr id="0" name="wordmark-dark.png"/>
                        <pic:cNvPicPr/>
                      </pic:nvPicPr>
                      <pic:blipFill>
                        <a:blip r:embed="rId1"/>
                        <a:stretch>
                          <a:fillRect/>
                        </a:stretch>
                      </pic:blipFill>
                      <pic:spPr>
                        <a:xfrm>
                          <a:off x="0" y="0"/>
                          <a:ext cx="936000" cy="341355"/>
                        </a:xfrm>
                        <a:prstGeom prst="rect"/>
                      </pic:spPr>
                    </pic:pic>
                  </a:graphicData>
                </a:graphic>
              </wp:inline>
            </w:drawing>
          </w:r>
        </w:p>
      </w:tc>
    </w:tr>
  </w:tbl>
  <w:p>
    <w:pPr>
      <w:pBdr>
        <w:bottom w:val="single" w:sz="8" w:color="2F6BE0"/>
      </w:pBdr>
      <w:bidi w:val="0"/>
      <w:spacing w:before="40" w:after="0" w:line="240" w:lineRule="auto"/>
      <w:jc w:val="left"/>
    </w:pPr>
    <w:r>
      <w:rPr>
        <w:rFonts w:ascii="IBM Plex Sans Arabic" w:hAnsi="IBM Plex Sans Arabic" w:cs="IBM Plex Sans Arabic" w:eastAsia="IBM Plex Sans Arabic"/>
        <w:color w:val="0B0C0E"/>
        <w:sz w:val="4"/>
        <w:szCs w:val="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IBM Plex Sans Arabic" w:hAnsi="IBM Plex Sans Arabic" w:cs="IBM Plex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