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2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8E5AC6">
        <w:tblPrEx>
          <w:tblCellMar>
            <w:top w:w="0" w:type="dxa"/>
            <w:bottom w:w="0" w:type="dxa"/>
          </w:tblCellMar>
        </w:tblPrEx>
        <w:trPr>
          <w:trHeight w:hRule="exact" w:val="9000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628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:rsidR="008E5AC6" w:rsidRPr="006C189E" w:rsidRDefault="006C189E">
            <w:pPr>
              <w:spacing w:before="200" w:after="80"/>
              <w:rPr>
                <w:lang w:val="fr-FR"/>
              </w:rPr>
            </w:pPr>
            <w:r w:rsidRPr="006C189E">
              <w:rPr>
                <w:rFonts w:ascii="Calibri" w:eastAsia="Calibri" w:hAnsi="Calibri" w:cs="Calibri"/>
                <w:b/>
                <w:bCs/>
                <w:color w:val="0891B2"/>
                <w:sz w:val="18"/>
                <w:szCs w:val="18"/>
                <w:lang w:val="fr-FR"/>
              </w:rPr>
              <w:t>BASE DE DONNÉES</w:t>
            </w:r>
          </w:p>
          <w:p w:rsidR="008E5AC6" w:rsidRPr="006C189E" w:rsidRDefault="006C189E">
            <w:pPr>
              <w:pBdr>
                <w:bottom w:val="single" w:sz="4" w:space="4" w:color="0891B2"/>
              </w:pBdr>
              <w:spacing w:after="600"/>
              <w:rPr>
                <w:lang w:val="fr-FR"/>
              </w:rPr>
            </w:pPr>
            <w:r w:rsidRPr="006C189E">
              <w:rPr>
                <w:rFonts w:ascii="Calibri" w:eastAsia="Calibri" w:hAnsi="Calibri" w:cs="Calibri"/>
                <w:color w:val="475569"/>
                <w:sz w:val="18"/>
                <w:szCs w:val="18"/>
                <w:lang w:val="fr-FR"/>
              </w:rPr>
              <w:t>2025 – 2026</w:t>
            </w:r>
          </w:p>
          <w:p w:rsidR="008E5AC6" w:rsidRPr="006C189E" w:rsidRDefault="006C189E">
            <w:pPr>
              <w:spacing w:after="200"/>
              <w:rPr>
                <w:lang w:val="fr-FR"/>
              </w:rPr>
            </w:pPr>
            <w:r w:rsidRPr="006C189E">
              <w:rPr>
                <w:rFonts w:ascii="Calibri" w:eastAsia="Calibri" w:hAnsi="Calibri" w:cs="Calibri"/>
                <w:color w:val="94A3B8"/>
                <w:sz w:val="22"/>
                <w:szCs w:val="22"/>
                <w:lang w:val="fr-FR"/>
              </w:rPr>
              <w:t>Anas</w:t>
            </w:r>
          </w:p>
          <w:p w:rsidR="008E5AC6" w:rsidRPr="006C189E" w:rsidRDefault="006C189E">
            <w:pPr>
              <w:spacing w:after="80"/>
              <w:rPr>
                <w:lang w:val="fr-FR"/>
              </w:rPr>
            </w:pPr>
            <w:r w:rsidRPr="006C189E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  <w:lang w:val="fr-FR"/>
              </w:rPr>
              <w:t>SAOUDI</w:t>
            </w:r>
          </w:p>
          <w:p w:rsidR="008E5AC6" w:rsidRPr="006C189E" w:rsidRDefault="008E5AC6">
            <w:pPr>
              <w:spacing w:after="100"/>
              <w:rPr>
                <w:lang w:val="fr-FR"/>
              </w:rPr>
            </w:pPr>
          </w:p>
          <w:p w:rsidR="008E5AC6" w:rsidRPr="006C189E" w:rsidRDefault="006C189E">
            <w:pPr>
              <w:spacing w:after="200"/>
              <w:rPr>
                <w:lang w:val="fr-FR"/>
              </w:rPr>
            </w:pPr>
            <w:r w:rsidRPr="006C189E">
              <w:rPr>
                <w:rFonts w:ascii="Calibri" w:eastAsia="Calibri" w:hAnsi="Calibri" w:cs="Calibri"/>
                <w:color w:val="94A3B8"/>
                <w:sz w:val="22"/>
                <w:szCs w:val="22"/>
                <w:lang w:val="fr-FR"/>
              </w:rPr>
              <w:t>Mohamed</w:t>
            </w:r>
          </w:p>
          <w:p w:rsidR="008E5AC6" w:rsidRDefault="006C189E">
            <w:pPr>
              <w:spacing w:after="6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BATTI</w:t>
            </w:r>
          </w:p>
          <w:p w:rsidR="008E5AC6" w:rsidRDefault="006C189E">
            <w:pPr>
              <w:spacing w:after="80"/>
            </w:pPr>
            <w:r>
              <w:rPr>
                <w:rFonts w:ascii="Calibri" w:eastAsia="Calibri" w:hAnsi="Calibri" w:cs="Calibri"/>
                <w:color w:val="475569"/>
                <w:sz w:val="16"/>
                <w:szCs w:val="16"/>
              </w:rPr>
              <w:t xml:space="preserve">INDP1 C  ·  </w:t>
            </w:r>
            <w:proofErr w:type="spellStart"/>
            <w:r>
              <w:rPr>
                <w:rFonts w:ascii="Calibri" w:eastAsia="Calibri" w:hAnsi="Calibri" w:cs="Calibri"/>
                <w:color w:val="475569"/>
                <w:sz w:val="16"/>
                <w:szCs w:val="16"/>
              </w:rPr>
              <w:t>Sup'Com</w:t>
            </w:r>
            <w:proofErr w:type="spellEnd"/>
          </w:p>
          <w:p w:rsidR="008E5AC6" w:rsidRDefault="006C189E">
            <w:pPr>
              <w:spacing w:after="80"/>
            </w:pPr>
            <w:r>
              <w:rPr>
                <w:rFonts w:ascii="Calibri" w:eastAsia="Calibri" w:hAnsi="Calibri" w:cs="Calibri"/>
                <w:i/>
                <w:iCs/>
                <w:color w:val="334155"/>
                <w:sz w:val="14"/>
                <w:szCs w:val="14"/>
              </w:rPr>
              <w:t xml:space="preserve">Mme.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4155"/>
                <w:sz w:val="14"/>
                <w:szCs w:val="14"/>
              </w:rPr>
              <w:t>Malek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4155"/>
                <w:sz w:val="14"/>
                <w:szCs w:val="14"/>
              </w:rPr>
              <w:t xml:space="preserve"> BEN YOUSSEF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400" w:type="dxa"/>
              <w:left w:w="600" w:type="dxa"/>
              <w:bottom w:w="400" w:type="dxa"/>
              <w:right w:w="400" w:type="dxa"/>
            </w:tcMar>
            <w:vAlign w:val="center"/>
          </w:tcPr>
          <w:p w:rsidR="008E5AC6" w:rsidRPr="006C189E" w:rsidRDefault="006C189E">
            <w:pPr>
              <w:spacing w:before="400" w:after="200"/>
              <w:rPr>
                <w:lang w:val="fr-FR"/>
              </w:rPr>
            </w:pPr>
            <w:r w:rsidRPr="006C189E">
              <w:rPr>
                <w:rFonts w:ascii="Calibri" w:eastAsia="Calibri" w:hAnsi="Calibri" w:cs="Calibri"/>
                <w:b/>
                <w:bCs/>
                <w:color w:val="0B1628"/>
                <w:sz w:val="56"/>
                <w:szCs w:val="56"/>
                <w:lang w:val="fr-FR"/>
              </w:rPr>
              <w:t>SECUREPAY</w:t>
            </w:r>
          </w:p>
          <w:p w:rsidR="008E5AC6" w:rsidRPr="006C189E" w:rsidRDefault="006C189E">
            <w:pPr>
              <w:spacing w:after="600"/>
              <w:rPr>
                <w:lang w:val="fr-FR"/>
              </w:rPr>
            </w:pPr>
            <w:r w:rsidRPr="006C189E">
              <w:rPr>
                <w:rFonts w:ascii="Calibri" w:eastAsia="Calibri" w:hAnsi="Calibri" w:cs="Calibri"/>
                <w:color w:val="0891B2"/>
                <w:sz w:val="24"/>
                <w:szCs w:val="24"/>
                <w:lang w:val="fr-FR"/>
              </w:rPr>
              <w:t>Système de détection de fraude bancaire</w:t>
            </w:r>
          </w:p>
          <w:p w:rsidR="008E5AC6" w:rsidRPr="006C189E" w:rsidRDefault="008E5AC6">
            <w:pPr>
              <w:pBdr>
                <w:top w:val="single" w:sz="12" w:space="1" w:color="0891B2"/>
              </w:pBdr>
              <w:spacing w:after="80"/>
              <w:rPr>
                <w:lang w:val="fr-FR"/>
              </w:rPr>
            </w:pPr>
          </w:p>
          <w:p w:rsidR="008E5AC6" w:rsidRPr="006C189E" w:rsidRDefault="006C189E">
            <w:pPr>
              <w:spacing w:before="400" w:after="100"/>
              <w:rPr>
                <w:lang w:val="fr-FR"/>
              </w:rPr>
            </w:pPr>
            <w:r w:rsidRPr="006C189E">
              <w:rPr>
                <w:rFonts w:ascii="Calibri" w:eastAsia="Calibri" w:hAnsi="Calibri" w:cs="Calibri"/>
                <w:b/>
                <w:bCs/>
                <w:color w:val="1E293B"/>
                <w:sz w:val="36"/>
                <w:szCs w:val="36"/>
                <w:lang w:val="fr-FR"/>
              </w:rPr>
              <w:t>CAHIER DES CHARGES</w:t>
            </w:r>
          </w:p>
          <w:p w:rsidR="008E5AC6" w:rsidRPr="006C189E" w:rsidRDefault="006C189E">
            <w:pPr>
              <w:spacing w:after="400"/>
              <w:rPr>
                <w:lang w:val="fr-FR"/>
              </w:rPr>
            </w:pPr>
            <w:r w:rsidRPr="006C189E">
              <w:rPr>
                <w:rFonts w:ascii="Calibri" w:eastAsia="Calibri" w:hAnsi="Calibri" w:cs="Calibri"/>
                <w:i/>
                <w:iCs/>
                <w:color w:val="64748B"/>
                <w:lang w:val="fr-FR"/>
              </w:rPr>
              <w:t>Besoins fonctionnels et non fonctionnels</w:t>
            </w:r>
          </w:p>
          <w:p w:rsidR="008E5AC6" w:rsidRDefault="006C189E" w:rsidP="006C189E">
            <w:pPr>
              <w:spacing w:after="100"/>
            </w:pPr>
            <w:r>
              <w:rPr>
                <w:rFonts w:ascii="Calibri" w:eastAsia="Calibri" w:hAnsi="Calibri" w:cs="Calibri"/>
                <w:color w:val="94A3B8"/>
                <w:sz w:val="18"/>
                <w:szCs w:val="18"/>
              </w:rPr>
              <w:t>Avril 2026</w:t>
            </w:r>
          </w:p>
        </w:tc>
        <w:bookmarkStart w:id="0" w:name="_GoBack"/>
        <w:bookmarkEnd w:id="0"/>
      </w:tr>
    </w:tbl>
    <w:p w:rsidR="008E5AC6" w:rsidRDefault="006C189E">
      <w:r>
        <w:br w:type="page"/>
      </w:r>
    </w:p>
    <w:p w:rsidR="008E5AC6" w:rsidRDefault="006C189E">
      <w:pPr>
        <w:pStyle w:val="Heading1"/>
      </w:pPr>
      <w:r>
        <w:lastRenderedPageBreak/>
        <w:t xml:space="preserve">1. </w:t>
      </w:r>
      <w:proofErr w:type="spellStart"/>
      <w:r>
        <w:t>Présentation</w:t>
      </w:r>
      <w:proofErr w:type="spellEnd"/>
      <w:r>
        <w:t xml:space="preserve"> du </w:t>
      </w:r>
      <w:proofErr w:type="spellStart"/>
      <w:r>
        <w:t>projet</w:t>
      </w:r>
      <w:proofErr w:type="spellEnd"/>
    </w:p>
    <w:p w:rsidR="008E5AC6" w:rsidRPr="006C189E" w:rsidRDefault="006C189E">
      <w:pPr>
        <w:spacing w:after="140"/>
        <w:jc w:val="both"/>
        <w:rPr>
          <w:lang w:val="fr-FR"/>
        </w:rPr>
      </w:pPr>
      <w:proofErr w:type="spellStart"/>
      <w:r w:rsidRPr="006C189E">
        <w:rPr>
          <w:lang w:val="fr-FR"/>
        </w:rPr>
        <w:t>SecurePay</w:t>
      </w:r>
      <w:proofErr w:type="spellEnd"/>
      <w:r w:rsidRPr="006C189E">
        <w:rPr>
          <w:lang w:val="fr-FR"/>
        </w:rPr>
        <w:t xml:space="preserve"> est un projet de base de données relationnelle dédiée à la gestion et à la surveillance de transactions bancaires. L'objectif est de détecter automatiquement les comportements frauduleux à partir des données d'utilisation des comptes.</w:t>
      </w:r>
    </w:p>
    <w:p w:rsidR="008E5AC6" w:rsidRPr="006C189E" w:rsidRDefault="008E5AC6">
      <w:pPr>
        <w:spacing w:after="100"/>
        <w:rPr>
          <w:lang w:val="fr-FR"/>
        </w:rPr>
      </w:pPr>
    </w:p>
    <w:p w:rsidR="008E5AC6" w:rsidRDefault="006C189E">
      <w:pPr>
        <w:pStyle w:val="Heading2"/>
      </w:pPr>
      <w:proofErr w:type="spellStart"/>
      <w:r>
        <w:t>Acteurs</w:t>
      </w:r>
      <w:proofErr w:type="spellEnd"/>
    </w:p>
    <w:p w:rsidR="008E5AC6" w:rsidRPr="006C189E" w:rsidRDefault="006C189E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6C189E">
        <w:rPr>
          <w:lang w:val="fr-FR"/>
        </w:rPr>
        <w:t>Cl</w:t>
      </w:r>
      <w:r w:rsidRPr="006C189E">
        <w:rPr>
          <w:lang w:val="fr-FR"/>
        </w:rPr>
        <w:t>ient bancaire — effectue des opérations et se connecte à son espace.</w:t>
      </w:r>
    </w:p>
    <w:p w:rsidR="008E5AC6" w:rsidRPr="006C189E" w:rsidRDefault="006C189E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6C189E">
        <w:rPr>
          <w:lang w:val="fr-FR"/>
        </w:rPr>
        <w:t>Analyste fraude — consulte et traite les alertes générées.</w:t>
      </w:r>
    </w:p>
    <w:p w:rsidR="008E5AC6" w:rsidRPr="006C189E" w:rsidRDefault="006C189E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6C189E">
        <w:rPr>
          <w:lang w:val="fr-FR"/>
        </w:rPr>
        <w:t>Administrateur — gère les paramètres et les droits d'accès.</w:t>
      </w:r>
    </w:p>
    <w:p w:rsidR="008E5AC6" w:rsidRPr="006C189E" w:rsidRDefault="008E5AC6">
      <w:pPr>
        <w:spacing w:after="100"/>
        <w:rPr>
          <w:lang w:val="fr-FR"/>
        </w:rPr>
      </w:pPr>
    </w:p>
    <w:p w:rsidR="008E5AC6" w:rsidRPr="006C189E" w:rsidRDefault="006C189E">
      <w:pPr>
        <w:pStyle w:val="Heading1"/>
        <w:rPr>
          <w:lang w:val="fr-FR"/>
        </w:rPr>
      </w:pPr>
      <w:r w:rsidRPr="006C189E">
        <w:rPr>
          <w:lang w:val="fr-FR"/>
        </w:rPr>
        <w:t>2. Besoins fonctionnels</w:t>
      </w:r>
    </w:p>
    <w:p w:rsidR="008E5AC6" w:rsidRPr="006C189E" w:rsidRDefault="006C189E">
      <w:pPr>
        <w:pStyle w:val="Heading2"/>
        <w:rPr>
          <w:lang w:val="fr-FR"/>
        </w:rPr>
      </w:pPr>
      <w:r w:rsidRPr="006C189E">
        <w:rPr>
          <w:lang w:val="fr-FR"/>
        </w:rPr>
        <w:t>2.1 Gestion des utilisateurs et des comptes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26"/>
        <w:gridCol w:w="1300"/>
      </w:tblGrid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  <w:proofErr w:type="spellEnd"/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BF-01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Enregistrement d'un client avec ses informations personnelles (nom, prénom, email, date de naissance).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BF-02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Un client peut posséder un ou plusieurs comptes bancaires identifiés par un numéro unique et une devise.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BF-03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Possibilité de bloquer ou de débloquer un compte suite à une alerte ou une demande.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</w:tbl>
    <w:p w:rsidR="008E5AC6" w:rsidRDefault="008E5AC6">
      <w:pPr>
        <w:spacing w:after="100"/>
      </w:pPr>
    </w:p>
    <w:p w:rsidR="008E5AC6" w:rsidRDefault="006C189E">
      <w:pPr>
        <w:pStyle w:val="Heading2"/>
      </w:pPr>
      <w:r>
        <w:t xml:space="preserve">2.2 </w:t>
      </w:r>
      <w:proofErr w:type="spellStart"/>
      <w:r>
        <w:t>Gestion</w:t>
      </w:r>
      <w:proofErr w:type="spellEnd"/>
      <w:r>
        <w:t xml:space="preserve"> des transactions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26"/>
        <w:gridCol w:w="1300"/>
      </w:tblGrid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  <w:proofErr w:type="spellEnd"/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BF-04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Enregistrement de chaque transaction avec son montant, type (virement, paiement, retrait, dépôt), date et pays.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BF-05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Chaque transaction possède un statut : validée, en attente ou rejetée.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BF-06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Les virements vers un autre compte sont tracés avec le compte destinataire.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BF-07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Consultation de l'historique des transactions par compte et par période.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854D0E"/>
                <w:sz w:val="16"/>
                <w:szCs w:val="16"/>
              </w:rPr>
              <w:t>Moyenne</w:t>
            </w:r>
            <w:proofErr w:type="spellEnd"/>
          </w:p>
        </w:tc>
      </w:tr>
    </w:tbl>
    <w:p w:rsidR="008E5AC6" w:rsidRDefault="008E5AC6">
      <w:pPr>
        <w:spacing w:after="100"/>
      </w:pPr>
    </w:p>
    <w:p w:rsidR="008E5AC6" w:rsidRDefault="006C189E">
      <w:pPr>
        <w:pStyle w:val="Heading2"/>
      </w:pPr>
      <w:r>
        <w:t xml:space="preserve">2.3 </w:t>
      </w:r>
      <w:proofErr w:type="spellStart"/>
      <w:r>
        <w:t>Suivi</w:t>
      </w:r>
      <w:proofErr w:type="spellEnd"/>
      <w:r>
        <w:t xml:space="preserve"> des </w:t>
      </w:r>
      <w:proofErr w:type="spellStart"/>
      <w:r>
        <w:t>connexions</w:t>
      </w:r>
      <w:proofErr w:type="spellEnd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26"/>
        <w:gridCol w:w="1300"/>
      </w:tblGrid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  <w:proofErr w:type="spellEnd"/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BF-08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Enregistrement de chaque connexion : date, heure, adresse IP, type d'appareil, pays.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BF-09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Signalement d'une connexion suspecte si elle provient d'un pays ou d'un appareil inhabituels.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BF-10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Détection de connexions multiples depuis des IP différentes en peu de temps.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854D0E"/>
                <w:sz w:val="16"/>
                <w:szCs w:val="16"/>
              </w:rPr>
              <w:t>Moyenne</w:t>
            </w:r>
            <w:proofErr w:type="spellEnd"/>
          </w:p>
        </w:tc>
      </w:tr>
    </w:tbl>
    <w:p w:rsidR="008E5AC6" w:rsidRDefault="008E5AC6">
      <w:pPr>
        <w:spacing w:after="100"/>
      </w:pPr>
    </w:p>
    <w:p w:rsidR="008E5AC6" w:rsidRDefault="006C189E">
      <w:pPr>
        <w:pStyle w:val="Heading2"/>
      </w:pPr>
      <w:r>
        <w:t xml:space="preserve">2.4 </w:t>
      </w:r>
      <w:proofErr w:type="spellStart"/>
      <w:r>
        <w:t>Détection</w:t>
      </w:r>
      <w:proofErr w:type="spellEnd"/>
      <w:r>
        <w:t xml:space="preserve"> de </w:t>
      </w:r>
      <w:proofErr w:type="spellStart"/>
      <w:r>
        <w:t>fraude</w:t>
      </w:r>
      <w:proofErr w:type="spellEnd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26"/>
        <w:gridCol w:w="1300"/>
      </w:tblGrid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  <w:proofErr w:type="spellEnd"/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BF-11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Détection des transactions dont le montant dépasse anormalement la moyenne habituelle du compte.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BF-12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 xml:space="preserve">Identification du </w:t>
            </w:r>
            <w:proofErr w:type="spellStart"/>
            <w:r w:rsidRPr="006C189E">
              <w:rPr>
                <w:sz w:val="18"/>
                <w:szCs w:val="18"/>
                <w:lang w:val="fr-FR"/>
              </w:rPr>
              <w:t>structuring</w:t>
            </w:r>
            <w:proofErr w:type="spellEnd"/>
            <w:r w:rsidRPr="006C189E">
              <w:rPr>
                <w:sz w:val="18"/>
                <w:szCs w:val="18"/>
                <w:lang w:val="fr-FR"/>
              </w:rPr>
              <w:t xml:space="preserve"> : transactions répétées juste sous un seuil réglementaire (ex. 10 000).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lastRenderedPageBreak/>
              <w:t>BF-13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Traçage d'une chaîne de virements successifs pour détecter un éventuel blanchiment.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BF-14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Calcul d'</w:t>
            </w:r>
            <w:r w:rsidRPr="006C189E">
              <w:rPr>
                <w:sz w:val="18"/>
                <w:szCs w:val="18"/>
                <w:lang w:val="fr-FR"/>
              </w:rPr>
              <w:t>un score de risque pondéré par utilisateur combinant plusieurs indicateurs.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854D0E"/>
                <w:sz w:val="16"/>
                <w:szCs w:val="16"/>
              </w:rPr>
              <w:t>Moyenne</w:t>
            </w:r>
            <w:proofErr w:type="spellEnd"/>
          </w:p>
        </w:tc>
      </w:tr>
    </w:tbl>
    <w:p w:rsidR="008E5AC6" w:rsidRDefault="008E5AC6">
      <w:pPr>
        <w:spacing w:after="100"/>
      </w:pPr>
    </w:p>
    <w:p w:rsidR="008E5AC6" w:rsidRDefault="006C189E">
      <w:pPr>
        <w:pStyle w:val="Heading2"/>
      </w:pPr>
      <w:r>
        <w:t xml:space="preserve">2.5 </w:t>
      </w:r>
      <w:proofErr w:type="spellStart"/>
      <w:r>
        <w:t>Gestion</w:t>
      </w:r>
      <w:proofErr w:type="spellEnd"/>
      <w:r>
        <w:t xml:space="preserve"> des </w:t>
      </w:r>
      <w:proofErr w:type="spellStart"/>
      <w:r>
        <w:t>alertes</w:t>
      </w:r>
      <w:proofErr w:type="spellEnd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26"/>
        <w:gridCol w:w="1300"/>
      </w:tblGrid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  <w:proofErr w:type="spellEnd"/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BF-15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Génération automatique d'une alerte pour toute activité identifiée comme suspecte.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BF-16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Chaque alerte possède un niveau de gravité : Faible, Moyenne, Haute ou Critique.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BF-17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Un analyste peut mettre à jour le statut d'une alerte (En cours, Résolue, Ignorée).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BF-18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Statistiques sur les alertes : nombre par période, taux de résolution, délai moyen.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854D0E"/>
                <w:sz w:val="16"/>
                <w:szCs w:val="16"/>
              </w:rPr>
              <w:t>Moyenne</w:t>
            </w:r>
            <w:proofErr w:type="spellEnd"/>
          </w:p>
        </w:tc>
      </w:tr>
    </w:tbl>
    <w:p w:rsidR="008E5AC6" w:rsidRDefault="008E5AC6">
      <w:pPr>
        <w:spacing w:after="100"/>
      </w:pPr>
    </w:p>
    <w:p w:rsidR="008E5AC6" w:rsidRDefault="006C189E">
      <w:pPr>
        <w:pStyle w:val="Heading1"/>
      </w:pPr>
      <w:r>
        <w:t xml:space="preserve">3. </w:t>
      </w:r>
      <w:proofErr w:type="spellStart"/>
      <w:r>
        <w:t>Besoins</w:t>
      </w:r>
      <w:proofErr w:type="spellEnd"/>
      <w:r>
        <w:t xml:space="preserve"> non </w:t>
      </w:r>
      <w:proofErr w:type="spellStart"/>
      <w:r>
        <w:t>fonctionnels</w:t>
      </w:r>
      <w:proofErr w:type="spellEnd"/>
    </w:p>
    <w:p w:rsidR="008E5AC6" w:rsidRDefault="006C189E">
      <w:pPr>
        <w:pStyle w:val="Heading2"/>
      </w:pPr>
      <w:r>
        <w:t>3.1 Performance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26"/>
        <w:gridCol w:w="1300"/>
      </w:tblGrid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  <w:proofErr w:type="spellEnd"/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BNF-01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Les requêtes de consultation d'</w:t>
            </w:r>
            <w:r w:rsidRPr="006C189E">
              <w:rPr>
                <w:sz w:val="18"/>
                <w:szCs w:val="18"/>
                <w:lang w:val="fr-FR"/>
              </w:rPr>
              <w:t>historique retournent des résultats en moins de 2 secondes pour 100 000 transactions.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BNF-02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L'insertion d'une transaction est traitée en temps réel sans bloquer les autres opérations.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</w:tbl>
    <w:p w:rsidR="008E5AC6" w:rsidRDefault="008E5AC6">
      <w:pPr>
        <w:spacing w:after="100"/>
      </w:pPr>
    </w:p>
    <w:p w:rsidR="008E5AC6" w:rsidRDefault="006C189E">
      <w:pPr>
        <w:pStyle w:val="Heading2"/>
      </w:pPr>
      <w:r>
        <w:t xml:space="preserve">3.2 </w:t>
      </w:r>
      <w:proofErr w:type="spellStart"/>
      <w:r>
        <w:t>Intégrité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fiabilité</w:t>
      </w:r>
      <w:proofErr w:type="spellEnd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26"/>
        <w:gridCol w:w="1300"/>
      </w:tblGrid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  <w:proofErr w:type="spellEnd"/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BNF-03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Toutes les contraintes d'intégrité (clés primaires, étrangères, non-nullité) sont appliquées au niveau de la base.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BNF-04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Aucune transaction ne peut générer un solde négatif non autorisé.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BNF-05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Cohérence garantie en cas d'</w:t>
            </w:r>
            <w:r w:rsidRPr="006C189E">
              <w:rPr>
                <w:sz w:val="18"/>
                <w:szCs w:val="18"/>
                <w:lang w:val="fr-FR"/>
              </w:rPr>
              <w:t>opération interrompue (propriétés ACID).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</w:tbl>
    <w:p w:rsidR="008E5AC6" w:rsidRDefault="008E5AC6">
      <w:pPr>
        <w:spacing w:after="100"/>
      </w:pPr>
    </w:p>
    <w:p w:rsidR="008E5AC6" w:rsidRDefault="006C189E">
      <w:pPr>
        <w:pStyle w:val="Heading2"/>
      </w:pPr>
      <w:r>
        <w:t xml:space="preserve">3.3 </w:t>
      </w:r>
      <w:proofErr w:type="spellStart"/>
      <w:r>
        <w:t>Sécurité</w:t>
      </w:r>
      <w:proofErr w:type="spellEnd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26"/>
        <w:gridCol w:w="1300"/>
      </w:tblGrid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  <w:proofErr w:type="spellEnd"/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BNF-06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Default="006C189E">
            <w:r w:rsidRPr="006C189E">
              <w:rPr>
                <w:sz w:val="18"/>
                <w:szCs w:val="18"/>
                <w:lang w:val="fr-FR"/>
              </w:rPr>
              <w:t xml:space="preserve">Les numéros de carte bancaire sont stockés sous forme masquée (ex. </w:t>
            </w:r>
            <w:r>
              <w:rPr>
                <w:sz w:val="18"/>
                <w:szCs w:val="18"/>
              </w:rPr>
              <w:t>**** **** **** 4521).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BNF-07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L'</w:t>
            </w:r>
            <w:r w:rsidRPr="006C189E">
              <w:rPr>
                <w:sz w:val="18"/>
                <w:szCs w:val="18"/>
                <w:lang w:val="fr-FR"/>
              </w:rPr>
              <w:t>accès aux données est restreint selon le rôle : client, analyste, administrateur.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Haute</w:t>
            </w:r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BNF-08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Toute modification d'une alerte est tracée dans un journal d'audit.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854D0E"/>
                <w:sz w:val="16"/>
                <w:szCs w:val="16"/>
              </w:rPr>
              <w:t>Moyenne</w:t>
            </w:r>
            <w:proofErr w:type="spellEnd"/>
          </w:p>
        </w:tc>
      </w:tr>
    </w:tbl>
    <w:p w:rsidR="008E5AC6" w:rsidRDefault="008E5AC6">
      <w:pPr>
        <w:spacing w:after="100"/>
      </w:pPr>
    </w:p>
    <w:p w:rsidR="008E5AC6" w:rsidRDefault="006C189E">
      <w:pPr>
        <w:pStyle w:val="Heading2"/>
      </w:pPr>
      <w:r>
        <w:t xml:space="preserve">3.4 </w:t>
      </w:r>
      <w:proofErr w:type="spellStart"/>
      <w:r>
        <w:t>Maintenabilité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scalabilité</w:t>
      </w:r>
      <w:proofErr w:type="spellEnd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26"/>
        <w:gridCol w:w="1300"/>
      </w:tblGrid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162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  <w:proofErr w:type="spellEnd"/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BNF-09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Les seuils et règles de détection (montants, délais, pays autorisés) sont paramétrables sans modifier le code SQL.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854D0E"/>
                <w:sz w:val="16"/>
                <w:szCs w:val="16"/>
              </w:rPr>
              <w:t>Moyenne</w:t>
            </w:r>
            <w:proofErr w:type="spellEnd"/>
          </w:p>
        </w:tc>
      </w:tr>
      <w:tr w:rsidR="008E5AC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E5AC6" w:rsidRDefault="006C189E">
            <w:pPr>
              <w:jc w:val="center"/>
            </w:pPr>
            <w:r>
              <w:rPr>
                <w:b/>
                <w:bCs/>
                <w:color w:val="0B4A6E"/>
                <w:sz w:val="18"/>
                <w:szCs w:val="18"/>
              </w:rPr>
              <w:t>BNF-10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5AC6" w:rsidRPr="006C189E" w:rsidRDefault="006C189E">
            <w:pPr>
              <w:rPr>
                <w:lang w:val="fr-FR"/>
              </w:rPr>
            </w:pPr>
            <w:r w:rsidRPr="006C189E">
              <w:rPr>
                <w:sz w:val="18"/>
                <w:szCs w:val="18"/>
                <w:lang w:val="fr-FR"/>
              </w:rPr>
              <w:t>La base supporte une montée en charge progressive grâce à l'indexation des colonnes critiques.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5AC6" w:rsidRDefault="006C189E">
            <w:pPr>
              <w:jc w:val="center"/>
            </w:pPr>
            <w:proofErr w:type="spellStart"/>
            <w:r>
              <w:rPr>
                <w:b/>
                <w:bCs/>
                <w:color w:val="854D0E"/>
                <w:sz w:val="16"/>
                <w:szCs w:val="16"/>
              </w:rPr>
              <w:t>Moyenne</w:t>
            </w:r>
            <w:proofErr w:type="spellEnd"/>
          </w:p>
        </w:tc>
      </w:tr>
    </w:tbl>
    <w:p w:rsidR="008E5AC6" w:rsidRDefault="008E5AC6">
      <w:pPr>
        <w:spacing w:after="100"/>
      </w:pPr>
    </w:p>
    <w:p w:rsidR="008E5AC6" w:rsidRDefault="006C189E">
      <w:pPr>
        <w:pStyle w:val="Heading1"/>
      </w:pPr>
      <w:r>
        <w:lastRenderedPageBreak/>
        <w:t xml:space="preserve">4. </w:t>
      </w:r>
      <w:proofErr w:type="spellStart"/>
      <w:r>
        <w:t>Contraintes</w:t>
      </w:r>
      <w:proofErr w:type="spellEnd"/>
    </w:p>
    <w:p w:rsidR="008E5AC6" w:rsidRDefault="006C189E">
      <w:pPr>
        <w:pStyle w:val="Heading2"/>
      </w:pPr>
      <w:r>
        <w:t>Techniques</w:t>
      </w:r>
    </w:p>
    <w:p w:rsidR="008E5AC6" w:rsidRPr="006C189E" w:rsidRDefault="006C189E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6C189E">
        <w:rPr>
          <w:lang w:val="fr-FR"/>
        </w:rPr>
        <w:t xml:space="preserve">Développement en Oracle SQL 19c, accès via SQL*Plus ou SQL </w:t>
      </w:r>
      <w:proofErr w:type="spellStart"/>
      <w:r w:rsidRPr="006C189E">
        <w:rPr>
          <w:lang w:val="fr-FR"/>
        </w:rPr>
        <w:t>Developer</w:t>
      </w:r>
      <w:proofErr w:type="spellEnd"/>
      <w:r w:rsidRPr="006C189E">
        <w:rPr>
          <w:lang w:val="fr-FR"/>
        </w:rPr>
        <w:t>.</w:t>
      </w:r>
    </w:p>
    <w:p w:rsidR="008E5AC6" w:rsidRPr="006C189E" w:rsidRDefault="006C189E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6C189E">
        <w:rPr>
          <w:lang w:val="fr-FR"/>
        </w:rPr>
        <w:t>Aucune interface graphique requise dans le cadre de ce projet.</w:t>
      </w:r>
    </w:p>
    <w:p w:rsidR="008E5AC6" w:rsidRPr="006C189E" w:rsidRDefault="006C189E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6C189E">
        <w:rPr>
          <w:lang w:val="fr-FR"/>
        </w:rPr>
        <w:t>Les données utilisées sont entièrement simulées.</w:t>
      </w:r>
    </w:p>
    <w:p w:rsidR="008E5AC6" w:rsidRPr="006C189E" w:rsidRDefault="008E5AC6">
      <w:pPr>
        <w:spacing w:after="100"/>
        <w:rPr>
          <w:lang w:val="fr-FR"/>
        </w:rPr>
      </w:pPr>
    </w:p>
    <w:p w:rsidR="008E5AC6" w:rsidRDefault="006C189E">
      <w:pPr>
        <w:pStyle w:val="Heading2"/>
      </w:pPr>
      <w:proofErr w:type="spellStart"/>
      <w:r>
        <w:t>Réglementaires</w:t>
      </w:r>
      <w:proofErr w:type="spellEnd"/>
    </w:p>
    <w:p w:rsidR="008E5AC6" w:rsidRPr="006C189E" w:rsidRDefault="006C189E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6C189E">
        <w:rPr>
          <w:lang w:val="fr-FR"/>
        </w:rPr>
        <w:t>Données personnelles minimisées et protégées (n</w:t>
      </w:r>
      <w:r w:rsidRPr="006C189E">
        <w:rPr>
          <w:lang w:val="fr-FR"/>
        </w:rPr>
        <w:t>uméros de carte masqués).</w:t>
      </w:r>
    </w:p>
    <w:p w:rsidR="008E5AC6" w:rsidRPr="006C189E" w:rsidRDefault="006C189E">
      <w:pPr>
        <w:pStyle w:val="ListParagraph"/>
        <w:numPr>
          <w:ilvl w:val="0"/>
          <w:numId w:val="2"/>
        </w:numPr>
        <w:spacing w:after="80"/>
        <w:rPr>
          <w:lang w:val="fr-FR"/>
        </w:rPr>
      </w:pPr>
      <w:r w:rsidRPr="006C189E">
        <w:rPr>
          <w:lang w:val="fr-FR"/>
        </w:rPr>
        <w:t>Toute transaction cumulée dépassant 10 000 en une journée doit être signalée (règle anti-blanchiment simulée).</w:t>
      </w:r>
    </w:p>
    <w:sectPr w:rsidR="008E5AC6" w:rsidRPr="006C189E">
      <w:pgSz w:w="11906" w:h="16838"/>
      <w:pgMar w:top="10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1C1861"/>
    <w:multiLevelType w:val="hybridMultilevel"/>
    <w:tmpl w:val="006EDCA2"/>
    <w:lvl w:ilvl="0" w:tplc="F320D346">
      <w:start w:val="1"/>
      <w:numFmt w:val="bullet"/>
      <w:lvlText w:val="–"/>
      <w:lvlJc w:val="left"/>
      <w:pPr>
        <w:ind w:left="600" w:hanging="300"/>
      </w:pPr>
    </w:lvl>
    <w:lvl w:ilvl="1" w:tplc="CB9E03CC">
      <w:numFmt w:val="decimal"/>
      <w:lvlText w:val=""/>
      <w:lvlJc w:val="left"/>
    </w:lvl>
    <w:lvl w:ilvl="2" w:tplc="EA18197E">
      <w:numFmt w:val="decimal"/>
      <w:lvlText w:val=""/>
      <w:lvlJc w:val="left"/>
    </w:lvl>
    <w:lvl w:ilvl="3" w:tplc="73306AFA">
      <w:numFmt w:val="decimal"/>
      <w:lvlText w:val=""/>
      <w:lvlJc w:val="left"/>
    </w:lvl>
    <w:lvl w:ilvl="4" w:tplc="6BF05E06">
      <w:numFmt w:val="decimal"/>
      <w:lvlText w:val=""/>
      <w:lvlJc w:val="left"/>
    </w:lvl>
    <w:lvl w:ilvl="5" w:tplc="8F0C60B4">
      <w:numFmt w:val="decimal"/>
      <w:lvlText w:val=""/>
      <w:lvlJc w:val="left"/>
    </w:lvl>
    <w:lvl w:ilvl="6" w:tplc="3B4063EA">
      <w:numFmt w:val="decimal"/>
      <w:lvlText w:val=""/>
      <w:lvlJc w:val="left"/>
    </w:lvl>
    <w:lvl w:ilvl="7" w:tplc="98187BAC">
      <w:numFmt w:val="decimal"/>
      <w:lvlText w:val=""/>
      <w:lvlJc w:val="left"/>
    </w:lvl>
    <w:lvl w:ilvl="8" w:tplc="1C5E9DBE">
      <w:numFmt w:val="decimal"/>
      <w:lvlText w:val=""/>
      <w:lvlJc w:val="left"/>
    </w:lvl>
  </w:abstractNum>
  <w:abstractNum w:abstractNumId="1">
    <w:nsid w:val="169875B0"/>
    <w:multiLevelType w:val="hybridMultilevel"/>
    <w:tmpl w:val="8AAEB2AE"/>
    <w:lvl w:ilvl="0" w:tplc="4AF28FBE">
      <w:start w:val="1"/>
      <w:numFmt w:val="bullet"/>
      <w:lvlText w:val="●"/>
      <w:lvlJc w:val="left"/>
      <w:pPr>
        <w:ind w:left="720" w:hanging="360"/>
      </w:pPr>
    </w:lvl>
    <w:lvl w:ilvl="1" w:tplc="CEFAF8F8">
      <w:start w:val="1"/>
      <w:numFmt w:val="bullet"/>
      <w:lvlText w:val="○"/>
      <w:lvlJc w:val="left"/>
      <w:pPr>
        <w:ind w:left="1440" w:hanging="360"/>
      </w:pPr>
    </w:lvl>
    <w:lvl w:ilvl="2" w:tplc="E312A62A">
      <w:start w:val="1"/>
      <w:numFmt w:val="bullet"/>
      <w:lvlText w:val="■"/>
      <w:lvlJc w:val="left"/>
      <w:pPr>
        <w:ind w:left="2160" w:hanging="360"/>
      </w:pPr>
    </w:lvl>
    <w:lvl w:ilvl="3" w:tplc="4532E426">
      <w:start w:val="1"/>
      <w:numFmt w:val="bullet"/>
      <w:lvlText w:val="●"/>
      <w:lvlJc w:val="left"/>
      <w:pPr>
        <w:ind w:left="2880" w:hanging="360"/>
      </w:pPr>
    </w:lvl>
    <w:lvl w:ilvl="4" w:tplc="1A522BC4">
      <w:start w:val="1"/>
      <w:numFmt w:val="bullet"/>
      <w:lvlText w:val="○"/>
      <w:lvlJc w:val="left"/>
      <w:pPr>
        <w:ind w:left="3600" w:hanging="360"/>
      </w:pPr>
    </w:lvl>
    <w:lvl w:ilvl="5" w:tplc="79F29ECC">
      <w:start w:val="1"/>
      <w:numFmt w:val="bullet"/>
      <w:lvlText w:val="■"/>
      <w:lvlJc w:val="left"/>
      <w:pPr>
        <w:ind w:left="4320" w:hanging="360"/>
      </w:pPr>
    </w:lvl>
    <w:lvl w:ilvl="6" w:tplc="98E40DF8">
      <w:start w:val="1"/>
      <w:numFmt w:val="bullet"/>
      <w:lvlText w:val="●"/>
      <w:lvlJc w:val="left"/>
      <w:pPr>
        <w:ind w:left="5040" w:hanging="360"/>
      </w:pPr>
    </w:lvl>
    <w:lvl w:ilvl="7" w:tplc="4A365F9E">
      <w:start w:val="1"/>
      <w:numFmt w:val="bullet"/>
      <w:lvlText w:val="●"/>
      <w:lvlJc w:val="left"/>
      <w:pPr>
        <w:ind w:left="5760" w:hanging="360"/>
      </w:pPr>
    </w:lvl>
    <w:lvl w:ilvl="8" w:tplc="8E1063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AC6"/>
    <w:rsid w:val="006C189E"/>
    <w:rsid w:val="008E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0EB0B8-4F31-4989-87EC-F010BCE18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pBdr>
        <w:bottom w:val="single" w:sz="8" w:space="1" w:color="0891B2"/>
      </w:pBdr>
      <w:spacing w:before="280" w:after="120"/>
      <w:outlineLvl w:val="0"/>
    </w:pPr>
    <w:rPr>
      <w:b/>
      <w:bCs/>
      <w:color w:val="0B1628"/>
      <w:sz w:val="28"/>
      <w:szCs w:val="28"/>
    </w:rPr>
  </w:style>
  <w:style w:type="paragraph" w:styleId="Heading2">
    <w:name w:val="heading 2"/>
    <w:pPr>
      <w:spacing w:before="200" w:after="80"/>
      <w:outlineLvl w:val="1"/>
    </w:pPr>
    <w:rPr>
      <w:b/>
      <w:bCs/>
      <w:color w:val="0B4A6E"/>
      <w:sz w:val="22"/>
      <w:szCs w:val="22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anasssss</cp:lastModifiedBy>
  <cp:revision>2</cp:revision>
  <dcterms:created xsi:type="dcterms:W3CDTF">2026-04-24T18:32:00Z</dcterms:created>
  <dcterms:modified xsi:type="dcterms:W3CDTF">2026-04-24T19:14:00Z</dcterms:modified>
</cp:coreProperties>
</file>