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Preliminary Regulatory Classification Memo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Multimodal COPD Exacerbation Risk Tool — SaMD Classification Analysis</w:t>
      </w:r>
    </w:p>
    <w:p>
      <w:pPr>
        <w:spacing w:after="320"/>
        <w:jc w:val="center"/>
      </w:pPr>
      <w:r>
        <w:rPr>
          <w:sz w:val="20"/>
          <w:szCs w:val="20"/>
        </w:rPr>
        <w:t xml:space="preserve">Prepared for: Anas Shawah'en | Draft for review by a qualified regulatory affairs consultant — not a regulatory submission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60"/>
      </w:pPr>
      <w:r>
        <w:t xml:space="preserve">This memo performs a preliminary Software as a Medical Device (SaMD) classification analysis for the multimodal COPD exacerbation risk tool described in this project's IRB protocol, under the intended use of supporting clinical staff (paramedics, ED nurses/physicians) with a pre-symptomatic exacerbation risk estimate in pre-hospital and emergency department settings. This is a planning document, not a regulatory submission or legal determination. It exists so that if/when this project proceeds toward a deployable tool, the regulatory pathway is understood in advance rather than discovered after significant engineering investment.</w:t>
      </w:r>
    </w:p>
    <w:p>
      <w:pPr>
        <w:pStyle w:val="Heading1"/>
        <w:spacing w:after="160" w:before="320"/>
      </w:pPr>
      <w:r>
        <w:t xml:space="preserve">2. Intended Use Statement (Working Draft)</w:t>
      </w:r>
    </w:p>
    <w:p>
      <w:pPr>
        <w:spacing w:after="160"/>
      </w:pPr>
      <w:r>
        <w:rPr>
          <w:i/>
          <w:iCs/>
        </w:rPr>
        <w:t xml:space="preserve">“A clinical decision-support tool that estimates a patient's short-term (3–5 day) risk of AECOPD based on smartphone-recorded cough/exhalation acoustics, point-of-care inflammatory biomarkers, and patient-reported symptom scores, for use by trained clinical personnel in pre-hospital and emergency department settings as an adjunct to — not a replacement for — clinical judgment.”</w:t>
      </w:r>
    </w:p>
    <w:p>
      <w:pPr>
        <w:spacing w:after="160"/>
      </w:pPr>
      <w:r>
        <w:t xml:space="preserve">Precise wording of the intended use statement is the single biggest lever on regulatory classification and must be finalized with a regulatory consultant before any submission is contemplated.</w:t>
      </w:r>
    </w:p>
    <w:p>
      <w:pPr>
        <w:pStyle w:val="Heading1"/>
        <w:spacing w:after="160" w:before="320"/>
      </w:pPr>
      <w:r>
        <w:t xml:space="preserve">3. Step 1 — Is This a Medical Device At All? (FDA Clinical Decision Support test)</w:t>
      </w:r>
    </w:p>
    <w:p>
      <w:pPr>
        <w:spacing w:after="160"/>
      </w:pPr>
      <w:r>
        <w:t xml:space="preserve">The FDA's 2022/2026 Clinical Decision Support guidance exempts certain low-risk software from device regulation only if it meets all four criteria below. Failing any one criterion makes the software a regulated device (SaMD).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  <w:gridCol w:w="1800"/>
      </w:tblGrid>
      <w:tr>
        <w:tc>
          <w:tcPr>
            <w:tcW w:type="dxa" w:w="5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FDA 2022/2026 CDS Criterion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 this tool?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Does not acquire/process/analyze medical images, IVD signals, or signal-acquisition patterns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FAILS — the tool processes acoustic (cough) signals via MFCC/spectral analysis, i.e. a signal-acquisition pattern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Displays/analyzes clinical information (guidelines, literature)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once criterion 1 fails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Supports/recommends to a clinician without replacing judgment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Ambiguous in ED/pre-hospital time pressure — high automation-bias risk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(see §6.2)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Clinician can independently review the basis for the recommendation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is a black-box classifier (SVM/PCA-reduced features); basis not independently verifiable at the point of care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Conclusion: this tool fails the exemption on at least two independent grounds — it processes acoustic signal data (criterion 1), and it is intended for use in a time-critical setting (ED / pre-hospital) where a clinician has little practical opportunity to independently verify the model's reasoning before acting (criterion 4). It should be treated as SaMD, not exempt CDS.</w:t>
      </w:r>
    </w:p>
    <w:p>
      <w:pPr>
        <w:pStyle w:val="Heading1"/>
        <w:spacing w:after="160" w:before="320"/>
      </w:pPr>
      <w:r>
        <w:t xml:space="preserve">4. Step 2 — IMDRF Risk Categorization</w:t>
      </w:r>
    </w:p>
    <w:p>
      <w:pPr>
        <w:spacing w:after="160"/>
      </w:pPr>
      <w:r>
        <w:t xml:space="preserve">IMDRF (and the risk logic FDA references) categorizes SaMD along two axes: what the software's output is used for, and the acuity of the healthcare situation.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  <w:gridCol w:w="2400"/>
      </w:tblGrid>
      <w:t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Significance of information \ Healthcare situation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Non-serious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Serious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or diagnose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 clinical management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 ← (this tool)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 clinical management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This tool informs a triage/escalation decision (whether to intensify monitoring, treatment, or expedite hospital transfer) in what is, by definition, an acute/critical respiratory presentation. That places it at IMDRF Category III — a significant risk category requiring robust clinical evidence, not a Category I “inform only” tool.</w:t>
      </w:r>
    </w:p>
    <w:p>
      <w:pPr>
        <w:pStyle w:val="Heading1"/>
        <w:spacing w:after="160" w:before="320"/>
      </w:pPr>
      <w:r>
        <w:t xml:space="preserve">5. Step 3 — Likely Classification by Jurisdiction</w:t>
      </w:r>
    </w:p>
    <w:p>
      <w:pPr>
        <w:pStyle w:val="Heading2"/>
        <w:spacing w:after="120" w:before="240"/>
      </w:pPr>
      <w:r>
        <w:t xml:space="preserve">United States (FDA)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Likely Class II, given it is an AI-based risk-prediction tool informing (not autonomously making) a clinical decision — consistent with the majority of AI-enabled SaMD authorized to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Pathway: most likely De Novo (no clear predicate device combining audiomics + biomarkers + PRO for this specific indication) rather than 510(k), unless a suitable predicate is identified during a formal predicate search.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Predetermined Change Control Plan (PCCP) should be scoped early if the model is expected to be retrained/updated after real-world data collection — this avoids a new submission for every model update.</w:t>
      </w:r>
    </w:p>
    <w:p>
      <w:pPr>
        <w:pStyle w:val="Heading2"/>
        <w:spacing w:after="120" w:before="240"/>
      </w:pPr>
      <w:r>
        <w:t xml:space="preserve">European Union (MDR 2017/745)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 11 governs standalone software. Software providing information for diagnostic/therapeutic decisions is Class IIa by default, escalating to Class IIb if a wrong decision could cause death or irreversible health deterioration.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the ED/pre-hospital acute-respiratory-failure context, Class IIb is the more defensible working assumption than IIa — a missed or delayed exacerbation escalation carries plausible risk of serious, irreversible harm.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IIb requires Notified Body conformity assessment, a full technical file under Annex II/III, and post-market surveillance (Annex XIV).</w:t>
      </w:r>
    </w:p>
    <w:p>
      <w:pPr>
        <w:pStyle w:val="Heading2"/>
        <w:spacing w:after="120" w:before="240"/>
      </w:pPr>
      <w:r>
        <w:t xml:space="preserve">Jordan (local jurisdiction)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independently verified in this memo — the Jordan Food and Drug Administration (JFDA) regulates medical devices domestically, but its specific software/AI-as-medical-device framework was not confirmed here and must be checked directly with JFDA or a local regulatory consultant before any local deployment or trial.</w:t>
      </w:r>
    </w:p>
    <w:p>
      <w:pPr>
        <w:pStyle w:val="Heading1"/>
        <w:spacing w:after="160" w:before="320"/>
      </w:pPr>
      <w:r>
        <w:t xml:space="preserve">6. Practical Implications for This Project</w:t>
      </w:r>
    </w:p>
    <w:p>
      <w:pPr>
        <w:pStyle w:val="Heading2"/>
        <w:spacing w:after="120" w:before="240"/>
      </w:pPr>
      <w:r>
        <w:t xml:space="preserve">6.1 What this does NOT mean</w:t>
      </w:r>
    </w:p>
    <w:p>
      <w:pPr>
        <w:spacing w:after="160"/>
      </w:pPr>
      <w:r>
        <w:t xml:space="preserve">It does not mean this project should stop, or that the research/methodological work already done (see repository) is invalid. Nearly all serious clinical AI tools go through exactly this classification before ever reaching patients — this memo is a normal, expected step, not a red flag specific to this project.</w:t>
      </w:r>
    </w:p>
    <w:p>
      <w:pPr>
        <w:pStyle w:val="Heading2"/>
        <w:spacing w:after="120" w:before="240"/>
      </w:pPr>
      <w:r>
        <w:t xml:space="preserve">6.2 What this DOES mean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version of this tool can be used on real patients for real triage decisions before completing the applicable regulatory pathway (De Novo/510(k) + FDA clearance, or MDR Class IIb Notified Body assessment) — this reinforces, from a second independent angle (regulatory, not just ethical), the conclusion already reached about not deploying this tool clinically today.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II/IIa-IIb status means a Quality Management System (ISO 13485) and a documented risk management file (ISO 14971) will eventually be required — worth scaffolding early (see §7) since retrofitting QMS onto an existing codebase is far more expensive than designing for it from the start.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lifecycle documentation should follow IEC 62304 (software safety classification, typically Class B or C for this type of tool) from the first real-data engineering work onward.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full predicate-device search (FDA) and equivalence assessment (EU) should be commissioned from a regulatory consultant before finalizing the real-data collection protocol — the outcome could change what data needs to be collected.</w:t>
      </w:r>
    </w:p>
    <w:p>
      <w:pPr>
        <w:pStyle w:val="Heading1"/>
        <w:spacing w:after="160" w:before="320"/>
      </w:pPr>
      <w:r>
        <w:t xml:space="preserve">7. Recommended Early-Stage QMS Scaffolding (No Cost, No External Dependency)</w:t>
      </w:r>
    </w:p>
    <w:p>
      <w:pPr>
        <w:spacing w:after="160"/>
      </w:pPr>
      <w:r>
        <w:t xml:space="preserve">These can be started immediately, independent of any approval, and will materially speed up a future formal QMS build-out: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History File (DHF) skeleton: a running log of every design decision and its rationale (this repository's commit history already partially serves this purpose).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log: a living document listing identified failure modes (e.g., false-negative risk score in a deteriorating patient) and mitigations — the seed of an ISO 14971 risk management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Bill of Materials (SBOM): track every dependency (see requirements.txt) with version pins, for future cybersecurity documentation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Traceability matrix: map each intended-use claim to the corresponding validation evidence (currently: synthetic-pilot AUC figures; future: real-data validation results).</w:t>
      </w:r>
    </w:p>
    <w:p>
      <w:pPr>
        <w:pStyle w:val="Heading1"/>
        <w:spacing w:after="160" w:before="320"/>
      </w:pPr>
      <w:r>
        <w:t xml:space="preserve">8. Open Items Requiring a Qualified Regulatory Consultant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 intended-use statement wording (drives the entire classification).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predicate-device search (FDA) and equivalence review (EU).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of JFDA (Jordan) requirements if any local trial or deployment is planned.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on whether to pursue FDA, EU MDR, both, or neither at this stage — each has materially different evidence and cost implications.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safety classification under IEC 62304 (Class A/B/C) once the intended use is finalized.</w:t>
      </w:r>
    </w:p>
    <w:p>
      <w:pPr>
        <w:pStyle w:val="Heading1"/>
        <w:spacing w:after="160" w:before="320"/>
      </w:pPr>
      <w:r>
        <w:t xml:space="preserve">9. Bottom Line</w:t>
      </w:r>
    </w:p>
    <w:p>
      <w:pPr>
        <w:spacing w:after="160"/>
      </w:pPr>
      <w:r>
        <w:rPr>
          <w:b/>
          <w:bCs/>
        </w:rPr>
        <w:t xml:space="preserve">This tool, as currently scoped (ED/pre-hospital exacerbation risk estimate from multimodal data), is very unlikely to qualify for any regulatory exemption and should be planned as at least FDA Class II / EU MDR Class IIb SaMD. This is a multi-year, multi-professional undertaking (clinical validation + regulatory affairs + quality engineering) that should only begin in earnest after the current IRB-approved real-data research phase produces validated evidence. The value of this memo today is planning, not compliance — it lets every future engineering and clinical decision be made with the eventual regulatory bar in view.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Regulatory Classification Memo — COPD Multimodal Risk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2026-09-13T06:33:22.161Z</dcterms:created>
  <dcterms:modified xsi:type="dcterms:W3CDTF">2026-09-13T06:33:22.172Z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