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Architecture Design Document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Multimodal COPD Exacerbation Risk Tool — Future Engineering Blueprint</w:t>
      </w:r>
    </w:p>
    <w:p>
      <w:pPr>
        <w:spacing w:after="320"/>
        <w:jc w:val="center"/>
      </w:pPr>
      <w:r>
        <w:rPr>
          <w:sz w:val="20"/>
          <w:szCs w:val="20"/>
        </w:rPr>
        <w:t xml:space="preserve">Author: Anas Shawah'en | Status: Pre-implementation design — no production code exists yet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document records the major architectural decisions for a future deployable version of the COPD multimodal risk tool, so that if/when a real engineering team (internal hire, contractor, or academic collaborator) picks this up, they start from settled decisions instead of re-litigating them under time pressure. Nothing in this document authorizes building a clinical tool now — see the Regulatory Classification Memo and IRB protocol for why real deployment must wait for approvals.</w:t>
      </w:r>
    </w:p>
    <w:p>
      <w:pPr>
        <w:pStyle w:val="Heading1"/>
        <w:spacing w:after="160" w:before="320"/>
      </w:pPr>
      <w:r>
        <w:t xml:space="preserve">2. Five Foundational Decisions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54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Inference location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On-device (local)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ED/pre-hospital connectivity is unreliable; a 9-feature SVM is small enough to run locally with no latency or offline-availability risk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Local-only, encrypted; sync optional/deferred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Minimizes breach surface and simplifies early-stage privacy compliance; avoids designing a cloud PHI pipeline before it's needed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updates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Manual, reviewed, versioned releases only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silent auto-update to a model behind a clinical risk score is not acceptable; every version must be traceable to a specific validated release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recording only, fixed protocol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file uploads would introduce uncontrolled recording conditions (sample rate, duration, background noise) that silently degrade the audiomics features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EHR integration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(standalone) at this stage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EHR integration adds substantial legal/technical complexity that is premature before IRB approval and real-data validation even exist</w:t>
            </w:r>
          </w:p>
        </w:tc>
      </w:tr>
    </w:tbl>
    <w:p>
      <w:pPr>
        <w:pStyle w:val="Heading1"/>
        <w:spacing w:after="160" w:before="320"/>
      </w:pPr>
      <w:r>
        <w:t xml:space="preserve">3. System Architecture Diagram</w:t>
      </w:r>
    </w:p>
    <w:p>
      <w:pPr>
        <w:spacing w:after="160"/>
        <w:jc w:val="center"/>
      </w:pPr>
      <w:r>
        <w:drawing>
          <wp:inline distT="0" distB="0" distL="0" distR="0">
            <wp:extent cx="5524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 dashed path (top right) is deliberately disconnected from automatic execution: a new model version only reaches the device through a manual, reviewed release step — never a silent background update.</w:t>
      </w:r>
    </w:p>
    <w:p>
      <w:pPr>
        <w:pStyle w:val="Heading1"/>
        <w:spacing w:after="160" w:before="320"/>
      </w:pPr>
      <w:r>
        <w:t xml:space="preserve">4. Fail-Safe UX Principle (Non-Negotiable)</w:t>
      </w:r>
    </w:p>
    <w:p>
      <w:pPr>
        <w:spacing w:after="160"/>
      </w:pPr>
      <w:r>
        <w:t xml:space="preserve">The single most important design constraint in this document: every screen that shows a risk score must make it structurally impossible to mistake the output for a diagnosis. This is not a disclaimer footnote — it is a layout requirement.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risk percentage is never the largest or most visually dominant element on the screen.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persistent, non-dismissible banner (“Decision support only — not a diagnosis”) appears on every screen showing model output, not just a first-launch splash screen.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interface never issues an instruction (“admit patient,” “escalate care”) — only descriptive information (“estimated risk: X%, based on N inputs”).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or low-confidence inputs (e.g., a poor-quality cough recording) must visibly downgrade the displayed confidence, never silently fall back to a default value that looks like a real reading.</w:t>
      </w:r>
    </w:p>
    <w:p>
      <w:pPr>
        <w:pStyle w:val="Heading1"/>
        <w:spacing w:after="160" w:before="320"/>
      </w:pPr>
      <w:r>
        <w:t xml:space="preserve">5. Data &amp; Privacy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record keyed by study ID only; the identity-linking key is held solely at the clinical site, never in the analysis environment (matches the IRB protocol's data management section).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Audio is processed to features on-device where possible; raw audio retention (if any, for re-analysis/QA) requires separate, explicit consent language and its own retention limit.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local storage encrypted at rest; the device lock screen is not treated as sufficient protection on its 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local, append-only audit log records every risk-score displayed (timestamp, model version, inputs used) — required for any future regulatory submission's traceability evidence.</w:t>
      </w:r>
    </w:p>
    <w:p>
      <w:pPr>
        <w:pStyle w:val="Heading1"/>
        <w:spacing w:after="160" w:before="320"/>
      </w:pPr>
      <w:r>
        <w:t xml:space="preserve">6. MLOps: Monitoring for Model Drift</w:t>
      </w:r>
    </w:p>
    <w:p>
      <w:pPr>
        <w:spacing w:after="160"/>
      </w:pPr>
      <w:r>
        <w:t xml:space="preserve">A model trained once and never re-checked is a known failure mode in clinical ML. Before any real-data deployment, the following monitoring plan should be implemented, not left implicit: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the distribution of input features over time (e.g., is incoming CAT score distribution shifting from the training population?) — a simple population stability index is sufficient at this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predicted-risk distributions over time; a sudden shift with no corresponding change in patient population is a signal to investigate before trusting new predictions.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retraining must re-run the full leak-free evaluation pipeline (src/model_comparison.py) and require the same sign-off step shown in the architecture diagram — no exceptions for “small” updates.</w:t>
      </w:r>
    </w:p>
    <w:p>
      <w:pPr>
        <w:pStyle w:val="Heading1"/>
        <w:spacing w:after="160" w:before="320"/>
      </w:pPr>
      <w:r>
        <w:t xml:space="preserve">7. What Is Explicitly Out of Scope Right 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EHR/hospital information system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cloud inference or centralized data lake.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automatic/OTA model update mechanism.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multi-tenant or multi-hospital deployment design — premature before a single-site pilot exists.</w:t>
      </w:r>
    </w:p>
    <w:p>
      <w:pPr>
        <w:pStyle w:val="Heading1"/>
        <w:spacing w:after="160" w:before="320"/>
      </w:pPr>
      <w:r>
        <w:t xml:space="preserve">8. Next Engineering Steps (When Authorized)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the on-device ML runtime (e.g., ONNX Runtime Mobile or Core ML/TFLite export) once the model family is finalized on real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audio-capture module with enforced recording-quality checks (duration, clipping detection, background noise level) before any feature extraction runs.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the local encrypted store and the audit log described in §5 before any real patient data touches a device.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Commission a security review (even informal/academic) before the first real-data pilot, given audio + biomarker data sensitivity.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Architecture Design Document — COPD Multimodal Risk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7cdfc74da09d79983acc79832010789efbf040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2026-09-13T06:40:43.369Z</dcterms:created>
  <dcterms:modified xsi:type="dcterms:W3CDTF">2026-09-13T06:40:43.378Z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