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Multimodal Machine Learning Framework for Pre-Symptomatic Detection of COPD Exacerbations</w:t>
      </w:r>
    </w:p>
    <w:p>
      <w:pPr>
        <w:spacing w:after="40"/>
        <w:jc w:val="center"/>
      </w:pPr>
      <w:r>
        <w:rPr>
          <w:i/>
          <w:iCs/>
          <w:sz w:val="22"/>
          <w:szCs w:val="22"/>
        </w:rPr>
        <w:t xml:space="preserve">Study Protocol — Draft for Institutional Review Board (IRB) Submission</w:t>
      </w:r>
    </w:p>
    <w:p>
      <w:pPr>
        <w:spacing w:after="320"/>
        <w:jc w:val="center"/>
      </w:pPr>
      <w:r>
        <w:rPr>
          <w:sz w:val="20"/>
          <w:szCs w:val="20"/>
        </w:rPr>
        <w:t xml:space="preserve">Principal Investigator: Anas Shawah'en, MSc — Clinician-Researcher, Al-Balqa Applied University</w:t>
      </w:r>
    </w:p>
    <w:p>
      <w:pPr>
        <w:spacing w:before="240" w:after="240"/>
        <w:jc w:val="center"/>
        <w:shd w:val="clear" w:color="auto" w:fill="FCE4D6"/>
      </w:pPr>
      <w:r>
        <w:rPr>
          <w:b/>
          <w:color w:val="9C0006"/>
          <w:sz w:val="20"/>
        </w:rPr>
        <w:t>PILOT SAMPLE ONLY — NOT A CLINICAL STUDY. This document describes a methodological pilot sample used to demonstrate technical and analytical readiness. No real patient data has been used, collected, or accessed. Nothing in this document authorizes real-world clinical use.</w:t>
      </w:r>
    </w:p>
    <w:p>
      <w:pPr>
        <w:pStyle w:val="Heading1"/>
        <w:spacing w:after="160" w:before="320"/>
      </w:pPr>
      <w:r>
        <w:t xml:space="preserve">1. Background and Rationale</w:t>
      </w:r>
    </w:p>
    <w:p>
      <w:pPr>
        <w:spacing w:after="160"/>
      </w:pPr>
      <w:r>
        <w:t xml:space="preserve">Acute exacerbations of chronic obstructive pulmonary disease (AECOPD) are a leading cause of disease-related hospitalization and mortality. Current clinical detection relies on symptom escalation, at which point the therapeutic window has often already narrowed. Emerging evidence suggests that physiological changes — acoustic changes in cough and breath sounds, subclinical inflammatory shifts, and early changes in patient-reported symptom burden — may precede overt symptom escalation by several days.</w:t>
      </w:r>
    </w:p>
    <w:p>
      <w:pPr>
        <w:spacing w:after="160"/>
      </w:pPr>
      <w:r>
        <w:t xml:space="preserve">This protocol describes a prospective, multimodal data collection study to build and validate a machine learning framework integrating (a) smartphone-based cough/exhalation acoustics, (b) inflammatory biomarkers, and (c) patient-reported parameters, with the aim of enabling pre-symptomatic exacerbation detection.</w:t>
      </w:r>
    </w:p>
    <w:p>
      <w:pPr>
        <w:spacing w:after="160"/>
      </w:pPr>
      <w:r>
        <w:t xml:space="preserve">A methodological pilot has already been completed using simulated data structured to match the variables below, in order to validate the analysis pipeline (feature extraction, cross-validation design, and leakage controls) before real-world data collection begins. This protocol governs the transition from simulated proof-of-concept to real-world data collection.</w:t>
      </w:r>
    </w:p>
    <w:p>
      <w:pPr>
        <w:pStyle w:val="Heading1"/>
        <w:spacing w:after="160" w:before="320"/>
      </w:pPr>
      <w:r>
        <w:t xml:space="preserve">2. Objectives</w:t>
      </w:r>
    </w:p>
    <w:p>
      <w:pPr>
        <w:pStyle w:val="Heading2"/>
        <w:spacing w:after="120" w:before="240"/>
      </w:pPr>
      <w:r>
        <w:t xml:space="preserve">Primary objective</w:t>
      </w:r>
    </w:p>
    <w:p>
      <w:pPr>
        <w:spacing w:after="160"/>
      </w:pPr>
      <w:r>
        <w:t xml:space="preserve">To determine whether a multimodal model (clinical + biomarker + audiomic features) predicts AECOPD within a 3-5 day pre-symptomatic window with clinically useful discrimination (target AUC ≥ 0.75), compared to a clinical-variables-only model.</w:t>
      </w:r>
    </w:p>
    <w:p>
      <w:pPr>
        <w:pStyle w:val="Heading2"/>
        <w:spacing w:after="120" w:before="240"/>
      </w:pPr>
      <w:r>
        <w:t xml:space="preserve">Secondary objectives</w:t>
      </w:r>
    </w:p>
    <w:p>
      <w:pPr>
        <w:pStyle w:val="ListParagraph"/>
        <w:numPr>
          <w:ilvl w:val="0"/>
          <w:numId w:val="1"/>
        </w:numPr>
        <w:spacing w:after="80"/>
      </w:pPr>
      <w:r>
        <w:t xml:space="preserve">To quantify the incremental predictive value of audiomic features over clinical/biomarker features alone.</w:t>
      </w:r>
    </w:p>
    <w:p>
      <w:pPr>
        <w:pStyle w:val="ListParagraph"/>
        <w:numPr>
          <w:ilvl w:val="0"/>
          <w:numId w:val="1"/>
        </w:numPr>
        <w:spacing w:after="80"/>
      </w:pPr>
      <w:r>
        <w:t xml:space="preserve">To identify which acoustic and biomarker features contribute most to prediction (feature importance / interpretability analysis).</w:t>
      </w:r>
    </w:p>
    <w:p>
      <w:pPr>
        <w:pStyle w:val="ListParagraph"/>
        <w:numPr>
          <w:ilvl w:val="0"/>
          <w:numId w:val="1"/>
        </w:numPr>
        <w:spacing w:after="80"/>
      </w:pPr>
      <w:r>
        <w:t xml:space="preserve">To assess the feasibility and patient acceptability of smartphone-based daily cough recording over a 90-day follow-up period.</w:t>
      </w:r>
    </w:p>
    <w:p>
      <w:pPr>
        <w:pStyle w:val="Heading1"/>
        <w:spacing w:after="160" w:before="320"/>
      </w:pPr>
      <w:r>
        <w:t xml:space="preserve">3. Study Design</w:t>
      </w:r>
    </w:p>
    <w:p>
      <w:pPr>
        <w:spacing w:after="160"/>
      </w:pPr>
      <w:r>
        <w:t xml:space="preserve">Prospective, single-arm (initially single-center, expandable to multi-center) observational cohort study with repeated multimodal data collection over a 90-day follow-up period per participant.</w:t>
      </w:r>
    </w:p>
    <w:p>
      <w:pPr>
        <w:pStyle w:val="Heading1"/>
        <w:spacing w:after="160" w:before="320"/>
      </w:pPr>
      <w:r>
        <w:t xml:space="preserve">4. Study Population</w:t>
      </w:r>
    </w:p>
    <w:p>
      <w:pPr>
        <w:pStyle w:val="Heading2"/>
        <w:spacing w:after="120" w:before="240"/>
      </w:pPr>
      <w:r>
        <w:t xml:space="preserve">Inclusion criteria</w:t>
      </w:r>
    </w:p>
    <w:p>
      <w:pPr>
        <w:pStyle w:val="ListParagraph"/>
        <w:numPr>
          <w:ilvl w:val="0"/>
          <w:numId w:val="1"/>
        </w:numPr>
        <w:spacing w:after="80"/>
      </w:pPr>
      <w:r>
        <w:t xml:space="preserve">Age ≥ 40 years with a confirmed diagnosis of COPD (GOLD criteria, post-bronchodilator FEV1/FVC &lt; 0.70).</w:t>
      </w:r>
    </w:p>
    <w:p>
      <w:pPr>
        <w:pStyle w:val="ListParagraph"/>
        <w:numPr>
          <w:ilvl w:val="0"/>
          <w:numId w:val="1"/>
        </w:numPr>
        <w:spacing w:after="80"/>
      </w:pPr>
      <w:r>
        <w:t xml:space="preserve">At least one documented AECOPD or ER visit for respiratory symptoms in the preceding 12 months.</w:t>
      </w:r>
    </w:p>
    <w:p>
      <w:pPr>
        <w:pStyle w:val="ListParagraph"/>
        <w:numPr>
          <w:ilvl w:val="0"/>
          <w:numId w:val="1"/>
        </w:numPr>
        <w:spacing w:after="80"/>
      </w:pPr>
      <w:r>
        <w:t xml:space="preserve">Owns or is willing to use a study-provided smartphone capable of running the recording application.</w:t>
      </w:r>
    </w:p>
    <w:p>
      <w:pPr>
        <w:pStyle w:val="ListParagraph"/>
        <w:numPr>
          <w:ilvl w:val="0"/>
          <w:numId w:val="1"/>
        </w:numPr>
        <w:spacing w:after="80"/>
      </w:pPr>
      <w:r>
        <w:t xml:space="preserve">Able to provide informed consent.</w:t>
      </w:r>
    </w:p>
    <w:p>
      <w:pPr>
        <w:pStyle w:val="Heading2"/>
        <w:spacing w:after="120" w:before="240"/>
      </w:pPr>
      <w:r>
        <w:t xml:space="preserve">Exclusion criteria</w:t>
      </w:r>
    </w:p>
    <w:p>
      <w:pPr>
        <w:pStyle w:val="ListParagraph"/>
        <w:numPr>
          <w:ilvl w:val="0"/>
          <w:numId w:val="1"/>
        </w:numPr>
        <w:spacing w:after="80"/>
      </w:pPr>
      <w:r>
        <w:t xml:space="preserve">Concurrent diagnosis of active lung malignancy, uncontrolled heart failure, or other condition confounding dyspnea/cough assessment (per PI judgment).</w:t>
      </w:r>
    </w:p>
    <w:p>
      <w:pPr>
        <w:pStyle w:val="ListParagraph"/>
        <w:numPr>
          <w:ilvl w:val="0"/>
          <w:numId w:val="1"/>
        </w:numPr>
        <w:spacing w:after="80"/>
      </w:pPr>
      <w:r>
        <w:t xml:space="preserve">Inability to comply with the recording/reporting schedule (e.g., severe cognitive impairment without a caregiver proxy).</w:t>
      </w:r>
    </w:p>
    <w:p>
      <w:pPr>
        <w:pStyle w:val="ListParagraph"/>
        <w:numPr>
          <w:ilvl w:val="0"/>
          <w:numId w:val="1"/>
        </w:numPr>
        <w:spacing w:after="80"/>
      </w:pPr>
      <w:r>
        <w:t xml:space="preserve">Currently enrolled in another interventional respiratory trial.</w:t>
      </w:r>
    </w:p>
    <w:p>
      <w:pPr>
        <w:pStyle w:val="Heading2"/>
        <w:spacing w:after="120" w:before="240"/>
      </w:pPr>
      <w:r>
        <w:t xml:space="preserve">Sample size justification</w:t>
      </w:r>
    </w:p>
    <w:p>
      <w:pPr>
        <w:spacing w:after="160"/>
      </w:pPr>
      <w:r>
        <w:t xml:space="preserve">The internal methodological pilot (n=50, simulated data structured to mirror the planned variables) achieved a cross-validated AUC of approximately 0.70-0.78 for the clinical+audiomic model. This is used only to bound expectations for power calculation, not as evidence of real-world effect size.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2400"/>
      </w:tblGrid>
      <w:tr>
        <w:tc>
          <w:tcPr>
            <w:tcW w:type="dxa" w:w="3600"/>
            <w:shd w:fill="1F3864" w:val="clear"/>
          </w:tcPr>
          <w:p>
            <w:r>
              <w:rPr>
                <w:b/>
                <w:bCs/>
                <w:color w:val="FFFFFF"/>
                <w:sz w:val="20"/>
                <w:szCs w:val="20"/>
              </w:rPr>
              <w:t xml:space="preserve">Parameter</w:t>
            </w:r>
          </w:p>
        </w:tc>
        <w:tc>
          <w:tcPr>
            <w:tcW w:type="dxa" w:w="2400"/>
            <w:shd w:fill="1F3864" w:val="clear"/>
          </w:tcPr>
          <w:p>
            <w:r>
              <w:rPr>
                <w:b/>
                <w:bCs/>
                <w:color w:val="FFFFFF"/>
                <w:sz w:val="20"/>
                <w:szCs w:val="20"/>
              </w:rPr>
              <w:t xml:space="preserve">Assumption</w:t>
            </w:r>
          </w:p>
        </w:tc>
        <w:tc>
          <w:tcPr>
            <w:tcW w:type="dxa" w:w="2400"/>
            <w:shd w:fill="1F3864" w:val="clear"/>
          </w:tcPr>
          <w:p>
            <w:r>
              <w:rPr>
                <w:b/>
                <w:bCs/>
                <w:color w:val="FFFFFF"/>
                <w:sz w:val="20"/>
                <w:szCs w:val="20"/>
              </w:rPr>
              <w:t xml:space="preserve">Value</w:t>
            </w:r>
          </w:p>
        </w:tc>
        <w:tc>
          <w:tcPr>
            <w:tcW w:type="dxa" w:w="2400"/>
            <w:shd w:fill="1F3864" w:val="clear"/>
          </w:tcPr>
          <w:p>
            <w:r>
              <w:rPr>
                <w:b/>
                <w:bCs/>
                <w:color w:val="FFFFFF"/>
                <w:sz w:val="20"/>
                <w:szCs w:val="20"/>
              </w:rPr>
              <w:t xml:space="preserve">Source</w:t>
            </w:r>
          </w:p>
        </w:tc>
      </w:tr>
      <w:tr>
        <w:tc>
          <w:tcPr>
            <w:tcW w:type="dxa" w:w="3600"/>
          </w:tcPr>
          <w:p>
            <w:r>
              <w:rPr>
                <w:b w:val="false"/>
                <w:bCs w:val="false"/>
                <w:color w:val="000000"/>
                <w:sz w:val="20"/>
                <w:szCs w:val="20"/>
              </w:rPr>
              <w:t xml:space="preserve">Expected AUC (multimodal model)</w:t>
            </w:r>
          </w:p>
        </w:tc>
        <w:tc>
          <w:tcPr>
            <w:tcW w:type="dxa" w:w="2400"/>
          </w:tcPr>
          <w:p>
            <w:r>
              <w:rPr>
                <w:b w:val="false"/>
                <w:bCs w:val="false"/>
                <w:color w:val="000000"/>
                <w:sz w:val="20"/>
                <w:szCs w:val="20"/>
              </w:rPr>
              <w:t xml:space="preserve">Based on prototype CV results</w:t>
            </w:r>
          </w:p>
        </w:tc>
        <w:tc>
          <w:tcPr>
            <w:tcW w:type="dxa" w:w="2400"/>
          </w:tcPr>
          <w:p>
            <w:r>
              <w:rPr>
                <w:b w:val="false"/>
                <w:bCs w:val="false"/>
                <w:color w:val="000000"/>
                <w:sz w:val="20"/>
                <w:szCs w:val="20"/>
              </w:rPr>
              <w:t xml:space="preserve">0.75 - 0.80</w:t>
            </w:r>
          </w:p>
        </w:tc>
        <w:tc>
          <w:tcPr>
            <w:tcW w:type="dxa" w:w="2400"/>
          </w:tcPr>
          <w:p>
            <w:r>
              <w:rPr>
                <w:b w:val="false"/>
                <w:bCs w:val="false"/>
                <w:color w:val="000000"/>
                <w:sz w:val="20"/>
                <w:szCs w:val="20"/>
              </w:rPr>
              <w:t xml:space="preserve">Internal pilot (n=50, simulated)</w:t>
            </w:r>
          </w:p>
        </w:tc>
      </w:tr>
      <w:tr>
        <w:tc>
          <w:tcPr>
            <w:tcW w:type="dxa" w:w="3600"/>
          </w:tcPr>
          <w:p>
            <w:r>
              <w:rPr>
                <w:b w:val="false"/>
                <w:bCs w:val="false"/>
                <w:color w:val="000000"/>
                <w:sz w:val="20"/>
                <w:szCs w:val="20"/>
              </w:rPr>
              <w:t xml:space="preserve">Null-hypothesis AUC</w:t>
            </w:r>
          </w:p>
        </w:tc>
        <w:tc>
          <w:tcPr>
            <w:tcW w:type="dxa" w:w="2400"/>
          </w:tcPr>
          <w:p>
            <w:r>
              <w:rPr>
                <w:b w:val="false"/>
                <w:bCs w:val="false"/>
                <w:color w:val="000000"/>
                <w:sz w:val="20"/>
                <w:szCs w:val="20"/>
              </w:rPr>
              <w:t xml:space="preserve">No discrimination</w:t>
            </w:r>
          </w:p>
        </w:tc>
        <w:tc>
          <w:tcPr>
            <w:tcW w:type="dxa" w:w="2400"/>
          </w:tcPr>
          <w:p>
            <w:r>
              <w:rPr>
                <w:b w:val="false"/>
                <w:bCs w:val="false"/>
                <w:color w:val="000000"/>
                <w:sz w:val="20"/>
                <w:szCs w:val="20"/>
              </w:rPr>
              <w:t xml:space="preserve">0.50</w:t>
            </w:r>
          </w:p>
        </w:tc>
        <w:tc>
          <w:tcPr>
            <w:tcW w:type="dxa" w:w="2400"/>
          </w:tcPr>
          <w:p>
            <w:r>
              <w:rPr>
                <w:b w:val="false"/>
                <w:bCs w:val="false"/>
                <w:color w:val="000000"/>
                <w:sz w:val="20"/>
                <w:szCs w:val="20"/>
              </w:rPr>
              <w:t xml:space="preserve">Standard</w:t>
            </w:r>
          </w:p>
        </w:tc>
      </w:tr>
      <w:tr>
        <w:tc>
          <w:tcPr>
            <w:tcW w:type="dxa" w:w="3600"/>
          </w:tcPr>
          <w:p>
            <w:r>
              <w:rPr>
                <w:b w:val="false"/>
                <w:bCs w:val="false"/>
                <w:color w:val="000000"/>
                <w:sz w:val="20"/>
                <w:szCs w:val="20"/>
              </w:rPr>
              <w:t xml:space="preserve">Alpha / Power</w:t>
            </w:r>
          </w:p>
        </w:tc>
        <w:tc>
          <w:tcPr>
            <w:tcW w:type="dxa" w:w="2400"/>
          </w:tcPr>
          <w:p>
            <w:r>
              <w:rPr>
                <w:b w:val="false"/>
                <w:bCs w:val="false"/>
                <w:color w:val="000000"/>
                <w:sz w:val="20"/>
                <w:szCs w:val="20"/>
              </w:rPr>
              <w:t xml:space="preserve">Two-sided</w:t>
            </w:r>
          </w:p>
        </w:tc>
        <w:tc>
          <w:tcPr>
            <w:tcW w:type="dxa" w:w="2400"/>
          </w:tcPr>
          <w:p>
            <w:r>
              <w:rPr>
                <w:b w:val="false"/>
                <w:bCs w:val="false"/>
                <w:color w:val="000000"/>
                <w:sz w:val="20"/>
                <w:szCs w:val="20"/>
              </w:rPr>
              <w:t xml:space="preserve">0.05 / 0.80</w:t>
            </w:r>
          </w:p>
        </w:tc>
        <w:tc>
          <w:tcPr>
            <w:tcW w:type="dxa" w:w="2400"/>
          </w:tcPr>
          <w:p>
            <w:r>
              <w:rPr>
                <w:b w:val="false"/>
                <w:bCs w:val="false"/>
                <w:color w:val="000000"/>
                <w:sz w:val="20"/>
                <w:szCs w:val="20"/>
              </w:rPr>
              <w:t xml:space="preserve">Standard</w:t>
            </w:r>
          </w:p>
        </w:tc>
      </w:tr>
      <w:tr>
        <w:tc>
          <w:tcPr>
            <w:tcW w:type="dxa" w:w="3600"/>
          </w:tcPr>
          <w:p>
            <w:r>
              <w:rPr>
                <w:b w:val="false"/>
                <w:bCs w:val="false"/>
                <w:color w:val="000000"/>
                <w:sz w:val="20"/>
                <w:szCs w:val="20"/>
              </w:rPr>
              <w:t xml:space="preserve">Estimated exacerbation prevalence</w:t>
            </w:r>
          </w:p>
        </w:tc>
        <w:tc>
          <w:tcPr>
            <w:tcW w:type="dxa" w:w="2400"/>
          </w:tcPr>
          <w:p>
            <w:r>
              <w:rPr>
                <w:b w:val="false"/>
                <w:bCs w:val="false"/>
                <w:color w:val="000000"/>
                <w:sz w:val="20"/>
                <w:szCs w:val="20"/>
              </w:rPr>
              <w:t xml:space="preserve">From pilot label distribution</w:t>
            </w:r>
          </w:p>
        </w:tc>
        <w:tc>
          <w:tcPr>
            <w:tcW w:type="dxa" w:w="2400"/>
          </w:tcPr>
          <w:p>
            <w:r>
              <w:rPr>
                <w:b w:val="false"/>
                <w:bCs w:val="false"/>
                <w:color w:val="000000"/>
                <w:sz w:val="20"/>
                <w:szCs w:val="20"/>
              </w:rPr>
              <w:t xml:space="preserve">~40%</w:t>
            </w:r>
          </w:p>
        </w:tc>
        <w:tc>
          <w:tcPr>
            <w:tcW w:type="dxa" w:w="2400"/>
          </w:tcPr>
          <w:p>
            <w:r>
              <w:rPr>
                <w:b w:val="false"/>
                <w:bCs w:val="false"/>
                <w:color w:val="000000"/>
                <w:sz w:val="20"/>
                <w:szCs w:val="20"/>
              </w:rPr>
              <w:t xml:space="preserve">Internal pilot</w:t>
            </w:r>
          </w:p>
        </w:tc>
      </w:tr>
      <w:tr>
        <w:tc>
          <w:tcPr>
            <w:tcW w:type="dxa" w:w="3600"/>
          </w:tcPr>
          <w:p>
            <w:r>
              <w:rPr>
                <w:b w:val="false"/>
                <w:bCs w:val="false"/>
                <w:color w:val="000000"/>
                <w:sz w:val="20"/>
                <w:szCs w:val="20"/>
              </w:rPr>
              <w:t xml:space="preserve">Minimum required sample (Hanley-McNeil / DeLong-based AUC test)</w:t>
            </w:r>
          </w:p>
        </w:tc>
        <w:tc>
          <w:tcPr>
            <w:tcW w:type="dxa" w:w="2400"/>
          </w:tcPr>
          <w:p>
            <w:r>
              <w:rPr>
                <w:b w:val="false"/>
                <w:bCs w:val="false"/>
                <w:color w:val="000000"/>
                <w:sz w:val="20"/>
                <w:szCs w:val="20"/>
              </w:rPr>
              <w:t xml:space="preserve">To be confirmed with a biostatistician</w:t>
            </w:r>
          </w:p>
        </w:tc>
        <w:tc>
          <w:tcPr>
            <w:tcW w:type="dxa" w:w="2400"/>
          </w:tcPr>
          <w:p>
            <w:r>
              <w:rPr>
                <w:b w:val="false"/>
                <w:bCs w:val="false"/>
                <w:color w:val="000000"/>
                <w:sz w:val="20"/>
                <w:szCs w:val="20"/>
              </w:rPr>
              <w:t xml:space="preserve">~120 - 150 patients</w:t>
            </w:r>
          </w:p>
        </w:tc>
        <w:tc>
          <w:tcPr>
            <w:tcW w:type="dxa" w:w="2400"/>
          </w:tcPr>
          <w:p>
            <w:r>
              <w:rPr>
                <w:b w:val="false"/>
                <w:bCs w:val="false"/>
                <w:color w:val="000000"/>
                <w:sz w:val="20"/>
                <w:szCs w:val="20"/>
              </w:rPr>
              <w:t xml:space="preserve">Preliminary estimate — placeholder</w:t>
            </w:r>
          </w:p>
        </w:tc>
      </w:tr>
      <w:tr>
        <w:tc>
          <w:tcPr>
            <w:tcW w:type="dxa" w:w="3600"/>
          </w:tcPr>
          <w:p>
            <w:r>
              <w:rPr>
                <w:b w:val="false"/>
                <w:bCs w:val="false"/>
                <w:color w:val="000000"/>
                <w:sz w:val="20"/>
                <w:szCs w:val="20"/>
              </w:rPr>
              <w:t xml:space="preserve">Target enrollment (with 15% attrition/missing-data buffer)</w:t>
            </w:r>
          </w:p>
        </w:tc>
        <w:tc>
          <w:tcPr>
            <w:tcW w:type="dxa" w:w="2400"/>
          </w:tcPr>
          <w:p>
            <w:r>
              <w:rPr>
                <w:b w:val="false"/>
                <w:bCs w:val="false"/>
                <w:color w:val="000000"/>
                <w:sz w:val="20"/>
                <w:szCs w:val="20"/>
              </w:rPr>
              <w:t xml:space="preserve"/>
            </w:r>
          </w:p>
        </w:tc>
        <w:tc>
          <w:tcPr>
            <w:tcW w:type="dxa" w:w="2400"/>
          </w:tcPr>
          <w:p>
            <w:r>
              <w:rPr>
                <w:b w:val="false"/>
                <w:bCs w:val="false"/>
                <w:color w:val="000000"/>
                <w:sz w:val="20"/>
                <w:szCs w:val="20"/>
              </w:rPr>
              <w:t xml:space="preserve">~150 - 175 patients</w:t>
            </w:r>
          </w:p>
        </w:tc>
        <w:tc>
          <w:tcPr>
            <w:tcW w:type="dxa" w:w="2400"/>
          </w:tcPr>
          <w:p>
            <w:r>
              <w:rPr>
                <w:b w:val="false"/>
                <w:bCs w:val="false"/>
                <w:color w:val="000000"/>
                <w:sz w:val="20"/>
                <w:szCs w:val="20"/>
              </w:rPr>
              <w:t xml:space="preserve"/>
            </w:r>
          </w:p>
        </w:tc>
      </w:tr>
    </w:tbl>
    <w:p>
      <w:pPr>
        <w:spacing w:after="160"/>
      </w:pPr>
      <w:r>
        <w:rPr>
          <w:i/>
          <w:iCs/>
          <w:sz w:val="20"/>
          <w:szCs w:val="20"/>
        </w:rPr>
        <w:t xml:space="preserve">Note: the sample-size estimate above is preliminary and must be confirmed with a qualified biostatistician using the actual planned primary analysis (AUC comparison via DeLong's test or bootstrap CI) before IRB submission is finalized.</w:t>
      </w:r>
    </w:p>
    <w:p>
      <w:pPr>
        <w:pStyle w:val="Heading1"/>
        <w:spacing w:after="160" w:before="320"/>
      </w:pPr>
      <w:r>
        <w:t xml:space="preserve">5. Data Collection</w:t>
      </w:r>
    </w:p>
    <w:p>
      <w:pPr>
        <w:spacing w:after="160"/>
      </w:pPr>
      <w:r>
        <w:t xml:space="preserve">The table below lists the full multimodal variable set. Columns marked ‘audiomic’ correspond to features already validated computationally on simulated audio (MFCC, spectral centroid, zero-crossing rate, spectral bandwidth, RMS energy) using an open-source signal-processing pipeline (librosa).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3200"/>
      </w:tblGrid>
      <w:tr>
        <w:tc>
          <w:tcPr>
            <w:tcW w:type="dxa" w:w="2600"/>
            <w:shd w:fill="1F3864" w:val="clear"/>
          </w:tcPr>
          <w:p>
            <w:r>
              <w:rPr>
                <w:b/>
                <w:bCs/>
                <w:color w:val="FFFFFF"/>
                <w:sz w:val="20"/>
                <w:szCs w:val="20"/>
              </w:rPr>
              <w:t xml:space="preserve">Domain</w:t>
            </w:r>
          </w:p>
        </w:tc>
        <w:tc>
          <w:tcPr>
            <w:tcW w:type="dxa" w:w="5000"/>
            <w:shd w:fill="1F3864" w:val="clear"/>
          </w:tcPr>
          <w:p>
            <w:r>
              <w:rPr>
                <w:b/>
                <w:bCs/>
                <w:color w:val="FFFFFF"/>
                <w:sz w:val="20"/>
                <w:szCs w:val="20"/>
              </w:rPr>
              <w:t xml:space="preserve">Variables</w:t>
            </w:r>
          </w:p>
        </w:tc>
        <w:tc>
          <w:tcPr>
            <w:tcW w:type="dxa" w:w="3200"/>
            <w:shd w:fill="1F3864" w:val="clear"/>
          </w:tcPr>
          <w:p>
            <w:r>
              <w:rPr>
                <w:b/>
                <w:bCs/>
                <w:color w:val="FFFFFF"/>
                <w:sz w:val="20"/>
                <w:szCs w:val="20"/>
              </w:rPr>
              <w:t xml:space="preserve">Collection method / tool</w:t>
            </w:r>
          </w:p>
        </w:tc>
      </w:tr>
      <w:tr>
        <w:tc>
          <w:tcPr>
            <w:tcW w:type="dxa" w:w="2600"/>
          </w:tcPr>
          <w:p>
            <w:r>
              <w:rPr>
                <w:b w:val="false"/>
                <w:bCs w:val="false"/>
                <w:color w:val="000000"/>
                <w:sz w:val="20"/>
                <w:szCs w:val="20"/>
              </w:rPr>
              <w:t xml:space="preserve">Demographics</w:t>
            </w:r>
          </w:p>
        </w:tc>
        <w:tc>
          <w:tcPr>
            <w:tcW w:type="dxa" w:w="5000"/>
          </w:tcPr>
          <w:p>
            <w:r>
              <w:rPr>
                <w:b w:val="false"/>
                <w:bCs w:val="false"/>
                <w:color w:val="000000"/>
                <w:sz w:val="20"/>
                <w:szCs w:val="20"/>
              </w:rPr>
              <w:t xml:space="preserve">Age, sex, smoking status, BMI</w:t>
            </w:r>
          </w:p>
        </w:tc>
        <w:tc>
          <w:tcPr>
            <w:tcW w:type="dxa" w:w="3200"/>
          </w:tcPr>
          <w:p>
            <w:r>
              <w:rPr>
                <w:b w:val="false"/>
                <w:bCs w:val="false"/>
                <w:color w:val="000000"/>
                <w:sz w:val="20"/>
                <w:szCs w:val="20"/>
              </w:rPr>
              <w:t xml:space="preserve">Structured intake form</w:t>
            </w:r>
          </w:p>
        </w:tc>
      </w:tr>
      <w:tr>
        <w:tc>
          <w:tcPr>
            <w:tcW w:type="dxa" w:w="2600"/>
          </w:tcPr>
          <w:p>
            <w:r>
              <w:rPr>
                <w:b w:val="false"/>
                <w:bCs w:val="false"/>
                <w:color w:val="000000"/>
                <w:sz w:val="20"/>
                <w:szCs w:val="20"/>
              </w:rPr>
              <w:t xml:space="preserve">Pulmonary function</w:t>
            </w:r>
          </w:p>
        </w:tc>
        <w:tc>
          <w:tcPr>
            <w:tcW w:type="dxa" w:w="5000"/>
          </w:tcPr>
          <w:p>
            <w:r>
              <w:rPr>
                <w:b w:val="false"/>
                <w:bCs w:val="false"/>
                <w:color w:val="000000"/>
                <w:sz w:val="20"/>
                <w:szCs w:val="20"/>
              </w:rPr>
              <w:t xml:space="preserve">FEV1 (% predicted), FEV1/FVC ratio</w:t>
            </w:r>
          </w:p>
        </w:tc>
        <w:tc>
          <w:tcPr>
            <w:tcW w:type="dxa" w:w="3200"/>
          </w:tcPr>
          <w:p>
            <w:r>
              <w:rPr>
                <w:b w:val="false"/>
                <w:bCs w:val="false"/>
                <w:color w:val="000000"/>
                <w:sz w:val="20"/>
                <w:szCs w:val="20"/>
              </w:rPr>
              <w:t xml:space="preserve">Spirometry (per site SOP)</w:t>
            </w:r>
          </w:p>
        </w:tc>
      </w:tr>
      <w:tr>
        <w:tc>
          <w:tcPr>
            <w:tcW w:type="dxa" w:w="2600"/>
          </w:tcPr>
          <w:p>
            <w:r>
              <w:rPr>
                <w:b w:val="false"/>
                <w:bCs w:val="false"/>
                <w:color w:val="000000"/>
                <w:sz w:val="20"/>
                <w:szCs w:val="20"/>
              </w:rPr>
              <w:t xml:space="preserve">Inflammatory biomarkers</w:t>
            </w:r>
          </w:p>
        </w:tc>
        <w:tc>
          <w:tcPr>
            <w:tcW w:type="dxa" w:w="5000"/>
          </w:tcPr>
          <w:p>
            <w:r>
              <w:rPr>
                <w:b w:val="false"/>
                <w:bCs w:val="false"/>
                <w:color w:val="000000"/>
                <w:sz w:val="20"/>
                <w:szCs w:val="20"/>
              </w:rPr>
              <w:t xml:space="preserve">CRP, peripheral eosinophil count</w:t>
            </w:r>
          </w:p>
        </w:tc>
        <w:tc>
          <w:tcPr>
            <w:tcW w:type="dxa" w:w="3200"/>
          </w:tcPr>
          <w:p>
            <w:r>
              <w:rPr>
                <w:b w:val="false"/>
                <w:bCs w:val="false"/>
                <w:color w:val="000000"/>
                <w:sz w:val="20"/>
                <w:szCs w:val="20"/>
              </w:rPr>
              <w:t xml:space="preserve">Point-of-care or lab assay, per protocol visit</w:t>
            </w:r>
          </w:p>
        </w:tc>
      </w:tr>
      <w:tr>
        <w:tc>
          <w:tcPr>
            <w:tcW w:type="dxa" w:w="2600"/>
          </w:tcPr>
          <w:p>
            <w:r>
              <w:rPr>
                <w:b w:val="false"/>
                <w:bCs w:val="false"/>
                <w:color w:val="000000"/>
                <w:sz w:val="20"/>
                <w:szCs w:val="20"/>
              </w:rPr>
              <w:t xml:space="preserve">Patient-reported outcomes</w:t>
            </w:r>
          </w:p>
        </w:tc>
        <w:tc>
          <w:tcPr>
            <w:tcW w:type="dxa" w:w="5000"/>
          </w:tcPr>
          <w:p>
            <w:r>
              <w:rPr>
                <w:b w:val="false"/>
                <w:bCs w:val="false"/>
                <w:color w:val="000000"/>
                <w:sz w:val="20"/>
                <w:szCs w:val="20"/>
              </w:rPr>
              <w:t xml:space="preserve">CAT score, mMRC dyspnea scale, medication adherence, activity level</w:t>
            </w:r>
          </w:p>
        </w:tc>
        <w:tc>
          <w:tcPr>
            <w:tcW w:type="dxa" w:w="3200"/>
          </w:tcPr>
          <w:p>
            <w:r>
              <w:rPr>
                <w:b w:val="false"/>
                <w:bCs w:val="false"/>
                <w:color w:val="000000"/>
                <w:sz w:val="20"/>
                <w:szCs w:val="20"/>
              </w:rPr>
              <w:t xml:space="preserve">Validated questionnaires, in-app entry</w:t>
            </w:r>
          </w:p>
        </w:tc>
      </w:tr>
      <w:tr>
        <w:tc>
          <w:tcPr>
            <w:tcW w:type="dxa" w:w="2600"/>
          </w:tcPr>
          <w:p>
            <w:r>
              <w:rPr>
                <w:b w:val="false"/>
                <w:bCs w:val="false"/>
                <w:color w:val="000000"/>
                <w:sz w:val="20"/>
                <w:szCs w:val="20"/>
              </w:rPr>
              <w:t xml:space="preserve">Acoustic (audiomics)</w:t>
            </w:r>
          </w:p>
        </w:tc>
        <w:tc>
          <w:tcPr>
            <w:tcW w:type="dxa" w:w="5000"/>
          </w:tcPr>
          <w:p>
            <w:r>
              <w:rPr>
                <w:b w:val="false"/>
                <w:bCs w:val="false"/>
                <w:color w:val="000000"/>
                <w:sz w:val="20"/>
                <w:szCs w:val="20"/>
              </w:rPr>
              <w:t xml:space="preserve">Smartphone-recorded cough and forced-exhalation clips (MFCCs, spectral centroid, zero-crossing rate, spectral bandwidth, RMS)</w:t>
            </w:r>
          </w:p>
        </w:tc>
        <w:tc>
          <w:tcPr>
            <w:tcW w:type="dxa" w:w="3200"/>
          </w:tcPr>
          <w:p>
            <w:r>
              <w:rPr>
                <w:b w:val="false"/>
                <w:bCs w:val="false"/>
                <w:color w:val="000000"/>
                <w:sz w:val="20"/>
                <w:szCs w:val="20"/>
              </w:rPr>
              <w:t xml:space="preserve">Study smartphone app, 3 clips per session</w:t>
            </w:r>
          </w:p>
        </w:tc>
      </w:tr>
      <w:tr>
        <w:tc>
          <w:tcPr>
            <w:tcW w:type="dxa" w:w="2600"/>
          </w:tcPr>
          <w:p>
            <w:r>
              <w:rPr>
                <w:b w:val="false"/>
                <w:bCs w:val="false"/>
                <w:color w:val="000000"/>
                <w:sz w:val="20"/>
                <w:szCs w:val="20"/>
              </w:rPr>
              <w:t xml:space="preserve">Healthcare utilization</w:t>
            </w:r>
          </w:p>
        </w:tc>
        <w:tc>
          <w:tcPr>
            <w:tcW w:type="dxa" w:w="5000"/>
          </w:tcPr>
          <w:p>
            <w:r>
              <w:rPr>
                <w:b w:val="false"/>
                <w:bCs w:val="false"/>
                <w:color w:val="000000"/>
                <w:sz w:val="20"/>
                <w:szCs w:val="20"/>
              </w:rPr>
              <w:t xml:space="preserve">ER visits, hospitalizations in prior 6 months and during follow-up</w:t>
            </w:r>
          </w:p>
        </w:tc>
        <w:tc>
          <w:tcPr>
            <w:tcW w:type="dxa" w:w="3200"/>
          </w:tcPr>
          <w:p>
            <w:r>
              <w:rPr>
                <w:b w:val="false"/>
                <w:bCs w:val="false"/>
                <w:color w:val="000000"/>
                <w:sz w:val="20"/>
                <w:szCs w:val="20"/>
              </w:rPr>
              <w:t xml:space="preserve">Chart review + patient report, cross-checked with hospital records</w:t>
            </w:r>
          </w:p>
        </w:tc>
      </w:tr>
      <w:tr>
        <w:tc>
          <w:tcPr>
            <w:tcW w:type="dxa" w:w="2600"/>
          </w:tcPr>
          <w:p>
            <w:r>
              <w:rPr>
                <w:b w:val="false"/>
                <w:bCs w:val="false"/>
                <w:color w:val="000000"/>
                <w:sz w:val="20"/>
                <w:szCs w:val="20"/>
              </w:rPr>
              <w:t xml:space="preserve">Outcome label</w:t>
            </w:r>
          </w:p>
        </w:tc>
        <w:tc>
          <w:tcPr>
            <w:tcW w:type="dxa" w:w="5000"/>
          </w:tcPr>
          <w:p>
            <w:r>
              <w:rPr>
                <w:b w:val="false"/>
                <w:bCs w:val="false"/>
                <w:color w:val="000000"/>
                <w:sz w:val="20"/>
                <w:szCs w:val="20"/>
              </w:rPr>
              <w:t xml:space="preserve">Moderate/severe AECOPD within 90 days of enrollment (per ATS/ERS criteria)</w:t>
            </w:r>
          </w:p>
        </w:tc>
        <w:tc>
          <w:tcPr>
            <w:tcW w:type="dxa" w:w="3200"/>
          </w:tcPr>
          <w:p>
            <w:r>
              <w:rPr>
                <w:b w:val="false"/>
                <w:bCs w:val="false"/>
                <w:color w:val="000000"/>
                <w:sz w:val="20"/>
                <w:szCs w:val="20"/>
              </w:rPr>
              <w:t xml:space="preserve">Adjudicated by treating physician / chart review</w:t>
            </w:r>
          </w:p>
        </w:tc>
      </w:tr>
    </w:tbl>
    <w:p>
      <w:pPr>
        <w:spacing w:after="160"/>
      </w:pPr>
      <w:r>
        <w:t xml:space="preserve"/>
      </w:r>
    </w:p>
    <w:p>
      <w:pPr>
        <w:spacing w:after="160"/>
      </w:pPr>
      <w:r>
        <w:t xml:space="preserve">Visit schedule: baseline enrollment visit (full panel), then a brief daily in-app entry (PRO + one cough/exhalation recording), with a full biomarker panel repeated at day 30, day 60, and day 90 or at any unscheduled exacerbation visit.</w:t>
      </w:r>
    </w:p>
    <w:p>
      <w:pPr>
        <w:pStyle w:val="Heading1"/>
        <w:spacing w:after="160" w:before="320"/>
      </w:pPr>
      <w:r>
        <w:t xml:space="preserve">6. Data Management and Confidentiality</w:t>
      </w:r>
    </w:p>
    <w:p>
      <w:pPr>
        <w:pStyle w:val="ListParagraph"/>
        <w:numPr>
          <w:ilvl w:val="0"/>
          <w:numId w:val="1"/>
        </w:numPr>
        <w:spacing w:after="80"/>
      </w:pPr>
      <w:r>
        <w:t xml:space="preserve">All data are de-identified at the point of entry using a study ID; no direct identifiers (name, national ID, date of birth, medical record number, contact details) are stored in the analysis dataset.</w:t>
      </w:r>
    </w:p>
    <w:p>
      <w:pPr>
        <w:pStyle w:val="ListParagraph"/>
        <w:numPr>
          <w:ilvl w:val="0"/>
          <w:numId w:val="1"/>
        </w:numPr>
        <w:spacing w:after="80"/>
      </w:pPr>
      <w:r>
        <w:t xml:space="preserve">Audio recordings are stored encrypted at rest and are not used for speaker identification or any purpose beyond acoustic feature extraction.</w:t>
      </w:r>
    </w:p>
    <w:p>
      <w:pPr>
        <w:pStyle w:val="ListParagraph"/>
        <w:numPr>
          <w:ilvl w:val="0"/>
          <w:numId w:val="1"/>
        </w:numPr>
        <w:spacing w:after="80"/>
      </w:pPr>
      <w:r>
        <w:t xml:space="preserve">A separate, access-restricted key linking study ID to patient identity is held only by the clinical site and is not shared with any analysis or cloud-processing environment.</w:t>
      </w:r>
    </w:p>
    <w:p>
      <w:pPr>
        <w:pStyle w:val="ListParagraph"/>
        <w:numPr>
          <w:ilvl w:val="0"/>
          <w:numId w:val="1"/>
        </w:numPr>
        <w:spacing w:after="80"/>
      </w:pPr>
      <w:r>
        <w:t xml:space="preserve">Data are retained per the host institution's research data retention policy and destroyed thereafter.</w:t>
      </w:r>
    </w:p>
    <w:p>
      <w:pPr>
        <w:pStyle w:val="Heading1"/>
        <w:spacing w:after="160" w:before="320"/>
      </w:pPr>
      <w:r>
        <w:t xml:space="preserve">7. Statistical / Analytical Plan</w:t>
      </w:r>
    </w:p>
    <w:p>
      <w:pPr>
        <w:spacing w:after="160"/>
      </w:pPr>
      <w:r>
        <w:t xml:space="preserve">The analysis pipeline was piloted and validated on simulated data prior to this protocol, with two methodological safeguards to be carried into the real-data analysis:</w:t>
      </w:r>
    </w:p>
    <w:p>
      <w:pPr>
        <w:pStyle w:val="ListParagraph"/>
        <w:numPr>
          <w:ilvl w:val="0"/>
          <w:numId w:val="1"/>
        </w:numPr>
        <w:spacing w:after="80"/>
      </w:pPr>
      <w:r>
        <w:t xml:space="preserve">Nested cross-validation: any feature selection or dimensionality reduction (e.g., PCA on audiomic features) is fit only within training folds, never on the full dataset before splitting, to avoid optimistic bias. (An early pilot run without this safeguard produced an inflated AUC of 0.85 versus the corrected 0.71 for the same configuration — this failure mode is documented and explicitly guarded against in the finalized pipeline.)</w:t>
      </w:r>
    </w:p>
    <w:p>
      <w:pPr>
        <w:pStyle w:val="ListParagraph"/>
        <w:numPr>
          <w:ilvl w:val="0"/>
          <w:numId w:val="1"/>
        </w:numPr>
        <w:spacing w:after="80"/>
      </w:pPr>
      <w:r>
        <w:t xml:space="preserve">Primary models: logistic regression (with standardized features) and random forest, compared via 5-fold (or higher, pending final n) stratified cross-validated AUC.</w:t>
      </w:r>
    </w:p>
    <w:p>
      <w:pPr>
        <w:pStyle w:val="ListParagraph"/>
        <w:numPr>
          <w:ilvl w:val="0"/>
          <w:numId w:val="1"/>
        </w:numPr>
        <w:spacing w:after="80"/>
      </w:pPr>
      <w:r>
        <w:t xml:space="preserve">Missing data handled via documented imputation (mean/median or multiple imputation, to be finalized with a biostatistician) rather than silent row deletion.</w:t>
      </w:r>
    </w:p>
    <w:p>
      <w:pPr>
        <w:pStyle w:val="ListParagraph"/>
        <w:numPr>
          <w:ilvl w:val="0"/>
          <w:numId w:val="1"/>
        </w:numPr>
        <w:spacing w:after="80"/>
      </w:pPr>
      <w:r>
        <w:t xml:space="preserve">Pre-registered primary comparison: multimodal vs. clinical-only model AUC, with 95% CI (DeLong's test).</w:t>
      </w:r>
    </w:p>
    <w:p>
      <w:pPr>
        <w:pStyle w:val="Heading1"/>
        <w:spacing w:after="160" w:before="320"/>
      </w:pPr>
      <w:r>
        <w:t xml:space="preserve">8. Risks and Benefits</w:t>
      </w:r>
    </w:p>
    <w:p>
      <w:pPr>
        <w:pStyle w:val="Heading2"/>
        <w:spacing w:after="120" w:before="240"/>
      </w:pPr>
      <w:r>
        <w:t xml:space="preserve">Risks</w:t>
      </w:r>
    </w:p>
    <w:p>
      <w:pPr>
        <w:spacing w:after="160"/>
      </w:pPr>
      <w:r>
        <w:t xml:space="preserve">Minimal anticipated risk. Data collection is non-invasive (audio recording, questionnaires) except for standard-of-care blood draws for CRP/eosinophil count, already part of routine COPD management. Primary risks are breach of confidentiality (mitigated per Section 6) and participant burden from daily app use.</w:t>
      </w:r>
    </w:p>
    <w:p>
      <w:pPr>
        <w:pStyle w:val="Heading2"/>
        <w:spacing w:after="120" w:before="240"/>
      </w:pPr>
      <w:r>
        <w:t xml:space="preserve">Benefits</w:t>
      </w:r>
    </w:p>
    <w:p>
      <w:pPr>
        <w:spacing w:after="160"/>
      </w:pPr>
      <w:r>
        <w:t xml:space="preserve">No guaranteed direct benefit to participants. Potential future benefit is an early-warning tool for exacerbation risk; the immediate benefit is scientific contribution to a validated pre-symptomatic detection framework.</w:t>
      </w:r>
    </w:p>
    <w:p>
      <w:pPr>
        <w:pStyle w:val="Heading1"/>
        <w:spacing w:after="160" w:before="320"/>
      </w:pPr>
      <w:r>
        <w:t xml:space="preserve">9. Informed Consent</w:t>
      </w:r>
    </w:p>
    <w:p>
      <w:pPr>
        <w:spacing w:after="160"/>
      </w:pPr>
      <w:r>
        <w:t xml:space="preserve">Written informed consent will be obtained by trained study staff prior to any data collection, using a consent form (to be developed separately) that explains the purpose, procedures, voluntary nature, right to withdraw without affecting clinical care, data handling, and audio recording use in plain language, in both Arabic and English.</w:t>
      </w:r>
    </w:p>
    <w:p>
      <w:pPr>
        <w:pStyle w:val="Heading1"/>
        <w:spacing w:after="160" w:before="320"/>
      </w:pPr>
      <w:r>
        <w:t xml:space="preserve">10. Timeline (Indicative)</w:t>
      </w:r>
    </w:p>
    <w:p>
      <w:pPr>
        <w:pStyle w:val="ListParagraph"/>
        <w:numPr>
          <w:ilvl w:val="0"/>
          <w:numId w:val="1"/>
        </w:numPr>
        <w:spacing w:after="80"/>
      </w:pPr>
      <w:r>
        <w:t xml:space="preserve">Months 1-2: IRB submission and approval, site setup, app deployment/testing.</w:t>
      </w:r>
    </w:p>
    <w:p>
      <w:pPr>
        <w:pStyle w:val="ListParagraph"/>
        <w:numPr>
          <w:ilvl w:val="0"/>
          <w:numId w:val="1"/>
        </w:numPr>
        <w:spacing w:after="80"/>
      </w:pPr>
      <w:r>
        <w:t xml:space="preserve">Months 3-14: Enrollment and data collection (target ~150-175 patients, per revised sample-size calculation).</w:t>
      </w:r>
    </w:p>
    <w:p>
      <w:pPr>
        <w:pStyle w:val="ListParagraph"/>
        <w:numPr>
          <w:ilvl w:val="0"/>
          <w:numId w:val="1"/>
        </w:numPr>
        <w:spacing w:after="80"/>
      </w:pPr>
      <w:r>
        <w:t xml:space="preserve">Months 15-18: Data lock, final model training/validation, manuscript preparation.</w:t>
      </w:r>
    </w:p>
    <w:p>
      <w:pPr>
        <w:pStyle w:val="Heading1"/>
        <w:spacing w:after="160" w:before="320"/>
      </w:pPr>
      <w:r>
        <w:t xml:space="preserve">11. Status of Supporting Work</w:t>
      </w:r>
    </w:p>
    <w:p>
      <w:pPr>
        <w:spacing w:after="160"/>
      </w:pPr>
      <w:r>
        <w:t xml:space="preserve">A computational pilot has already been completed to validate the feasibility of the proposed pipeline prior to real-data collection:</w:t>
      </w:r>
    </w:p>
    <w:p>
      <w:pPr>
        <w:pStyle w:val="ListParagraph"/>
        <w:numPr>
          <w:ilvl w:val="0"/>
          <w:numId w:val="1"/>
        </w:numPr>
        <w:spacing w:after="80"/>
      </w:pPr>
      <w:r>
        <w:t xml:space="preserve">Feature-extraction module implemented and verified (librosa-based acoustic features).</w:t>
      </w:r>
    </w:p>
    <w:p>
      <w:pPr>
        <w:pStyle w:val="ListParagraph"/>
        <w:numPr>
          <w:ilvl w:val="0"/>
          <w:numId w:val="1"/>
        </w:numPr>
        <w:spacing w:after="80"/>
      </w:pPr>
      <w:r>
        <w:t xml:space="preserve">End-to-end pipeline (data → feature extraction → model training → cross-validated evaluation) implemented and tested on n=50 simulated patients structured to match the variables in Section 5.</w:t>
      </w:r>
    </w:p>
    <w:p>
      <w:pPr>
        <w:pStyle w:val="ListParagraph"/>
        <w:numPr>
          <w:ilvl w:val="0"/>
          <w:numId w:val="1"/>
        </w:numPr>
        <w:spacing w:after="80"/>
      </w:pPr>
      <w:r>
        <w:t xml:space="preserve">A methodological error (cross-validation leakage during feature selection) was identified and corrected during this pilot phase, with both the flawed and corrected results documented for transparency.</w:t>
      </w:r>
    </w:p>
    <w:p>
      <w:pPr>
        <w:spacing w:after="160"/>
      </w:pPr>
      <w:r>
        <w:rPr>
          <w:i/>
          <w:iCs/>
        </w:rPr>
        <w:t xml:space="preserve">This groundwork is intended to reduce implementation risk during the funded/approved phase of the study and to demonstrate analytical readiness to the IRB and any funding body.</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COPD Multimodal Prediction — Study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1F3864"/>
      <w:sz w:val="28"/>
      <w:szCs w:val="28"/>
    </w:rPr>
  </w:style>
  <w:style w:type="paragraph" w:styleId="Heading2">
    <w:name w:val="Heading 2"/>
    <w:basedOn w:val="Normal"/>
    <w:next w:val="Normal"/>
    <w:pPr>
      <w:spacing w:after="120" w:before="240"/>
    </w:pPr>
    <w:rPr>
      <w:rFonts w:ascii="Calibri" w:cs="Calibri" w:eastAsia="Calibri" w:hAnsi="Calibri"/>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2026-09-12T01:35:54.794Z</dcterms:created>
  <dcterms:modified xsi:type="dcterms:W3CDTF">2026-09-12T01:35:54.804Z</dcterms:modified>
</cp:coreProperties>
</file>

<file path=docProps/custom.xml><?xml version="1.0" encoding="utf-8"?>
<Properties xmlns="http://schemas.openxmlformats.org/officeDocument/2006/custom-properties" xmlns:vt="http://schemas.openxmlformats.org/officeDocument/2006/docPropsVTypes"/>
</file>