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Clinical Validation Plan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Multimodal COPD Exacerbation Risk Tool — Draft, Pre-Biostatistician-Review</w:t>
      </w:r>
    </w:p>
    <w:p>
      <w:pPr>
        <w:spacing w:after="320"/>
        <w:jc w:val="center"/>
      </w:pPr>
      <w:r>
        <w:rPr>
          <w:sz w:val="20"/>
          <w:szCs w:val="20"/>
        </w:rPr>
        <w:t xml:space="preserve">Author: Anas Shawah'en | Companion document to the IRB Study Protocol</w:t>
      </w:r>
    </w:p>
    <w:p>
      <w:pPr>
        <w:spacing w:before="240" w:after="240"/>
        <w:jc w:val="center"/>
        <w:shd w:val="clear" w:color="auto" w:fill="FCE4D6"/>
      </w:pPr>
      <w:r>
        <w:rPr>
          <w:b/>
          <w:color w:val="9C0006"/>
          <w:sz w:val="20"/>
        </w:rPr>
        <w:t>PILOT SAMPLE ONLY — NOT A CLINICAL STUDY. This document describes a methodological pilot sample used to demonstrate technical and analytical readiness. No real patient data has been used, collected, or accessed. Nothing in this document authorizes real-world clinical use.</w:t>
      </w:r>
    </w:p>
    <w:p>
      <w:pPr>
        <w:pStyle w:val="Heading1"/>
        <w:spacing w:after="160" w:before="320"/>
      </w:pPr>
      <w:r>
        <w:t xml:space="preserve">1. Purpose and Relationship to the IRB Protocol</w:t>
      </w:r>
    </w:p>
    <w:p>
      <w:pPr>
        <w:spacing w:after="160"/>
      </w:pPr>
      <w:r>
        <w:t xml:space="preserve">The IRB Study Protocol (docs/COPD_Study_Protocol_IRB_Draft.docx) governs data collection for model derivation/development. This document is distinct: it specifies how the resulting model's performance will be independently validated once real data exists — the step this project's synthetic-data pilot cannot substitute for. A model is not clinically credible on the strength of its derivation-cohort performance alone; validation on data the model has never influenced (directly or indirectly) is what the literature treats as the minimum bar for a prediction model to be taken seriously.</w:t>
      </w:r>
    </w:p>
    <w:p>
      <w:pPr>
        <w:spacing w:after="160"/>
      </w:pPr>
      <w:r>
        <w:t xml:space="preserve">This plan follows the TRIPOD+AI reporting standard (Collins et al., BMJ 2024;385:e078378), the current cross-disciplinary standard for reporting both regression- and machine-learning-based clinical prediction models, superseding the original 2015 TRIPOD statement.</w:t>
      </w:r>
    </w:p>
    <w:p>
      <w:pPr>
        <w:pStyle w:val="Heading1"/>
        <w:spacing w:after="160" w:before="320"/>
      </w:pPr>
      <w:r>
        <w:t xml:space="preserve">2. Model Locking (Prerequisite, Non-Negotiable)</w:t>
      </w:r>
    </w:p>
    <w:p>
      <w:pPr>
        <w:spacing w:after="160"/>
      </w:pPr>
      <w:r>
        <w:t xml:space="preserve">Before any validation analysis begins, the model (features, preprocessing, hyperparameters, and decision threshold) must be fully “locked” — no further tuning permitted using validation-set outcomes. This directly extends the leak-free discipline already established in this project's derivation pipeline (src/dimensionality_reduction_leakfree.py): the failure mode this project already corrected once (fitting on data the evaluation should be blind to) applies at the validation-study level exactly as it applied at the cross-validation-fold level.</w:t>
      </w:r>
    </w:p>
    <w:p>
      <w:pPr>
        <w:pStyle w:val="Heading1"/>
        <w:spacing w:after="160" w:before="320"/>
      </w:pPr>
      <w:r>
        <w:t xml:space="preserve">3. Validation Study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Design: prospective cohort, temporally or geographically distinct from the derivation cohort described in the IRB protocol (e.g., a later enrollment window at the same site, or a second site if the project expands to multi-center).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Outcome definition: identical to derivation — moderate/severe AECOPD within 90 days, adjudicated by treating physician / chart review (per ATS/ERS criteria), to avoid outcome-definition drift between derivation and validation.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Blinding: model predictions must not be shown to treating clinicians during the validation phase (silent/shadow mode) — otherwise the model could influence the very outcomes it is being validated against.</w:t>
      </w:r>
    </w:p>
    <w:p>
      <w:pPr>
        <w:pStyle w:val="Heading1"/>
        <w:spacing w:after="160" w:before="320"/>
      </w:pPr>
      <w:r>
        <w:t xml:space="preserve">4. Statistical Analysis Plan — Pre-Specified Metrics and Thresholds</w:t>
      </w:r>
    </w:p>
    <w:p>
      <w:pPr>
        <w:spacing w:after="160"/>
      </w:pPr>
      <w:r>
        <w:t xml:space="preserve">Pre-specifying success thresholds before seeing validation data is what separates a validation study from a second derivation exercise dressed up as one.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30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Pre-specified success threshold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Discrimination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AUC-ROC with 95% CI (DeLong or bootstrap, 2000 resamples)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bound of 95% CI &gt; 0.70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Discrimination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 &amp; specificity at the pre-locked risk threshold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 ≥ 0.80 at the pre-specified operating point (favoring sensitivity given ED/pre-hospital triage use)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 plot: observed vs. predicted risk deciles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inspection + calibration-in-the-large near 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Calibration slope (ideal = 1.0)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 – 1.2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utility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curve analysis vs. “treat all” / “treat none”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benefit exceeds both defaults across a clinically plausible threshold range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Comparative benchmark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 vs. a simple existing clinical score (e.g., DECAF or treating clinician's gestalt risk rating)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AUC not inferior to benchmark (non-inferiority margin: 0.05 AUC)</w:t>
            </w:r>
          </w:p>
        </w:tc>
      </w:tr>
    </w:tbl>
    <w:p>
      <w:pPr>
        <w:pStyle w:val="Heading1"/>
        <w:spacing w:after="160" w:before="320"/>
      </w:pPr>
      <w:r>
        <w:t xml:space="preserve">5. Comparative Benchmark</w:t>
      </w:r>
    </w:p>
    <w:p>
      <w:pPr>
        <w:spacing w:after="160"/>
      </w:pPr>
      <w:r>
        <w:t xml:space="preserve">A model is only clinically useful if it outperforms what clinicians already have. The validation plan therefore requires a head-to-head comparison against at least one existing simple alternative, to be finalized with clinical co-investigators — candidates include the DECAF score, the BAP-65 score, or simply the treating clinician's unaided risk estimate (e.g., a 0–100 gestalt rating captured before the model's prediction is available, in the same shadow-mode visit).</w:t>
      </w:r>
    </w:p>
    <w:p>
      <w:pPr>
        <w:pStyle w:val="Heading1"/>
        <w:spacing w:after="160" w:before="320"/>
      </w:pPr>
      <w:r>
        <w:t xml:space="preserve">6. Sample Size for Validation</w:t>
      </w:r>
    </w:p>
    <w:p>
      <w:pPr>
        <w:spacing w:after="160"/>
      </w:pPr>
      <w:r>
        <w:t xml:space="preserve">This is a materially different calculation from the derivation sample size in the IRB protocol — validation studies need enough observed events (not just patients) to bound the confidence interval on AUC and calibration tightly enough to be decisive.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4200"/>
      </w:tblGrid>
      <w:tr>
        <w:tc>
          <w:tcPr>
            <w:tcW w:type="dxa" w:w="3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Anticipated model AUC (from pilot)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0.70 – 0.80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synthetic pilot (src/model_comparison.py)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events needed (Riley et al. criteria for external validation)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100 events (exacerbations)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rule of thumb for stable CI width on AUC/calibration in validation studies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event 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~35–40%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with pilot label prevalence; to be confirmed from real-world chart review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Implied minimum validation cohort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~250–300 patients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events / ~0.35 event rate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 to IRB protocol target (150–175)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IRB target covers derivation; a separate/extended cohort is likely needed for a properly independent validation set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reconciled with biostatistician — see §7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As with the derivation sample-size table, this is a working estimate and must be finalized with a biostatistician before this becomes a formal protocol amendment.</w:t>
      </w:r>
    </w:p>
    <w:p>
      <w:pPr>
        <w:pStyle w:val="Heading1"/>
        <w:spacing w:after="160" w:before="320"/>
      </w:pPr>
      <w:r>
        <w:t xml:space="preserve">7. Missing Data and Sensitivity Analyses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Primary analysis: complete-case, reported alongside the missingness rate per variable (a rate above ~10% on any predictor triggers a documented multiple-imputation sensitivity analysis).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Pre-specified subgroup checks: performance by sex, by smoking status, and by baseline severity (FEV1 tertile) — reported descriptively, not used to justify post-hoc model 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Audio-quality sensitivity check: performance stratified by in-app recording quality flag (see Architecture Design Document §4) — to quantify whether poor-quality recordings meaningfully degrade real-world performance versus the clean synthetic clips used in the pilot.</w:t>
      </w:r>
    </w:p>
    <w:p>
      <w:pPr>
        <w:pStyle w:val="Heading1"/>
        <w:spacing w:after="160" w:before="320"/>
      </w:pPr>
      <w:r>
        <w:t xml:space="preserve">8. Human Factors / Usability Validation</w:t>
      </w:r>
    </w:p>
    <w:p>
      <w:pPr>
        <w:spacing w:after="160"/>
      </w:pPr>
      <w:r>
        <w:t xml:space="preserve">Distinct from statistical validation: before real clinical use, the fail-safe UX principle (Architecture Design Document §4) itself needs empirical testing — e.g., a simulation-based usability study confirming that clinicians under realistic time pressure correctly interpret the risk score as decision support, not as a diagnosis, and do not exhibit automation bias (over-trusting the score) or alarm fatigue (ignoring it) in mocked emergency scenarios.</w:t>
      </w:r>
    </w:p>
    <w:p>
      <w:pPr>
        <w:pStyle w:val="Heading1"/>
        <w:spacing w:after="160" w:before="320"/>
      </w:pPr>
      <w:r>
        <w:t xml:space="preserve">9. Reporting</w:t>
      </w:r>
    </w:p>
    <w:p>
      <w:pPr>
        <w:spacing w:after="160"/>
      </w:pPr>
      <w:r>
        <w:t xml:space="preserve">Regardless of outcome (including a null or underpowered result), the validation study will be written up following the TRIPOD+AI 27-item checklist, and the completed checklist itself will be included as a supplementary file — both because it is increasingly required by journals for prediction-model manuscripts, and because current adherence in the field is poor (reported at roughly 28% for ML-based prediction studies), which is itself an opportunity: full adherence is a low-cost way to differentiate this work's rigor.</w:t>
      </w:r>
    </w:p>
    <w:p>
      <w:pPr>
        <w:pStyle w:val="Heading1"/>
        <w:spacing w:after="160" w:before="320"/>
      </w:pPr>
      <w:r>
        <w:t xml:space="preserve">10. Explicit Non-Goals of This Validation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validation plan does NOT constitute a clinical trial of the tool changing patient outcomes (that would be a separate, later-phase interventional study, e.g., a randomized trial of clinician decisions with vs. without the tool).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does NOT authorize clinical use of the tool's output for real patient management — shadow-mode only, per §3.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does NOT replace the regulatory validation evidence a formal FDA/EU MDR submission would separately require (see docs/Regulatory_Classification_Memo.docx) — it is a necessary step toward that, not a substitute for it.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Clinical Validation Plan — COPD Multimodal Risk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2026-09-13T06:42:47.415Z</dcterms:created>
  <dcterms:modified xsi:type="dcterms:W3CDTF">2026-09-13T06:42:47.416Z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