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Runbook: Schema Drift in Customer Profile Ingest</w:t>
      </w:r>
    </w:p>
    <w:p>
      <w:r>
        <w:t>Runbook ID: RB_SCHEMA_DRIFT_DOC</w:t>
      </w:r>
    </w:p>
    <w:p>
      <w:pPr>
        <w:pStyle w:val="Heading2"/>
      </w:pPr>
      <w:r>
        <w:t>Symptom</w:t>
      </w:r>
    </w:p>
    <w:p>
      <w:r>
        <w:t>The nemoguard-ingest-job Lambda raises a KeyError while validating an incoming customer_profile record. CloudWatch Alarm nemoguard-ingest-job-errors transitions to ALARM.</w:t>
      </w:r>
    </w:p>
    <w:p>
      <w:pPr>
        <w:pStyle w:val="Heading2"/>
      </w:pPr>
      <w:r>
        <w:t>Likely Root Cause</w:t>
      </w:r>
    </w:p>
    <w:p>
      <w:r>
        <w:t>An upstream producer changed the customer_profile JSON schema without notice -- most commonly a required field (last_login_ip) was removed or renamed in a recent deploy.</w:t>
      </w:r>
    </w:p>
    <w:p>
      <w:pPr>
        <w:pStyle w:val="Heading2"/>
      </w:pPr>
      <w:r>
        <w:t>Diagnostic Steps</w:t>
      </w:r>
    </w:p>
    <w:p>
      <w:r>
        <w:t>1. Call read_s3_object on the exact key referenced in the failing run's logs to confirm which field is actually missing.</w:t>
        <w:br/>
        <w:t>2. Call list_recent_changes against the producer service to check for a correlated recent deployment.</w:t>
        <w:br/>
        <w:t>3. Call query_cloudwatch_logs on /aws/lambda/nemoguard-ingest-job to confirm this is the FIRST occurrence, not a sustained pattern.</w:t>
      </w:r>
    </w:p>
    <w:p>
      <w:pPr>
        <w:pStyle w:val="Heading2"/>
      </w:pPr>
      <w:r>
        <w:t>Remediation Steps</w:t>
      </w:r>
    </w:p>
    <w:p>
      <w:r>
        <w:t>1. Do NOT simply retry -- the same malformed object will fail again.</w:t>
        <w:br/>
        <w:t>2. If this is an isolated bad record: quarantine it (do not delete silently) and escalate to the producing team.</w:t>
        <w:br/>
        <w:t>3. If the schema change is confirmed intentional and permanent: this requires a code change to the ingest job's validation logic, which is OUT OF SCOPE for an automated recovery action -- escalate to the owning engineering team rather than attempting an automated fix.</w:t>
      </w:r>
    </w:p>
    <w:p>
      <w:pPr>
        <w:pStyle w:val="Heading2"/>
      </w:pPr>
      <w:r>
        <w:t>Verification</w:t>
      </w:r>
    </w:p>
    <w:p>
      <w:r>
        <w:t>After a fix is deployed, re-run the exact same object through the job (via a healthy-scenario replay) and confirm it succeeds with no KeyError.</w:t>
      </w:r>
    </w:p>
    <w:p>
      <w:pPr>
        <w:pStyle w:val="Heading2"/>
      </w:pPr>
      <w:r>
        <w:t>Risk Classification</w:t>
      </w:r>
    </w:p>
    <w:p>
      <w:r>
        <w:t>MEDIUM. No data loss risk, but requires human judgment on whether the schema change is a mistake or an intentional producer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