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""</w:t>
      </w:r>
    </w:p>
    <w:p>
      <w:pPr>
        <w:pStyle w:val="BodyText"/>
      </w:pPr>
      <w:r>
        <w:t xml:space="preserve">УДК 004.4’233</w:t>
      </w:r>
    </w:p>
    <w:p>
      <w:pPr>
        <w:pStyle w:val="BodyText"/>
      </w:pPr>
      <w:r>
        <w:t xml:space="preserve">""</w:t>
      </w:r>
    </w:p>
    <w:p>
      <w:pPr>
        <w:pStyle w:val="BodyText"/>
      </w:pPr>
      <w:r>
        <w:rPr>
          <w:bCs/>
          <w:b/>
        </w:rPr>
        <w:t xml:space="preserve">Д.А. Эдель</w:t>
      </w:r>
    </w:p>
    <w:p>
      <w:pPr>
        <w:pStyle w:val="BodyText"/>
      </w:pPr>
      <w:r>
        <w:t xml:space="preserve">""</w:t>
      </w:r>
    </w:p>
    <w:p>
      <w:pPr>
        <w:pStyle w:val="BodyText"/>
      </w:pPr>
      <w:r>
        <w:rPr>
          <w:bCs/>
          <w:b/>
        </w:rPr>
        <w:t xml:space="preserve">Языковая модель исполнимых кодов</w:t>
      </w:r>
    </w:p>
    <w:p>
      <w:pPr>
        <w:pStyle w:val="BodyText"/>
      </w:pPr>
      <w:r>
        <w:t xml:space="preserve">""</w:t>
      </w:r>
    </w:p>
    <w:p>
      <w:pPr>
        <w:pStyle w:val="BodyText"/>
      </w:pPr>
      <w:r>
        <w:t xml:space="preserve">=0px</w:t>
      </w:r>
      <w:r>
        <w:t xml:space="preserve"> </w:t>
      </w:r>
      <w:r>
        <w:t xml:space="preserve">ПО аналогии с методами сравнения естественных языков строится языковая модель</w:t>
      </w:r>
      <w:r>
        <w:t xml:space="preserve"> </w:t>
      </w:r>
      <w:r>
        <w:t xml:space="preserve">исполнимого кода на основе однородных Марковских цепей и приводятся результаты</w:t>
      </w:r>
      <w:r>
        <w:t xml:space="preserve"> </w:t>
      </w:r>
      <w:r>
        <w:t xml:space="preserve">экспериментальных исследований предложенной модели.</w:t>
      </w:r>
    </w:p>
    <w:p>
      <w:pPr>
        <w:pStyle w:val="BodyText"/>
      </w:pPr>
      <w:r>
        <w:rPr>
          <w:bCs/>
          <w:b/>
        </w:rPr>
        <w:t xml:space="preserve">Ключевые слова:</w:t>
      </w:r>
      <w:r>
        <w:t xml:space="preserve"> </w:t>
      </w:r>
      <w:r>
        <w:t xml:space="preserve">машинный код, Марковские цепи, классификация.</w:t>
      </w:r>
    </w:p>
    <w:p>
      <w:pPr>
        <w:pStyle w:val="BodyText"/>
      </w:pPr>
      <w:r>
        <w:t xml:space="preserve">""</w:t>
      </w:r>
    </w:p>
    <w:p>
      <w:pPr>
        <w:pStyle w:val="BodyText"/>
      </w:pPr>
      <w:r>
        <w:rPr>
          <w:bCs/>
          <w:b/>
        </w:rPr>
        <w:t xml:space="preserve">Введение.</w:t>
      </w:r>
      <w:r>
        <w:t xml:space="preserve"> </w:t>
      </w:r>
      <w:r>
        <w:t xml:space="preserve">В настоящее время существует множество задач, при решении которых необходимо</w:t>
      </w:r>
      <w:r>
        <w:t xml:space="preserve"> </w:t>
      </w:r>
      <w:r>
        <w:t xml:space="preserve">применять методы анализа и трансформации программ. Это задачи обеспечения безопасности программ, генерации и</w:t>
      </w:r>
      <w:r>
        <w:t xml:space="preserve"> </w:t>
      </w:r>
      <w:r>
        <w:t xml:space="preserve">верификации исходных кодов, а также обратной инженерии. С целью решения таких задач используются дизассемблеры и декомпиляторы,</w:t>
      </w:r>
      <w:r>
        <w:t xml:space="preserve"> </w:t>
      </w:r>
      <w:r>
        <w:t xml:space="preserve">при работе которых встает целый ряд подзадач, уже имеющих решения на текущий момент. Однако существуют и задачи,</w:t>
      </w:r>
      <w:r>
        <w:t xml:space="preserve"> </w:t>
      </w:r>
      <w:r>
        <w:t xml:space="preserve">требующие более эффективных решений, чем существующие. Одна из таких задач – разделение неопределенных участков программ</w:t>
      </w:r>
      <w:r>
        <w:t xml:space="preserve"> </w:t>
      </w:r>
      <w:r>
        <w:t xml:space="preserve">на код и данные.</w:t>
      </w:r>
    </w:p>
    <w:p>
      <w:pPr>
        <w:pStyle w:val="BodyText"/>
      </w:pPr>
      <w:r>
        <w:t xml:space="preserve">В работе</w:t>
      </w:r>
      <w:r>
        <w:t xml:space="preserve"> </w:t>
      </w:r>
      <w:r>
        <w:t xml:space="preserve"> </w:t>
      </w:r>
      <w:r>
        <w:t xml:space="preserve">описывается результативность существующих методов разделения таких</w:t>
      </w:r>
      <w:r>
        <w:t xml:space="preserve"> </w:t>
      </w:r>
      <w:r>
        <w:t xml:space="preserve">участков, суть которых сводится к сигнатурному анализу, не способному полностью решать</w:t>
      </w:r>
      <w:r>
        <w:t xml:space="preserve"> </w:t>
      </w:r>
      <w:r>
        <w:t xml:space="preserve">поставленную проблему. В данной статье проверяется гипотеза, что однородные</w:t>
      </w:r>
      <w:r>
        <w:t xml:space="preserve"> </w:t>
      </w:r>
      <w:r>
        <w:t xml:space="preserve">Марковские модели первого порядка смогут эффективно моделировать исполнимый код</w:t>
      </w:r>
      <w:r>
        <w:t xml:space="preserve"> </w:t>
      </w:r>
      <w:r>
        <w:t xml:space="preserve">для задачи разделения неопределенных участков программ на код и данные, и исследуется</w:t>
      </w:r>
      <w:r>
        <w:t xml:space="preserve"> </w:t>
      </w:r>
      <w:r>
        <w:t xml:space="preserve">эффективность метода на практике.</w:t>
      </w:r>
    </w:p>
    <w:p>
      <w:pPr>
        <w:pStyle w:val="BodyText"/>
      </w:pPr>
      <w:r>
        <w:rPr>
          <w:bCs/>
          <w:b/>
        </w:rPr>
        <w:t xml:space="preserve">Основной текст.</w:t>
      </w:r>
      <w:r>
        <w:t xml:space="preserve"> </w:t>
      </w:r>
      <w:r>
        <w:t xml:space="preserve">Любую последовательность байт длины более 16, согласно спецификации</w:t>
      </w:r>
      <w:r>
        <w:t xml:space="preserve"> </w:t>
      </w:r>
      <w:r>
        <w:t xml:space="preserve">Intel IA-32</w:t>
      </w:r>
      <w:r>
        <w:t xml:space="preserve"> </w:t>
      </w:r>
      <w:r>
        <w:t xml:space="preserve">,</w:t>
      </w:r>
      <w:r>
        <w:t xml:space="preserve"> </w:t>
      </w:r>
      <w:r>
        <w:t xml:space="preserve">можно дизассемблировать как последовательность команд, причем единственным образом.</w:t>
      </w:r>
      <w:r>
        <w:t xml:space="preserve"> </w:t>
      </w:r>
      <w:r>
        <w:t xml:space="preserve">Если дизассемблирование производить с разных позиций, то появится эффект наложения команд, детально</w:t>
      </w:r>
      <w:r>
        <w:t xml:space="preserve"> </w:t>
      </w:r>
      <w:r>
        <w:t xml:space="preserve">описанный в статье</w:t>
      </w:r>
      <w:r>
        <w:t xml:space="preserve"> </w:t>
      </w:r>
      <w:r>
        <w:t xml:space="preserve"> </w:t>
      </w:r>
      <w:r>
        <w:t xml:space="preserve">, при котором один и тот же байт может входить в несколько исполнимых команд,</w:t>
      </w:r>
      <w:r>
        <w:t xml:space="preserve"> </w:t>
      </w:r>
      <w:r>
        <w:t xml:space="preserve">как показано в табл.</w:t>
      </w:r>
      <w:r>
        <w:t xml:space="preserve"> </w:t>
      </w:r>
      <w:hyperlink w:anchor="tabl:table1">
        <w:r>
          <w:rPr>
            <w:rStyle w:val="Hyperlink"/>
          </w:rPr>
          <w:t xml:space="preserve">[tabl:table1]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наложения команд</w:t>
      </w:r>
    </w:p>
    <w:p>
      <w:pPr>
        <w:pStyle w:val="BodyText"/>
      </w:pPr>
      <w:r>
        <w:t xml:space="preserve">""</w:t>
      </w:r>
    </w:p>
    <w:p>
      <w:pPr>
        <w:pStyle w:val="BodyText"/>
      </w:pPr>
      <w:r>
        <w:t xml:space="preserve">|llccc|</w:t>
      </w:r>
      <w:r>
        <w:t xml:space="preserve"> </w:t>
      </w:r>
      <w:r>
        <w:t xml:space="preserve">&amp; &amp; &amp; &amp;</w:t>
      </w:r>
      <w:r>
        <w:br/>
      </w:r>
      <w:r>
        <w:t xml:space="preserve">&amp; &amp; &amp; &amp;</w:t>
      </w:r>
      <w:r>
        <w:br/>
      </w:r>
      <w:r>
        <w:t xml:space="preserve">&amp; &amp; &amp; &amp;</w:t>
      </w:r>
      <w:r>
        <w:br/>
      </w:r>
      <w:r>
        <w:t xml:space="preserve">&amp; &amp; &amp; &amp;</w:t>
      </w:r>
      <w:r>
        <w:br/>
      </w:r>
      <w:r>
        <w:t xml:space="preserve">&amp; &amp; &amp; &amp;</w:t>
      </w:r>
      <w:r>
        <w:br/>
      </w:r>
      <w:r>
        <w:t xml:space="preserve">&amp; &amp; &amp; &amp;</w:t>
      </w:r>
      <w:r>
        <w:br/>
      </w:r>
      <w:r>
        <w:t xml:space="preserve">&amp; &amp; &amp; &amp;</w:t>
      </w:r>
      <w:r>
        <w:br/>
      </w:r>
      <w:r>
        <w:t xml:space="preserve">&amp; &amp; &amp; &amp; pop esp</w:t>
      </w:r>
      <w:r>
        <w:br/>
      </w:r>
      <w:r>
        <w:t xml:space="preserve">&amp; &amp; &amp; &amp;</w:t>
      </w:r>
      <w:r>
        <w:br/>
      </w:r>
      <w:r>
        <w:t xml:space="preserve">&amp; &amp; &amp; &amp;</w:t>
      </w:r>
      <w:r>
        <w:br/>
      </w:r>
      <w:r>
        <w:t xml:space="preserve">&amp; &amp; &amp; &amp;</w:t>
      </w:r>
      <w:r>
        <w:br/>
      </w:r>
      <w:r>
        <w:t xml:space="preserve">&amp; &amp; &amp; &amp;</w:t>
      </w:r>
      <w:r>
        <w:br/>
      </w:r>
      <w:r>
        <w:t xml:space="preserve">&amp; &amp; &amp; &amp;</w:t>
      </w:r>
      <w:r>
        <w:br/>
      </w:r>
      <w:r>
        <w:t xml:space="preserve">&amp; &amp; &amp; &amp;</w:t>
      </w:r>
      <w:r>
        <w:br/>
      </w:r>
      <w:r>
        <w:t xml:space="preserve">&amp; &amp; &amp; &amp;</w:t>
      </w:r>
      <w:r>
        <w:br/>
      </w:r>
      <w:r>
        <w:t xml:space="preserve">&amp; &amp; &amp; &amp;</w:t>
      </w:r>
      <w:r>
        <w:br/>
      </w:r>
      <w:r>
        <w:br/>
      </w:r>
    </w:p>
    <w:p>
      <w:pPr>
        <w:pStyle w:val="BodyText"/>
      </w:pPr>
      <w:r>
        <w:t xml:space="preserve">Следовательно, одна и та же последовательность байт может формировать различные</w:t>
      </w:r>
      <w:r>
        <w:t xml:space="preserve"> </w:t>
      </w:r>
      <w:r>
        <w:t xml:space="preserve">последовательности исполнимых команд в зависимости от позиции начала дизассемблирования.</w:t>
      </w:r>
      <w:r>
        <w:t xml:space="preserve"> </w:t>
      </w:r>
      <w:r>
        <w:t xml:space="preserve">Указанный факт является основной проблемой в задаче разделения неопределенных участков программ</w:t>
      </w:r>
      <w:r>
        <w:t xml:space="preserve"> </w:t>
      </w:r>
      <w:r>
        <w:t xml:space="preserve">на код и данные, т.к. любой фрагмент данных можно интерпретировать как код, хотя он таковым</w:t>
      </w:r>
      <w:r>
        <w:t xml:space="preserve"> </w:t>
      </w:r>
      <w:r>
        <w:t xml:space="preserve">не является, и при его исполнении на центральном процессоре произойдет ошибка выполнения.</w:t>
      </w:r>
    </w:p>
    <w:p>
      <w:pPr>
        <w:pStyle w:val="BodyText"/>
      </w:pPr>
      <w:r>
        <w:t xml:space="preserve">Так как код программы представляет собой логически завершенную последовательность команд,</w:t>
      </w:r>
      <w:r>
        <w:t xml:space="preserve"> </w:t>
      </w:r>
      <w:r>
        <w:t xml:space="preserve">реализующую конкретный алгоритм на языке высокого уровня, то порядок команд строго фиксирован</w:t>
      </w:r>
      <w:r>
        <w:t xml:space="preserve"> </w:t>
      </w:r>
      <w:r>
        <w:t xml:space="preserve">в цепочке и логически упорядочен. Указанная семантическая особенность команд исполнимого</w:t>
      </w:r>
      <w:r>
        <w:t xml:space="preserve"> </w:t>
      </w:r>
      <w:r>
        <w:t xml:space="preserve">кода является их специфическим отличием от</w:t>
      </w:r>
      <w:r>
        <w:t xml:space="preserve"> </w:t>
      </w:r>
      <w:r>
        <w:t xml:space="preserve">команд, полученных при дизассемблировании случайного фрагмента данных. Аналогично в</w:t>
      </w:r>
      <w:r>
        <w:t xml:space="preserve"> </w:t>
      </w:r>
      <w:r>
        <w:t xml:space="preserve">естественных языках слова в предложениях, как правило, имеют упорядоченность</w:t>
      </w:r>
      <w:r>
        <w:t xml:space="preserve"> </w:t>
      </w:r>
      <w:r>
        <w:t xml:space="preserve">на основе семантики и синтаксиса языка. Некоторые комбинации слов и букв соответствуют</w:t>
      </w:r>
      <w:r>
        <w:t xml:space="preserve"> </w:t>
      </w:r>
      <w:r>
        <w:t xml:space="preserve">различным языкам.</w:t>
      </w:r>
    </w:p>
    <w:p>
      <w:pPr>
        <w:pStyle w:val="BodyText"/>
      </w:pPr>
      <w:r>
        <w:t xml:space="preserve">Пример корректной исполнимой последовательности</w:t>
      </w:r>
      <w:r>
        <w:t xml:space="preserve"> </w:t>
      </w:r>
      <w:r>
        <w:t xml:space="preserve">команд языка Ассемблер представлен в табл.</w:t>
      </w:r>
      <w:r>
        <w:t xml:space="preserve"> </w:t>
      </w:r>
      <w:hyperlink w:anchor="tabl:table2">
        <w:r>
          <w:rPr>
            <w:rStyle w:val="Hyperlink"/>
          </w:rPr>
          <w:t xml:space="preserve">[tabl:table2]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корректной исполнимой последовательности команд</w:t>
      </w:r>
    </w:p>
    <w:p>
      <w:pPr>
        <w:pStyle w:val="BodyText"/>
      </w:pPr>
      <w:r>
        <w:t xml:space="preserve">""</w:t>
      </w:r>
    </w:p>
    <w:p>
      <w:pPr>
        <w:pStyle w:val="BodyText"/>
      </w:pPr>
      <w:r>
        <w:t xml:space="preserve">|c|c|c|</w:t>
      </w:r>
      <w:r>
        <w:t xml:space="preserve"> </w:t>
      </w:r>
      <w:r>
        <w:t xml:space="preserve">Байт код команд &amp; Команда &amp; Значение</w:t>
      </w:r>
      <w:r>
        <w:br/>
      </w:r>
      <w:r>
        <w:t xml:space="preserve">&amp; &amp;</w:t>
      </w:r>
      <w:r>
        <w:br/>
      </w:r>
      <w:r>
        <w:t xml:space="preserve">&amp; &amp;</w:t>
      </w:r>
      <w:r>
        <w:br/>
      </w:r>
      <w:r>
        <w:t xml:space="preserve">&amp; &amp;</w:t>
      </w:r>
      <w:r>
        <w:br/>
      </w:r>
      <w:r>
        <w:t xml:space="preserve">&amp; &amp;</w:t>
      </w:r>
      <w:r>
        <w:br/>
      </w:r>
      <w:r>
        <w:t xml:space="preserve">&amp; &amp;</w:t>
      </w:r>
      <w:r>
        <w:br/>
      </w:r>
      <w:r>
        <w:t xml:space="preserve">&amp; &amp;</w:t>
      </w:r>
      <w:r>
        <w:br/>
      </w:r>
      <w:r>
        <w:t xml:space="preserve">&amp; &amp;</w:t>
      </w:r>
      <w:r>
        <w:br/>
      </w:r>
      <w:r>
        <w:t xml:space="preserve">&amp; &amp;</w:t>
      </w:r>
      <w:r>
        <w:br/>
      </w:r>
      <w:r>
        <w:t xml:space="preserve">&amp; &amp;</w:t>
      </w:r>
      <w:r>
        <w:br/>
      </w:r>
    </w:p>
    <w:p>
      <w:pPr>
        <w:pStyle w:val="BodyText"/>
      </w:pPr>
      <w:r>
        <w:t xml:space="preserve">В приведенной таблице показано, что первые три команды, как правило, представляют начало</w:t>
      </w:r>
      <w:r>
        <w:t xml:space="preserve"> </w:t>
      </w:r>
      <w:r>
        <w:t xml:space="preserve">функции, три «push» и «call» представляют собой вызов функции с передачей ей параметров,</w:t>
      </w:r>
      <w:r>
        <w:t xml:space="preserve"> </w:t>
      </w:r>
      <w:r>
        <w:t xml:space="preserve">а «test» и «je» представляют собой проверку условия и условный переход. Жирным выделены</w:t>
      </w:r>
      <w:r>
        <w:t xml:space="preserve"> </w:t>
      </w:r>
      <w:r>
        <w:t xml:space="preserve">значения в байтовой последовательности, отвечающие за сами команды, оставшиеся байты –</w:t>
      </w:r>
      <w:r>
        <w:t xml:space="preserve"> </w:t>
      </w:r>
      <w:r>
        <w:t xml:space="preserve">параметры команд.</w:t>
      </w:r>
    </w:p>
    <w:p>
      <w:pPr>
        <w:pStyle w:val="BodyText"/>
      </w:pPr>
      <w:r>
        <w:t xml:space="preserve">В лингвистике одним из наиболее успешных методов определения языка по тексту</w:t>
      </w:r>
      <w:r>
        <w:t xml:space="preserve"> </w:t>
      </w:r>
      <w:r>
        <w:t xml:space="preserve">(из конечного числа языков) являются Марковские модели</w:t>
      </w:r>
      <w:r>
        <w:t xml:space="preserve"> </w:t>
      </w:r>
      <w:r>
        <w:t xml:space="preserve">.</w:t>
      </w:r>
      <w:r>
        <w:t xml:space="preserve"> </w:t>
      </w:r>
      <w:r>
        <w:t xml:space="preserve">В данной работе на основе аналогии</w:t>
      </w:r>
      <w:r>
        <w:t xml:space="preserve"> </w:t>
      </w:r>
      <w:r>
        <w:t xml:space="preserve">с методами сравнения естественных языков проверяется</w:t>
      </w:r>
      <w:r>
        <w:t xml:space="preserve"> </w:t>
      </w:r>
      <w:r>
        <w:rPr>
          <w:iCs/>
          <w:i/>
        </w:rPr>
        <w:t xml:space="preserve">гипотеза, что однородные</w:t>
      </w:r>
      <w:r>
        <w:rPr>
          <w:iCs/>
          <w:i/>
        </w:rPr>
        <w:t xml:space="preserve"> </w:t>
      </w:r>
      <w:r>
        <w:rPr>
          <w:iCs/>
          <w:i/>
        </w:rPr>
        <w:t xml:space="preserve">Марковские модели первого порядка смогут эффективно моделировать исполнимый код в задаче</w:t>
      </w:r>
      <w:r>
        <w:rPr>
          <w:iCs/>
          <w:i/>
        </w:rPr>
        <w:t xml:space="preserve"> </w:t>
      </w:r>
      <w:r>
        <w:rPr>
          <w:iCs/>
          <w:i/>
        </w:rPr>
        <w:t xml:space="preserve">разделения неопределенных участков программ на код и данные</w:t>
      </w:r>
      <w:r>
        <w:t xml:space="preserve">.</w:t>
      </w:r>
    </w:p>
    <w:p>
      <w:pPr>
        <w:pStyle w:val="BodyText"/>
      </w:pPr>
      <w:r>
        <w:t xml:space="preserve">За последовательность дискретных случайных величин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примем последовательность команд (без параметров), в которой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т.е. на вероятность появления следующей команды в цепочке влияет только текущая команда.</w:t>
      </w:r>
      <w:r>
        <w:t xml:space="preserve"> </w:t>
      </w:r>
      <w:r>
        <w:t xml:space="preserve">Тогда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образует однородную Марковскую цепь первого порядка, в которой n –</w:t>
      </w:r>
      <w:r>
        <w:t xml:space="preserve"> </w:t>
      </w:r>
      <w:r>
        <w:t xml:space="preserve">номер команды в последовательности. На начальном этапе проверки гипотезы матрицу</w:t>
      </w:r>
      <w:r>
        <w:t xml:space="preserve"> </w:t>
      </w:r>
      <w:r>
        <w:t xml:space="preserve">переходных вероятностей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  <m:r>
              <m:t>j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=</m:t>
            </m:r>
            <m:r>
              <m:t>j</m:t>
            </m:r>
            <m:r>
              <m:rPr>
                <m:sty m:val="p"/>
              </m:rPr>
              <m:t>|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=</m:t>
            </m:r>
            <m:r>
              <m:t>i</m:t>
            </m:r>
          </m:e>
        </m:d>
      </m:oMath>
      <w:r>
        <w:t xml:space="preserve"> </w:t>
      </w:r>
      <w:r>
        <w:t xml:space="preserve">построим на основе серии экспериментов.</w:t>
      </w:r>
      <w:r>
        <w:t xml:space="preserve"> </w:t>
      </w:r>
      <w:r>
        <w:t xml:space="preserve">Тогда, приняв за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sSub>
              <m:e>
                <m:r>
                  <m:t>O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…</m:t>
        </m:r>
        <m:r>
          <m:t>L</m:t>
        </m:r>
      </m:oMath>
      <w:r>
        <w:t xml:space="preserve"> </w:t>
      </w:r>
      <w:r>
        <w:t xml:space="preserve">– тестируемую последовательность</w:t>
      </w:r>
      <w:r>
        <w:t xml:space="preserve"> </w:t>
      </w:r>
      <w:r>
        <w:t xml:space="preserve">команд, которую необходимо классифицировать, вероятность принадлежности ее определенной модели M будет</w:t>
      </w:r>
      <w:r>
        <w:t xml:space="preserve"> </w:t>
      </w:r>
      <w:r>
        <w:t xml:space="preserve">выражаться по формуле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P</m:t>
                    </m:r>
                  </m:e>
                  <m:sub>
                    <m:r>
                      <m:t>M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O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P</m:t>
                    </m:r>
                  </m:e>
                  <m:sub>
                    <m:r>
                      <m:t>M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O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×</m:t>
                </m:r>
                <m:sSub>
                  <m:e>
                    <m:r>
                      <m:t>P</m:t>
                    </m:r>
                  </m:e>
                  <m:sub>
                    <m:r>
                      <m:t>M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O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O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×</m:t>
                </m:r>
                <m:sSub>
                  <m:e>
                    <m:r>
                      <m:t>P</m:t>
                    </m:r>
                  </m:e>
                  <m:sub>
                    <m:r>
                      <m:t>M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O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O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×</m:t>
                </m:r>
                <m:sSub>
                  <m:e>
                    <m:r>
                      <m:t>P</m:t>
                    </m:r>
                  </m:e>
                  <m:sub>
                    <m:r>
                      <m:t>M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O</m:t>
                        </m:r>
                      </m:e>
                      <m:sub>
                        <m:r>
                          <m:t>L</m:t>
                        </m:r>
                      </m:sub>
                    </m:sSub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O</m:t>
                        </m:r>
                      </m:e>
                      <m:sub>
                        <m:r>
                          <m:t>L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Отметим, что если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sSub>
              <m:e>
                <m:r>
                  <m:t>O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представляет собой корректную исполнимую</w:t>
      </w:r>
      <w:r>
        <w:t xml:space="preserve"> </w:t>
      </w:r>
      <w:r>
        <w:t xml:space="preserve">последовательность команд длиной</w:t>
      </w:r>
      <w:r>
        <w:t xml:space="preserve"> </w:t>
      </w:r>
      <m:oMath>
        <m:r>
          <m:t>L</m:t>
        </m:r>
      </m:oMath>
      <w:r>
        <w:t xml:space="preserve">, то существует только одна последовательность байт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sSub>
              <m:e>
                <m:r>
                  <m:t>O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,</w:t>
      </w:r>
      <w:r>
        <w:t xml:space="preserve"> </w:t>
      </w:r>
      <w:r>
        <w:t xml:space="preserve">представляющая эту последовательность.</w:t>
      </w:r>
    </w:p>
    <w:p>
      <w:pPr>
        <w:pStyle w:val="BodyText"/>
      </w:pPr>
      <w:r>
        <w:t xml:space="preserve">Основываясь на том факте, что в теле программы код функции может начинаться в</w:t>
      </w:r>
      <w:r>
        <w:t xml:space="preserve"> </w:t>
      </w:r>
      <w:r>
        <w:t xml:space="preserve">любой позиции файла, можно получить несколько его интерпретаций в виде последовательностей команд.</w:t>
      </w:r>
      <w:r>
        <w:t xml:space="preserve"> </w:t>
      </w:r>
      <w:r>
        <w:t xml:space="preserve">Различие в интерпретации будет определяться позицией дизассемблирования первой команды последовательности.</w:t>
      </w:r>
      <w:r>
        <w:t xml:space="preserve"> </w:t>
      </w:r>
      <w:r>
        <w:t xml:space="preserve">В работе</w:t>
      </w:r>
      <w:r>
        <w:t xml:space="preserve"> </w:t>
      </w:r>
      <w:r>
        <w:t xml:space="preserve"> </w:t>
      </w:r>
      <w:r>
        <w:t xml:space="preserve">изучен и доказан тот факт, что дизассемблированные последовательности команд, начатые</w:t>
      </w:r>
      <w:r>
        <w:t xml:space="preserve"> </w:t>
      </w:r>
      <w:r>
        <w:t xml:space="preserve">с разных позиций файла (как показано в табл.</w:t>
      </w:r>
      <w:r>
        <w:t xml:space="preserve"> </w:t>
      </w:r>
      <w:hyperlink w:anchor="tabl:table1">
        <w:r>
          <w:rPr>
            <w:rStyle w:val="Hyperlink"/>
          </w:rPr>
          <w:t xml:space="preserve">[tabl:table1]</w:t>
        </w:r>
      </w:hyperlink>
      <w:r>
        <w:t xml:space="preserve">), сойдутся с большой вероятностью менее чем через 32</w:t>
      </w:r>
      <w:r>
        <w:t xml:space="preserve"> </w:t>
      </w:r>
      <w:r>
        <w:t xml:space="preserve">байта в одну последовательность. Следовательно, для любого фрагмента программы более 64 байт можно</w:t>
      </w:r>
      <w:r>
        <w:t xml:space="preserve"> </w:t>
      </w:r>
      <w:r>
        <w:t xml:space="preserve">получить последовательность команд</w:t>
      </w:r>
      <m:oMath>
        <m:d>
          <m:dPr>
            <m:begChr m:val="{"/>
            <m:endChr m:val="}"/>
            <m:sepChr m:val=""/>
            <m:grow/>
          </m:dPr>
          <m:e>
            <m:sSub>
              <m:e>
                <m:r>
                  <m:t>O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длиной</w:t>
      </w:r>
      <w:r>
        <w:t xml:space="preserve"> </w:t>
      </w:r>
      <m:oMath>
        <m:r>
          <m:t>L</m:t>
        </m:r>
      </m:oMath>
      <w:r>
        <w:t xml:space="preserve">, из которых</w:t>
      </w:r>
      <w:r>
        <w:t xml:space="preserve"> </w:t>
      </w:r>
      <w:r>
        <w:t xml:space="preserve">первые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&lt;</m:t>
            </m:r>
            <m:r>
              <m:t>32</m:t>
            </m:r>
            <m:r>
              <m:rPr>
                <m:sty m:val="p"/>
              </m:rPr>
              <m:t>&lt;</m:t>
            </m:r>
            <m:r>
              <m:t>L</m:t>
            </m:r>
          </m:e>
        </m:d>
      </m:oMath>
      <w:r>
        <w:t xml:space="preserve"> </w:t>
      </w:r>
      <w:r>
        <w:t xml:space="preserve">будут командами «схождения» (различными командами на одинаковых позициях</w:t>
      </w:r>
      <w:r>
        <w:t xml:space="preserve"> </w:t>
      </w:r>
      <w:r>
        <w:t xml:space="preserve">последовательностей), а оставшиеся</w:t>
      </w:r>
      <w:r>
        <w:t xml:space="preserve"> </w:t>
      </w:r>
      <m:oMath>
        <m:r>
          <m:t>L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команд будут истинными командами последовательности</w:t>
      </w:r>
      <w:r>
        <w:t xml:space="preserve"> </w:t>
      </w:r>
      <w:r>
        <w:t xml:space="preserve">при дизассемблировании. Следовательно, при полном дизассемблировании фрагмента длиной более 64 байт можно</w:t>
      </w:r>
      <w:r>
        <w:t xml:space="preserve"> </w:t>
      </w:r>
      <w:r>
        <w:t xml:space="preserve">с большой вероятностью получить истинную последовательность команд, которую она представляет, либо построить</w:t>
      </w:r>
      <w:r>
        <w:t xml:space="preserve"> </w:t>
      </w:r>
      <w:r>
        <w:t xml:space="preserve">ложную последовательность, не характерную для исполнимых файлов.</w:t>
      </w:r>
    </w:p>
    <w:p>
      <w:pPr>
        <w:pStyle w:val="BodyText"/>
      </w:pPr>
      <w:r>
        <w:rPr>
          <w:bCs/>
          <w:b/>
        </w:rPr>
        <w:t xml:space="preserve">Экспериментальные исследования.</w:t>
      </w:r>
      <w:r>
        <w:t xml:space="preserve"> </w:t>
      </w:r>
      <w:r>
        <w:t xml:space="preserve">Построим модели исполнимых и неисполнимых последовательностей команд.</w:t>
      </w:r>
      <w:r>
        <w:t xml:space="preserve"> </w:t>
      </w:r>
      <w:r>
        <w:t xml:space="preserve">Матрицы переходных вероятностей моделей изначально предлагается строить обучением на основе выборок файлов.</w:t>
      </w:r>
      <w:r>
        <w:t xml:space="preserve"> </w:t>
      </w:r>
      <w:r>
        <w:t xml:space="preserve">Команды обоих видов моделей на первом шаге примем равновероятными. Обучаемую выборку файлов (для построения</w:t>
      </w:r>
      <w:r>
        <w:t xml:space="preserve"> </w:t>
      </w:r>
      <w:r>
        <w:t xml:space="preserve">матриц переходных вероятностей) будут представлять набор из исполнимых файлов формата Windows PE и</w:t>
      </w:r>
      <w:r>
        <w:t xml:space="preserve"> </w:t>
      </w:r>
      <w:r>
        <w:t xml:space="preserve">различные файлы неисполнимых форматов. Согласно проводимому в работе сравнению естественных языков и</w:t>
      </w:r>
      <w:r>
        <w:t xml:space="preserve"> </w:t>
      </w:r>
      <w:r>
        <w:t xml:space="preserve">машинного, по аналогии с разбиением текстов естественных языков на корпуса</w:t>
      </w:r>
      <w:r>
        <w:t xml:space="preserve"> </w:t>
      </w:r>
      <w:r>
        <w:t xml:space="preserve"> </w:t>
      </w:r>
      <w:r>
        <w:t xml:space="preserve">, разделим исполнимые и</w:t>
      </w:r>
      <w:r>
        <w:t xml:space="preserve"> </w:t>
      </w:r>
      <w:r>
        <w:t xml:space="preserve">неисполнимые файлы обучаемой выборки на классы и для каждого класса на основе описанного ниже алгоритма</w:t>
      </w:r>
      <w:r>
        <w:t xml:space="preserve"> </w:t>
      </w:r>
      <w:r>
        <w:t xml:space="preserve">построим языковую модель, представляющую данный класс.</w:t>
      </w:r>
    </w:p>
    <w:p>
      <w:pPr>
        <w:pStyle w:val="BodyText"/>
      </w:pPr>
      <w:r>
        <w:t xml:space="preserve">Для построения матрицы переходных вероятностей модели исполнимых файлов необходимо получить</w:t>
      </w:r>
      <w:r>
        <w:t xml:space="preserve"> </w:t>
      </w:r>
      <w:r>
        <w:t xml:space="preserve">последовательности команд исполнимых файлов. Для этого необходимо построить граф потока управления и</w:t>
      </w:r>
      <w:r>
        <w:t xml:space="preserve"> </w:t>
      </w:r>
      <w:r>
        <w:t xml:space="preserve">команд, начиная с точки входа в программу, и выделить все пути как корректные последовательности</w:t>
      </w:r>
      <w:r>
        <w:t xml:space="preserve"> </w:t>
      </w:r>
      <w:r>
        <w:t xml:space="preserve">команд для обучения модели исполнимых файлов.</w:t>
      </w:r>
    </w:p>
    <w:p>
      <w:pPr>
        <w:pStyle w:val="BodyText"/>
      </w:pPr>
      <w:r>
        <w:t xml:space="preserve">Для проверки, какой модели соответствует тестируемый файл (участок программы),</w:t>
      </w:r>
      <w:r>
        <w:t xml:space="preserve"> </w:t>
      </w:r>
      <w:r>
        <w:t xml:space="preserve">предлагается следующий</w:t>
      </w:r>
      <w:r>
        <w:t xml:space="preserve"> </w:t>
      </w:r>
      <w:r>
        <w:rPr>
          <w:bCs/>
          <w:b/>
        </w:rPr>
        <w:t xml:space="preserve">алгоритм:</w:t>
      </w:r>
    </w:p>
    <w:p>
      <w:pPr>
        <w:numPr>
          <w:ilvl w:val="0"/>
          <w:numId w:val="1001"/>
        </w:numPr>
      </w:pPr>
      <w:r>
        <w:t xml:space="preserve">Для каждой позиции файла строится дизассемблированная команда, начатая в этой позиции (на основе спецификации Intel IA-32</w:t>
      </w:r>
      <w:r>
        <w:t xml:space="preserve"> </w:t>
      </w:r>
      <w:r>
        <w:t xml:space="preserve">).</w:t>
      </w:r>
    </w:p>
    <w:p>
      <w:pPr>
        <w:numPr>
          <w:ilvl w:val="0"/>
          <w:numId w:val="1001"/>
        </w:numPr>
      </w:pPr>
      <w:r>
        <w:t xml:space="preserve">Для каждой позиции файла строится последовательность команд, которая обрывается на позиции, с которой невозможно получить корректную команду.</w:t>
      </w:r>
    </w:p>
    <w:p>
      <w:pPr>
        <w:numPr>
          <w:ilvl w:val="0"/>
          <w:numId w:val="1001"/>
        </w:numPr>
      </w:pPr>
      <w:r>
        <w:t xml:space="preserve">На основе последовательностей, найденных в п. 2, формируются все возможные их подпоследовательности команд</w:t>
      </w:r>
      <w:r>
        <w:t xml:space="preserve"> </w:t>
      </w:r>
      <m:oMath>
        <m:sSub>
          <m:e>
            <m:r>
              <m:t>S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длины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Для каждой подпоследовательности команд</w:t>
      </w:r>
      <w:r>
        <w:t xml:space="preserve"> </w:t>
      </w:r>
      <m:oMath>
        <m:sSub>
          <m:e>
            <m:r>
              <m:t>S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по формуле (</w:t>
      </w:r>
      <w:hyperlink w:anchor="eqn:eq2">
        <w:r>
          <w:rPr>
            <w:rStyle w:val="Hyperlink"/>
          </w:rPr>
          <w:t xml:space="preserve">[eqn:eq2]</w:t>
        </w:r>
      </w:hyperlink>
      <w:r>
        <w:t xml:space="preserve">) вычисляются вероятности соответствия исполнимым классам моделей.</w:t>
      </w:r>
      <w:r>
        <w:t xml:space="preserve"> </w:t>
      </w:r>
      <w:r>
        <w:t xml:space="preserve">Среди всех подпоследовательностей выбирается одна</w:t>
      </w:r>
      <w:r>
        <w:t xml:space="preserve"> </w:t>
      </w:r>
      <m:oMath>
        <m:r>
          <m:t>S</m:t>
        </m:r>
        <m:r>
          <m:rPr>
            <m:sty m:val="p"/>
          </m:rPr>
          <m:t>′</m:t>
        </m:r>
      </m:oMath>
      <w:r>
        <w:t xml:space="preserve">, с самой большой вероятностью для любой модели исполнимого класса.</w:t>
      </w:r>
    </w:p>
    <w:p>
      <w:pPr>
        <w:numPr>
          <w:ilvl w:val="0"/>
          <w:numId w:val="1001"/>
        </w:numPr>
      </w:pPr>
      <w:r>
        <w:t xml:space="preserve">Найденная подпоследовательность</w:t>
      </w:r>
      <w:r>
        <w:t xml:space="preserve"> </w:t>
      </w:r>
      <m:oMath>
        <m:r>
          <m:t>S</m:t>
        </m:r>
        <m:r>
          <m:rPr>
            <m:sty m:val="p"/>
          </m:rPr>
          <m:t>′</m:t>
        </m:r>
      </m:oMath>
      <w:r>
        <w:t xml:space="preserve">, имеющая максимальную вероятность среди исполнимых моделей на файл (наилучший</w:t>
      </w:r>
      <w:r>
        <w:t xml:space="preserve"> </w:t>
      </w:r>
      <w:r>
        <w:t xml:space="preserve">кандидат на исполнимую последовательность команд), аналогично п. 4 проверяется на соответствие оставшимся моделям неисполнимых классов.</w:t>
      </w:r>
    </w:p>
    <w:p>
      <w:pPr>
        <w:numPr>
          <w:ilvl w:val="0"/>
          <w:numId w:val="1001"/>
        </w:numPr>
      </w:pPr>
      <w:r>
        <w:t xml:space="preserve">Подпоследовательность команд</w:t>
      </w:r>
      <w:r>
        <w:t xml:space="preserve"> </w:t>
      </w:r>
      <m:oMath>
        <m:r>
          <m:t>S</m:t>
        </m:r>
        <m:r>
          <m:rPr>
            <m:sty m:val="p"/>
          </m:rPr>
          <m:t>′</m:t>
        </m:r>
      </m:oMath>
      <w:r>
        <w:t xml:space="preserve"> </w:t>
      </w:r>
      <w:r>
        <w:t xml:space="preserve">будем считать исполнимой, если она наиболее вероятна какому-нибудь классу</w:t>
      </w:r>
      <w:r>
        <w:t xml:space="preserve"> </w:t>
      </w:r>
      <w:r>
        <w:t xml:space="preserve">исполнимой модели, иначе она считается неисполнимой.</w:t>
      </w:r>
    </w:p>
    <w:p>
      <w:pPr>
        <w:numPr>
          <w:ilvl w:val="0"/>
          <w:numId w:val="1001"/>
        </w:numPr>
      </w:pPr>
      <w:r>
        <w:t xml:space="preserve">Тестируемый фрагмент файла, участок программы будем считать исполнимым,</w:t>
      </w:r>
      <w:r>
        <w:t xml:space="preserve"> </w:t>
      </w:r>
      <w:r>
        <w:t xml:space="preserve">если S’ была принята за исполнимую подпоследовательность, иначе – не исполнимым.</w:t>
      </w:r>
    </w:p>
    <w:p>
      <w:pPr>
        <w:pStyle w:val="FirstParagraph"/>
      </w:pPr>
      <w:r>
        <w:t xml:space="preserve">Описанный алгоритм позволяет классифицировать неопределенные участки программ на код и данные.</w:t>
      </w:r>
      <w:r>
        <w:t xml:space="preserve"> </w:t>
      </w:r>
      <w:r>
        <w:t xml:space="preserve">Минимальная длина подпоследовательности команд, которая</w:t>
      </w:r>
      <w:r>
        <w:t xml:space="preserve"> </w:t>
      </w:r>
      <w:r>
        <w:t xml:space="preserve">используется при классификации, определяется экспериментально.</w:t>
      </w:r>
    </w:p>
    <w:p>
      <w:pPr>
        <w:pStyle w:val="BodyText"/>
      </w:pPr>
      <w:r>
        <w:rPr>
          <w:bCs/>
          <w:b/>
        </w:rPr>
        <w:t xml:space="preserve">Подготовка выборки файлов для обучения моделей.</w:t>
      </w:r>
      <w:r>
        <w:t xml:space="preserve"> </w:t>
      </w:r>
      <w:r>
        <w:t xml:space="preserve">Для формирования моделей было отобрано 23126</w:t>
      </w:r>
      <w:r>
        <w:t xml:space="preserve"> </w:t>
      </w:r>
      <w:r>
        <w:t xml:space="preserve">исполнимых и 62883 неисполнимых файлов. С помощью средства PeID (сигнатурный детектор компиляторов и упаковщиков программ</w:t>
      </w:r>
      <w:r>
        <w:t xml:space="preserve"> </w:t>
      </w:r>
      <w:r>
        <w:t xml:space="preserve"> </w:t>
      </w:r>
      <w:r>
        <w:t xml:space="preserve">)</w:t>
      </w:r>
      <w:r>
        <w:t xml:space="preserve"> </w:t>
      </w:r>
      <w:r>
        <w:t xml:space="preserve">вся выборка исполнимых файлов была разделена на 13 классов. Неисполнимая выборка была разделена по формату файлов на 3 класса.</w:t>
      </w:r>
      <w:r>
        <w:t xml:space="preserve"> </w:t>
      </w:r>
      <w:r>
        <w:t xml:space="preserve">Тестируемую выборку представлял набор из 30 файлов, не входящих в обучаемую: 15 исполнимых и 15 неисполнимых форматов.</w:t>
      </w:r>
      <w:r>
        <w:t xml:space="preserve"> </w:t>
      </w:r>
      <w:r>
        <w:t xml:space="preserve">В моделях было 342 уникальные команды.</w:t>
      </w:r>
    </w:p>
    <w:p>
      <w:pPr>
        <w:pStyle w:val="BodyText"/>
      </w:pPr>
      <w:r>
        <w:rPr>
          <w:bCs/>
          <w:b/>
        </w:rPr>
        <w:t xml:space="preserve">Условия эксперимента.</w:t>
      </w:r>
      <w:r>
        <w:t xml:space="preserve"> </w:t>
      </w:r>
      <w:r>
        <w:t xml:space="preserve">Для проведения экспериментов использовался алгоритм, описанный выше, с тем изменением,</w:t>
      </w:r>
      <w:r>
        <w:t xml:space="preserve"> </w:t>
      </w:r>
      <w:r>
        <w:t xml:space="preserve">что сначала длина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находилась экспериментально. Алгоритм прекращал работу, как только все файлы обучаемой выборки</w:t>
      </w:r>
      <w:r>
        <w:t xml:space="preserve"> </w:t>
      </w:r>
      <w:r>
        <w:t xml:space="preserve">успешно классифицируются. Было установлено, что при</w:t>
      </w:r>
      <w:r>
        <w:t xml:space="preserve"> </w:t>
      </w:r>
      <m:oMath>
        <m:r>
          <m:t>T</m:t>
        </m:r>
        <m:r>
          <m:rPr>
            <m:sty m:val="p"/>
          </m:rPr>
          <m:t>&gt;</m:t>
        </m:r>
        <m:r>
          <m:t>30</m:t>
        </m:r>
      </m:oMath>
      <w:r>
        <w:t xml:space="preserve"> </w:t>
      </w:r>
      <w:r>
        <w:t xml:space="preserve">обучаемая выборка успешно классифицируется.</w:t>
      </w:r>
    </w:p>
    <w:p>
      <w:pPr>
        <w:pStyle w:val="BodyText"/>
      </w:pPr>
      <w:r>
        <w:t xml:space="preserve">При построении матриц переходных вероятностей моделей на основе встречаемости команд в подпоследовательностях возможен</w:t>
      </w:r>
      <w:r>
        <w:t xml:space="preserve"> </w:t>
      </w:r>
      <w:r>
        <w:t xml:space="preserve">случай, когда паросочетание команд встречается в одной модели и отсутствует в другой. Согласно свойствам матриц переходных</w:t>
      </w:r>
      <w:r>
        <w:t xml:space="preserve"> </w:t>
      </w:r>
      <w:r>
        <w:t xml:space="preserve">вероятностей,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H</m:t>
            </m:r>
          </m:sup>
          <m:e>
            <m:sSub>
              <m:e>
                <m:r>
                  <m:t>P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nary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∀</m:t>
        </m:r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 </w:t>
      </w:r>
      <w:r>
        <w:t xml:space="preserve">для каждого</w:t>
      </w:r>
      <w:r>
        <w:t xml:space="preserve"> </w:t>
      </w:r>
      <m:oMath>
        <m:r>
          <m:t>j</m:t>
        </m:r>
      </m:oMath>
      <w:r>
        <w:t xml:space="preserve">, где H – общее количество уникальных команд.</w:t>
      </w:r>
      <w:r>
        <w:t xml:space="preserve"> </w:t>
      </w:r>
      <w:r>
        <w:t xml:space="preserve">После нахождения частот встречаемости паросочетаний команд, каждая модель</w:t>
      </w:r>
      <w:r>
        <w:t xml:space="preserve"> </w:t>
      </w:r>
      <w:r>
        <w:t xml:space="preserve">дополняется нулями для соответствующих пар, далее матрица переходных вероятностей</w:t>
      </w:r>
      <w:r>
        <w:t xml:space="preserve"> </w:t>
      </w:r>
      <w:r>
        <w:t xml:space="preserve">нормируется и приводится к стохастическому виду. При нормировании используется формула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P</m:t>
                </m:r>
                <m:sSub>
                  <m:e>
                    <m:r>
                      <m:rPr>
                        <m:sty m:val="p"/>
                      </m:rPr>
                      <m:t>′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  <m:r>
                  <m:rPr>
                    <m:sty m:val="p"/>
                  </m:rPr>
                  <m:t>×</m:t>
                </m:r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×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– коэффициент нормирования; М – количество различных уникальных команд в цепочках.</w:t>
      </w:r>
    </w:p>
    <w:p>
      <w:pPr>
        <w:pStyle w:val="BodyText"/>
      </w:pPr>
      <w:r>
        <w:t xml:space="preserve">В табл.</w:t>
      </w:r>
      <w:r>
        <w:t xml:space="preserve"> </w:t>
      </w:r>
      <w:hyperlink w:anchor="tabl:table3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представлена нормированная и приведенная к стохастическому виду матрица переходных</w:t>
      </w:r>
      <w:r>
        <w:t xml:space="preserve"> </w:t>
      </w:r>
      <w:r>
        <w:t xml:space="preserve">вероятностей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  <m:r>
              <m:t>j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для Марковской модели последовательности команд из табл.</w:t>
      </w:r>
      <w:r>
        <w:t xml:space="preserve"> </w:t>
      </w:r>
      <w:hyperlink w:anchor="tabl:table2">
        <w:r>
          <w:rPr>
            <w:rStyle w:val="Hyperlink"/>
          </w:rPr>
          <w:t xml:space="preserve">[tabl:table2]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матрица переходных вероятностей</w:t>
      </w:r>
    </w:p>
    <w:p>
      <w:pPr>
        <w:pStyle w:val="BodyText"/>
      </w:pPr>
      <w:r>
        <w:t xml:space="preserve">""</w:t>
      </w:r>
    </w:p>
    <w:bookmarkStart w:id="20" w:name="tabl:table3"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2-7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push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sub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0,063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0,063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0,063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0,063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0,063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0,063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0,167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0,167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0,167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0,167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0,167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0,167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0,063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0,063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0,063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0,063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0,688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0,063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push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0,239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0,022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0,239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0,457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0,022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0,063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0,063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0,063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0,063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0,688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0,063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0,063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0,063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0,688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0,063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0,063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0,063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0,063</w:t>
            </w:r>
          </w:p>
        </w:tc>
      </w:tr>
    </w:tbl>
    <w:bookmarkEnd w:id="20"/>
    <w:p>
      <w:pPr>
        <w:pStyle w:val="BodyText"/>
      </w:pPr>
      <w:r>
        <w:t xml:space="preserve">Нормирование матриц является необходимым действием при построении моделей, иначе вероятность</w:t>
      </w:r>
      <w:r>
        <w:t xml:space="preserve"> </w:t>
      </w:r>
      <w:r>
        <w:t xml:space="preserve">подпоследовательности, вычисляемая по формуле (</w:t>
      </w:r>
      <w:hyperlink w:anchor="eqn:eq2">
        <w:r>
          <w:rPr>
            <w:rStyle w:val="Hyperlink"/>
          </w:rPr>
          <w:t xml:space="preserve">[eqn:eq2]</w:t>
        </w:r>
      </w:hyperlink>
      <w:r>
        <w:t xml:space="preserve">), станет равной 0 как только</w:t>
      </w:r>
      <w:r>
        <w:t xml:space="preserve"> </w:t>
      </w:r>
      <w:r>
        <w:t xml:space="preserve">встретится одно из паросочетаний команд, отсутствующее в модели.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O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t>o</m:t>
                    </m:r>
                    <m:r>
                      <m:t>v</m:t>
                    </m:r>
                    <m:r>
                      <m:rPr>
                        <m:sty m:val="p"/>
                      </m:rPr>
                      <m:t>|</m:t>
                    </m:r>
                    <m:r>
                      <m:t>p</m:t>
                    </m:r>
                    <m:r>
                      <m:t>u</m:t>
                    </m:r>
                    <m:r>
                      <m:t>s</m:t>
                    </m:r>
                    <m:r>
                      <m:t>h</m:t>
                    </m:r>
                  </m:e>
                </m:d>
                <m:r>
                  <m:rPr>
                    <m:sty m:val="p"/>
                  </m:rPr>
                  <m:t>×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s</m:t>
                    </m:r>
                    <m:r>
                      <m:t>u</m:t>
                    </m:r>
                    <m:r>
                      <m:t>b</m:t>
                    </m:r>
                    <m:r>
                      <m:rPr>
                        <m:sty m:val="p"/>
                      </m:rPr>
                      <m:t>|</m:t>
                    </m:r>
                    <m:r>
                      <m:t>m</m:t>
                    </m:r>
                    <m:r>
                      <m:t>o</m:t>
                    </m:r>
                    <m:r>
                      <m:t>v</m:t>
                    </m:r>
                  </m:e>
                </m:d>
                <m:r>
                  <m:rPr>
                    <m:sty m:val="p"/>
                  </m:rPr>
                  <m:t>×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t>u</m:t>
                    </m:r>
                    <m:r>
                      <m:t>s</m:t>
                    </m:r>
                    <m:r>
                      <m:t>h</m:t>
                    </m:r>
                    <m:r>
                      <m:rPr>
                        <m:sty m:val="p"/>
                      </m:rPr>
                      <m:t>|</m:t>
                    </m:r>
                    <m:r>
                      <m:t>s</m:t>
                    </m:r>
                    <m:r>
                      <m:t>u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×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t>u</m:t>
                    </m:r>
                    <m:r>
                      <m:t>s</m:t>
                    </m:r>
                    <m:r>
                      <m:t>h</m:t>
                    </m:r>
                    <m:r>
                      <m:rPr>
                        <m:sty m:val="p"/>
                      </m:rPr>
                      <m:t>|</m:t>
                    </m:r>
                    <m:r>
                      <m:t>p</m:t>
                    </m:r>
                    <m:r>
                      <m:t>u</m:t>
                    </m:r>
                    <m:r>
                      <m:t>s</m:t>
                    </m:r>
                    <m:r>
                      <m:t>h</m:t>
                    </m:r>
                  </m:e>
                </m:d>
                <m:r>
                  <m:rPr>
                    <m:sty m:val="p"/>
                  </m:rPr>
                  <m:t>×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t>u</m:t>
                    </m:r>
                    <m:r>
                      <m:t>s</m:t>
                    </m:r>
                    <m:r>
                      <m:t>h</m:t>
                    </m:r>
                    <m:r>
                      <m:rPr>
                        <m:sty m:val="p"/>
                      </m:rPr>
                      <m:t>|</m:t>
                    </m:r>
                    <m:r>
                      <m:t>p</m:t>
                    </m:r>
                    <m:r>
                      <m:t>u</m:t>
                    </m:r>
                    <m:r>
                      <m:t>s</m:t>
                    </m:r>
                    <m:r>
                      <m:t>h</m:t>
                    </m:r>
                  </m:e>
                </m:d>
                <m:r>
                  <m:rPr>
                    <m:sty m:val="p"/>
                  </m:rPr>
                  <m:t>×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t>a</m:t>
                    </m:r>
                    <m:r>
                      <m:t>l</m:t>
                    </m:r>
                    <m:r>
                      <m:t>l</m:t>
                    </m:r>
                    <m:r>
                      <m:rPr>
                        <m:sty m:val="p"/>
                      </m:rPr>
                      <m:t>|</m:t>
                    </m:r>
                    <m:r>
                      <m:t>p</m:t>
                    </m:r>
                    <m:r>
                      <m:t>u</m:t>
                    </m:r>
                    <m:r>
                      <m:t>s</m:t>
                    </m:r>
                    <m:r>
                      <m:t>h</m:t>
                    </m:r>
                  </m:e>
                </m:d>
                <m:r>
                  <m:rPr>
                    <m:sty m:val="p"/>
                  </m:rPr>
                  <m:t>×</m:t>
                </m:r>
              </m:e>
            </m:mr>
            <m:mr>
              <m:e>
                <m:r>
                  <m:rPr>
                    <m:sty m:val="p"/>
                  </m:rPr>
                  <m:t>×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t>e</m:t>
                    </m:r>
                    <m:r>
                      <m:t>s</m:t>
                    </m:r>
                    <m:r>
                      <m:t>t</m:t>
                    </m:r>
                    <m:r>
                      <m:rPr>
                        <m:sty m:val="p"/>
                      </m:rPr>
                      <m:t>|</m:t>
                    </m:r>
                    <m:r>
                      <m:t>c</m:t>
                    </m:r>
                    <m:r>
                      <m:t>a</m:t>
                    </m:r>
                    <m:r>
                      <m:t>l</m:t>
                    </m:r>
                    <m:r>
                      <m:t>l</m:t>
                    </m:r>
                  </m:e>
                </m:d>
                <m:r>
                  <m:rPr>
                    <m:sty m:val="p"/>
                  </m:rPr>
                  <m:t>×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j</m:t>
                    </m:r>
                    <m:r>
                      <m:t>e</m:t>
                    </m:r>
                    <m:r>
                      <m:rPr>
                        <m:sty m:val="p"/>
                      </m:rPr>
                      <m:t>|</m:t>
                    </m:r>
                    <m:r>
                      <m:t>t</m:t>
                    </m:r>
                    <m:r>
                      <m:t>e</m:t>
                    </m:r>
                    <m:r>
                      <m:t>s</m:t>
                    </m:r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239</m:t>
                </m:r>
                <m:r>
                  <m:rPr>
                    <m:sty m:val="p"/>
                  </m:rPr>
                  <m:t>×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688</m:t>
                </m:r>
                <m:r>
                  <m:rPr>
                    <m:sty m:val="p"/>
                  </m:rPr>
                  <m:t>×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688</m:t>
                </m:r>
                <m:r>
                  <m:rPr>
                    <m:sty m:val="p"/>
                  </m:rPr>
                  <m:t>×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457</m:t>
                </m:r>
                <m:r>
                  <m:rPr>
                    <m:sty m:val="p"/>
                  </m:rPr>
                  <m:t>×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457</m:t>
                </m:r>
                <m:r>
                  <m:rPr>
                    <m:sty m:val="p"/>
                  </m:rPr>
                  <m:t>×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239</m:t>
                </m:r>
                <m:r>
                  <m:rPr>
                    <m:sty m:val="p"/>
                  </m:rPr>
                  <m:t>×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688</m:t>
                </m:r>
                <m:r>
                  <m:rPr>
                    <m:sty m:val="p"/>
                  </m:rPr>
                  <m:t>×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688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003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В табл.</w:t>
      </w:r>
      <w:r>
        <w:t xml:space="preserve"> </w:t>
      </w:r>
      <w:hyperlink w:anchor="tabl:table4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приведены значения вероятностей соответствия построенной модели</w:t>
      </w:r>
      <w:r>
        <w:t xml:space="preserve"> </w:t>
      </w:r>
      <w:r>
        <w:t xml:space="preserve">различным последовательностям команд.</w:t>
      </w:r>
    </w:p>
    <w:p>
      <w:pPr>
        <w:pStyle w:val="BodyText"/>
      </w:pPr>
      <w:r>
        <w:rPr>
          <w:bCs/>
          <w:b/>
        </w:rPr>
        <w:t xml:space="preserve">соответствия различных последовательностей</w:t>
      </w:r>
    </w:p>
    <w:p>
      <w:pPr>
        <w:pStyle w:val="BodyText"/>
      </w:pPr>
      <w:r>
        <w:t xml:space="preserve">""</w:t>
      </w:r>
    </w:p>
    <w:bookmarkStart w:id="21" w:name="tabl:table4"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>
            <w:gridSpan w:val="9"/>
          </w:tcPr>
          <w:p>
            <w:pPr>
              <w:pStyle w:val="Compact"/>
              <w:jc w:val="center"/>
            </w:pPr>
            <w:r>
              <w:t xml:space="preserve">Последовательности команд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Команды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push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sub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call</w:t>
            </w:r>
          </w:p>
        </w:tc>
        <w:tc>
          <w:tcPr>
            <w:vMerge w:val="restart"/>
          </w:tcPr>
          <w:p>
            <w:pPr>
              <w:pStyle w:val="Compact"/>
              <w:jc w:val="center"/>
            </w:pPr>
            <w:r>
              <w:t xml:space="preserve">2E-08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1-10</w:t>
            </w:r>
            <w:r>
              <w:t xml:space="preserve"> </w:t>
            </w:r>
            <m:oMath>
              <m:sSub>
                <m:e>
                  <m:r>
                    <m:t>P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0,167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0,167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0,239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0,063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0,063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0,063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0,167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0,063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Команды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push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call</w:t>
            </w:r>
          </w:p>
        </w:tc>
        <w:tc>
          <w:tcPr>
            <w:vMerge w:val="restart"/>
          </w:tcPr>
          <w:p>
            <w:pPr>
              <w:pStyle w:val="Compact"/>
              <w:jc w:val="center"/>
            </w:pPr>
            <w:r>
              <w:t xml:space="preserve">1E-08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1-10</w:t>
            </w:r>
            <w:r>
              <w:t xml:space="preserve"> </w:t>
            </w:r>
            <m:oMath>
              <m:sSub>
                <m:e>
                  <m:r>
                    <m:t>P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0,167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0,022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0,167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0,063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0,167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0,063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0,167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0,167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>
            <w:gridSpan w:val="1"/>
            <w:vMerge w:val="continue"/>
          </w:tcPr>
          <w:p>
            <w:pPr/>
          </w:p>
        </w:tc>
      </w:tr>
    </w:tbl>
    <w:bookmarkEnd w:id="21"/>
    <w:p>
      <w:pPr>
        <w:pStyle w:val="BodyText"/>
      </w:pPr>
      <w:r>
        <w:t xml:space="preserve">На основе приведенного примера в табл.</w:t>
      </w:r>
      <w:r>
        <w:t xml:space="preserve"> </w:t>
      </w:r>
      <w:hyperlink w:anchor="tabl:table2">
        <w:r>
          <w:rPr>
            <w:rStyle w:val="Hyperlink"/>
          </w:rPr>
          <w:t xml:space="preserve">[tabl:table2]</w:t>
        </w:r>
      </w:hyperlink>
      <w:r>
        <w:t xml:space="preserve"> </w:t>
      </w:r>
      <w:r>
        <w:t xml:space="preserve">можно сделать вывод о том, что модель,</w:t>
      </w:r>
      <w:r>
        <w:t xml:space="preserve"> </w:t>
      </w:r>
      <w:r>
        <w:t xml:space="preserve">построенная по алгоритму, способна классифицировать неопределенные участки программ</w:t>
      </w:r>
      <w:r>
        <w:t xml:space="preserve"> </w:t>
      </w:r>
      <w:r>
        <w:t xml:space="preserve">на код и данные. С целью проверки данного вывода и модели была проведена серия экспериментов.</w:t>
      </w:r>
    </w:p>
    <w:p>
      <w:pPr>
        <w:pStyle w:val="BodyText"/>
      </w:pPr>
      <w:r>
        <w:rPr>
          <w:bCs/>
          <w:b/>
        </w:rPr>
        <w:t xml:space="preserve">Результаты.</w:t>
      </w:r>
      <w:r>
        <w:t xml:space="preserve"> </w:t>
      </w:r>
      <w:r>
        <w:t xml:space="preserve">В табл.</w:t>
      </w:r>
      <w:r>
        <w:t xml:space="preserve"> </w:t>
      </w:r>
      <w:hyperlink w:anchor="tabl:table5">
        <w:r>
          <w:rPr>
            <w:rStyle w:val="Hyperlink"/>
          </w:rPr>
          <w:t xml:space="preserve">[tabl:table5]</w:t>
        </w:r>
      </w:hyperlink>
      <w:r>
        <w:t xml:space="preserve"> </w:t>
      </w:r>
      <w:r>
        <w:t xml:space="preserve">представлен результат экспериментов.</w:t>
      </w:r>
    </w:p>
    <w:p>
      <w:pPr>
        <w:pStyle w:val="BodyText"/>
      </w:pPr>
      <w:r>
        <w:t xml:space="preserve">В представленной таблице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– наименьшая длина подцепочки, при которой хотя</w:t>
      </w:r>
      <w:r>
        <w:t xml:space="preserve"> </w:t>
      </w:r>
      <w:r>
        <w:t xml:space="preserve">бы один файл тестируемой выборки успешно классифицировался. Значение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представляет</w:t>
      </w:r>
      <w:r>
        <w:t xml:space="preserve"> </w:t>
      </w:r>
      <w:r>
        <w:t xml:space="preserve">собой минимальное</w:t>
      </w:r>
      <w:r>
        <w:t xml:space="preserve"> </w:t>
      </w:r>
      <m:oMath>
        <m:r>
          <m:t>T</m:t>
        </m:r>
      </m:oMath>
      <w:r>
        <w:t xml:space="preserve">, при котором все файлы тестируемой выборки успешно классифицировались.</w:t>
      </w:r>
      <w:r>
        <w:t xml:space="preserve"> </w:t>
      </w:r>
      <w:r>
        <w:t xml:space="preserve">Таблица отражает тот факт, что у исполнимых файлов встречаются паросочетания команд, вероятность</w:t>
      </w:r>
      <w:r>
        <w:t xml:space="preserve"> </w:t>
      </w:r>
      <w:r>
        <w:t xml:space="preserve">которых максимальна для исполнимых классов моделей и минимальна для неисполнимых. В то же время</w:t>
      </w:r>
      <w:r>
        <w:t xml:space="preserve"> </w:t>
      </w:r>
      <w:r>
        <w:t xml:space="preserve">существуют и такие комбинации команд, при которых неисполнимый файл на длинных последовательностях</w:t>
      </w:r>
      <w:r>
        <w:t xml:space="preserve"> </w:t>
      </w:r>
      <w:r>
        <w:t xml:space="preserve">классифицируется как исполнимый. В табл.</w:t>
      </w:r>
      <w:r>
        <w:t xml:space="preserve"> </w:t>
      </w:r>
      <w:hyperlink w:anchor="tabl:table6">
        <w:r>
          <w:rPr>
            <w:rStyle w:val="Hyperlink"/>
          </w:rPr>
          <w:t xml:space="preserve">[tabl:table6]</w:t>
        </w:r>
      </w:hyperlink>
      <w:r>
        <w:t xml:space="preserve"> </w:t>
      </w:r>
      <w:r>
        <w:t xml:space="preserve">представлен ход работы алгоритма на файле «3.doc» из табл.</w:t>
      </w:r>
      <w:r>
        <w:t xml:space="preserve"> </w:t>
      </w:r>
      <w:hyperlink w:anchor="tabl:table5">
        <w:r>
          <w:rPr>
            <w:rStyle w:val="Hyperlink"/>
          </w:rPr>
          <w:t xml:space="preserve">[tabl:table5]</w:t>
        </w:r>
      </w:hyperlink>
      <w:r>
        <w:t xml:space="preserve">.</w:t>
      </w:r>
    </w:p>
    <w:p>
      <w:pPr>
        <w:pStyle w:val="BodyText"/>
      </w:pPr>
      <w:r>
        <w:t xml:space="preserve">В приведенной таблице показано, что согласно алгоритму поиска подпоследовательности команд</w:t>
      </w:r>
      <w:r>
        <w:t xml:space="preserve"> </w:t>
      </w:r>
      <w:r>
        <w:t xml:space="preserve">с максимальной вероятностью находятся случайные команды в файле, исполнимое представление которых</w:t>
      </w:r>
      <w:r>
        <w:t xml:space="preserve"> </w:t>
      </w:r>
      <w:r>
        <w:t xml:space="preserve">в виде команд дает большие значения на исполнимых моделях, что при очень больших размерах файла</w:t>
      </w:r>
      <w:r>
        <w:t xml:space="preserve"> </w:t>
      </w:r>
      <w:r>
        <w:t xml:space="preserve">может давать неверные результаты.</w:t>
      </w:r>
    </w:p>
    <w:p>
      <w:pPr>
        <w:pStyle w:val="BodyText"/>
      </w:pPr>
      <w:r>
        <w:rPr>
          <w:bCs/>
          <w:b/>
        </w:rPr>
        <w:t xml:space="preserve">Выводы.</w:t>
      </w:r>
      <w:r>
        <w:t xml:space="preserve"> </w:t>
      </w:r>
      <w:r>
        <w:t xml:space="preserve">Алгоритм классифицирования неопределенных участков программ, основанный на</w:t>
      </w:r>
      <w:r>
        <w:t xml:space="preserve"> </w:t>
      </w:r>
      <w:r>
        <w:t xml:space="preserve">основе однородных Марковских цепей и построенный как языковая модель исполнимого кода, успешно</w:t>
      </w:r>
      <w:r>
        <w:t xml:space="preserve"> </w:t>
      </w:r>
      <w:r>
        <w:t xml:space="preserve">работает в решении задачи гарантированного выделения только исполнимых команд из общей выборки.</w:t>
      </w:r>
      <w:r>
        <w:t xml:space="preserve"> </w:t>
      </w:r>
      <w:r>
        <w:t xml:space="preserve">Но в общем случае при решении задачи разделения неопределенных участков программ его необходимо</w:t>
      </w:r>
      <w:r>
        <w:t xml:space="preserve"> </w:t>
      </w:r>
      <w:r>
        <w:t xml:space="preserve">усилить более качественной исходной выборкой данных, а также выделить из всего набора исполнимых</w:t>
      </w:r>
      <w:r>
        <w:t xml:space="preserve"> </w:t>
      </w:r>
      <w:r>
        <w:t xml:space="preserve">команд наиболее значимые для построения модели каждого класса.</w:t>
      </w:r>
    </w:p>
    <w:p>
      <w:pPr>
        <w:pStyle w:val="BodyText"/>
      </w:pPr>
      <w:r>
        <w:rPr>
          <w:bCs/>
          <w:b/>
        </w:rPr>
        <w:t xml:space="preserve">Эдель Дмитрий Александрович</w:t>
      </w:r>
    </w:p>
    <w:p>
      <w:pPr>
        <w:pStyle w:val="BodyText"/>
      </w:pPr>
      <w:r>
        <w:t xml:space="preserve">Научный сотрудник ФГНУ НИИ «Спецвузавтоматика», г. Ростов-на-Дону.</w:t>
      </w:r>
    </w:p>
    <w:p>
      <w:pPr>
        <w:pStyle w:val="BodyText"/>
      </w:pPr>
      <w:r>
        <w:t xml:space="preserve">Тел.: 8 (863) 201-28-22</w:t>
      </w:r>
    </w:p>
    <w:p>
      <w:pPr>
        <w:pStyle w:val="BodyText"/>
      </w:pPr>
      <w:r>
        <w:t xml:space="preserve">Эл. адрес: sva@rsu.ru</w:t>
      </w:r>
    </w:p>
    <w:p>
      <w:pPr>
        <w:pStyle w:val="BodyText"/>
      </w:pPr>
      <w:r>
        <w:t xml:space="preserve">""</w:t>
      </w:r>
    </w:p>
    <w:p>
      <w:pPr>
        <w:pStyle w:val="BodyText"/>
      </w:pPr>
      <w:r>
        <w:t xml:space="preserve">D.А. Edel</w:t>
      </w:r>
    </w:p>
    <w:p>
      <w:pPr>
        <w:pStyle w:val="BodyText"/>
      </w:pPr>
      <w:r>
        <w:rPr>
          <w:bCs/>
          <w:b/>
        </w:rPr>
        <w:t xml:space="preserve">Language model of binary codes</w:t>
      </w:r>
    </w:p>
    <w:p>
      <w:pPr>
        <w:pStyle w:val="BodyText"/>
      </w:pPr>
      <w:r>
        <w:t xml:space="preserve">""</w:t>
      </w:r>
    </w:p>
    <w:p>
      <w:pPr>
        <w:pStyle w:val="BodyText"/>
      </w:pPr>
      <w:r>
        <w:t xml:space="preserve">Current paper proposes comparison of the words of natural and machine languages based on the</w:t>
      </w:r>
      <w:r>
        <w:t xml:space="preserve"> </w:t>
      </w:r>
      <w:r>
        <w:t xml:space="preserve">language model of executable code. This language model is constructed on basis of homogenous Markov</w:t>
      </w:r>
      <w:r>
        <w:t xml:space="preserve"> </w:t>
      </w:r>
      <w:r>
        <w:t xml:space="preserve">chains. The results of experimental studies of proposed model are also provided.</w:t>
      </w:r>
    </w:p>
    <w:p>
      <w:pPr>
        <w:pStyle w:val="BodyText"/>
      </w:pPr>
      <w:r>
        <w:rPr>
          <w:bCs/>
          <w:b/>
        </w:rPr>
        <w:t xml:space="preserve">Keywords:</w:t>
      </w:r>
      <w:r>
        <w:t xml:space="preserve"> </w:t>
      </w:r>
      <w:r>
        <w:t xml:space="preserve">Machine code, Markov chain, gap completion.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2023-11-21T18:02:09Z</dcterms:created>
  <dcterms:modified xsi:type="dcterms:W3CDTF">2023-11-21T18:02:09Z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biblio.bib</vt:lpwstr>
  </property>
</Properties>
</file>