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837" w:rsidRPr="00151A86" w:rsidRDefault="00151A86" w:rsidP="00151A86">
      <w:pPr>
        <w:pStyle w:val="1"/>
        <w:spacing w:after="120"/>
        <w:jc w:val="center"/>
        <w:rPr>
          <w:lang w:val="ru-RU"/>
        </w:rPr>
      </w:pPr>
      <w:r>
        <w:rPr>
          <w:lang w:val="ru-RU"/>
        </w:rPr>
        <w:t>Патентный поиск</w:t>
      </w:r>
      <w:r w:rsidR="006C3446">
        <w:rPr>
          <w:lang w:val="ru-RU"/>
        </w:rPr>
        <w:t>.</w:t>
      </w:r>
    </w:p>
    <w:tbl>
      <w:tblPr>
        <w:tblStyle w:val="a8"/>
        <w:tblW w:w="15163" w:type="dxa"/>
        <w:tblLayout w:type="fixed"/>
        <w:tblLook w:val="04A0"/>
      </w:tblPr>
      <w:tblGrid>
        <w:gridCol w:w="988"/>
        <w:gridCol w:w="1984"/>
        <w:gridCol w:w="2552"/>
        <w:gridCol w:w="7796"/>
        <w:gridCol w:w="1843"/>
      </w:tblGrid>
      <w:tr w:rsidR="00151A86" w:rsidRPr="00BC1C93" w:rsidTr="00810225">
        <w:tc>
          <w:tcPr>
            <w:tcW w:w="988" w:type="dxa"/>
          </w:tcPr>
          <w:p w:rsidR="00151A86" w:rsidRPr="008C3A54" w:rsidRDefault="00151A86" w:rsidP="00810225">
            <w:pPr>
              <w:rPr>
                <w:lang w:val="ru-RU"/>
              </w:rPr>
            </w:pPr>
            <w:r w:rsidRPr="008C3A54">
              <w:rPr>
                <w:lang w:val="ru-RU"/>
              </w:rPr>
              <w:t>Предмет поиска</w:t>
            </w:r>
          </w:p>
        </w:tc>
        <w:tc>
          <w:tcPr>
            <w:tcW w:w="1984" w:type="dxa"/>
          </w:tcPr>
          <w:p w:rsidR="00151A86" w:rsidRPr="008C3A54" w:rsidRDefault="00151A86" w:rsidP="00810225">
            <w:pPr>
              <w:rPr>
                <w:lang w:val="ru-RU"/>
              </w:rPr>
            </w:pPr>
            <w:r w:rsidRPr="008C3A54">
              <w:rPr>
                <w:lang w:val="ru-RU"/>
              </w:rPr>
              <w:t>Страна выдачи и номер охранного документа, классификационный индекс</w:t>
            </w:r>
          </w:p>
        </w:tc>
        <w:tc>
          <w:tcPr>
            <w:tcW w:w="2552" w:type="dxa"/>
          </w:tcPr>
          <w:p w:rsidR="00151A86" w:rsidRPr="008C3A54" w:rsidRDefault="00151A86" w:rsidP="00810225">
            <w:pPr>
              <w:rPr>
                <w:lang w:val="ru-RU"/>
              </w:rPr>
            </w:pPr>
            <w:r w:rsidRPr="008C3A54">
              <w:rPr>
                <w:lang w:val="ru-RU"/>
              </w:rPr>
              <w:t>Заявитель с указанием страны, номер заявки, дата приоритета, конвенционный приоритет, дата публикации</w:t>
            </w:r>
          </w:p>
        </w:tc>
        <w:tc>
          <w:tcPr>
            <w:tcW w:w="7796" w:type="dxa"/>
          </w:tcPr>
          <w:p w:rsidR="00151A86" w:rsidRPr="008C3A54" w:rsidRDefault="00151A86" w:rsidP="00810225">
            <w:pPr>
              <w:rPr>
                <w:lang w:val="ru-RU"/>
              </w:rPr>
            </w:pPr>
            <w:r w:rsidRPr="008C3A54">
              <w:rPr>
                <w:lang w:val="ru-RU"/>
              </w:rPr>
              <w:t>Сущность заявленного технического решения и цели создания (по описанию изобретения или опубликованной заявке)</w:t>
            </w:r>
          </w:p>
        </w:tc>
        <w:tc>
          <w:tcPr>
            <w:tcW w:w="1843" w:type="dxa"/>
          </w:tcPr>
          <w:p w:rsidR="00151A86" w:rsidRPr="008C3A54" w:rsidRDefault="00151A86" w:rsidP="00810225">
            <w:pPr>
              <w:rPr>
                <w:lang w:val="ru-RU"/>
              </w:rPr>
            </w:pPr>
            <w:r>
              <w:rPr>
                <w:lang w:val="ru-RU"/>
              </w:rPr>
              <w:t>Сведения действительного документа или причина аннулирования</w:t>
            </w:r>
          </w:p>
        </w:tc>
      </w:tr>
      <w:tr w:rsidR="00151A86" w:rsidRPr="008C3A54" w:rsidTr="00810225">
        <w:tc>
          <w:tcPr>
            <w:tcW w:w="988" w:type="dxa"/>
          </w:tcPr>
          <w:p w:rsidR="00151A86" w:rsidRPr="008C3A54" w:rsidRDefault="00151A86" w:rsidP="00810225">
            <w:pPr>
              <w:rPr>
                <w:lang w:val="ru-RU"/>
              </w:rPr>
            </w:pPr>
            <w:r>
              <w:rPr>
                <w:lang w:val="ru-RU"/>
              </w:rPr>
              <w:t>1</w:t>
            </w:r>
          </w:p>
        </w:tc>
        <w:tc>
          <w:tcPr>
            <w:tcW w:w="1984" w:type="dxa"/>
          </w:tcPr>
          <w:p w:rsidR="00151A86" w:rsidRPr="008C3A54" w:rsidRDefault="00151A86" w:rsidP="00810225">
            <w:pPr>
              <w:rPr>
                <w:lang w:val="ru-RU"/>
              </w:rPr>
            </w:pPr>
            <w:r>
              <w:rPr>
                <w:lang w:val="ru-RU"/>
              </w:rPr>
              <w:t>2</w:t>
            </w:r>
          </w:p>
        </w:tc>
        <w:tc>
          <w:tcPr>
            <w:tcW w:w="2552" w:type="dxa"/>
          </w:tcPr>
          <w:p w:rsidR="00151A86" w:rsidRPr="008C3A54" w:rsidRDefault="00151A86" w:rsidP="00810225">
            <w:pPr>
              <w:rPr>
                <w:lang w:val="ru-RU"/>
              </w:rPr>
            </w:pPr>
            <w:r>
              <w:rPr>
                <w:lang w:val="ru-RU"/>
              </w:rPr>
              <w:t>3</w:t>
            </w:r>
          </w:p>
        </w:tc>
        <w:tc>
          <w:tcPr>
            <w:tcW w:w="7796" w:type="dxa"/>
          </w:tcPr>
          <w:p w:rsidR="00151A86" w:rsidRPr="008C3A54" w:rsidRDefault="00151A86" w:rsidP="00810225">
            <w:pPr>
              <w:rPr>
                <w:lang w:val="ru-RU"/>
              </w:rPr>
            </w:pPr>
            <w:r>
              <w:rPr>
                <w:lang w:val="ru-RU"/>
              </w:rPr>
              <w:t>4</w:t>
            </w:r>
          </w:p>
        </w:tc>
        <w:tc>
          <w:tcPr>
            <w:tcW w:w="1843" w:type="dxa"/>
          </w:tcPr>
          <w:p w:rsidR="00151A86" w:rsidRPr="008C3A54" w:rsidRDefault="00151A86" w:rsidP="00810225">
            <w:pPr>
              <w:rPr>
                <w:lang w:val="ru-RU"/>
              </w:rPr>
            </w:pPr>
            <w:r>
              <w:rPr>
                <w:lang w:val="ru-RU"/>
              </w:rPr>
              <w:t>5</w:t>
            </w:r>
          </w:p>
        </w:tc>
      </w:tr>
      <w:tr w:rsidR="00151A86" w:rsidRPr="0075416D" w:rsidTr="00810225">
        <w:tc>
          <w:tcPr>
            <w:tcW w:w="988" w:type="dxa"/>
          </w:tcPr>
          <w:p w:rsidR="00151A86" w:rsidRPr="00F24840" w:rsidRDefault="00151A86" w:rsidP="00810225"/>
        </w:tc>
        <w:tc>
          <w:tcPr>
            <w:tcW w:w="1984" w:type="dxa"/>
          </w:tcPr>
          <w:p w:rsidR="00151A86" w:rsidRDefault="00583025" w:rsidP="00810225">
            <w:r>
              <w:t>RU 2226316 C2</w:t>
            </w:r>
          </w:p>
          <w:p w:rsidR="00151A86" w:rsidRPr="0075416D" w:rsidRDefault="00583025" w:rsidP="00583025">
            <w:pPr>
              <w:jc w:val="left"/>
            </w:pPr>
            <w:r w:rsidRPr="00583025">
              <w:t>H04B 7/26</w:t>
            </w:r>
          </w:p>
        </w:tc>
        <w:tc>
          <w:tcPr>
            <w:tcW w:w="2552" w:type="dxa"/>
          </w:tcPr>
          <w:p w:rsidR="00583025" w:rsidRPr="00583025" w:rsidRDefault="00583025" w:rsidP="00583025">
            <w:pPr>
              <w:rPr>
                <w:lang w:val="ru-RU"/>
              </w:rPr>
            </w:pPr>
            <w:proofErr w:type="spellStart"/>
            <w:r w:rsidRPr="00583025">
              <w:rPr>
                <w:lang w:val="ru-RU"/>
              </w:rPr>
              <w:t>Бутович</w:t>
            </w:r>
            <w:proofErr w:type="spellEnd"/>
            <w:r w:rsidRPr="00583025">
              <w:rPr>
                <w:lang w:val="ru-RU"/>
              </w:rPr>
              <w:t xml:space="preserve"> Петер (</w:t>
            </w:r>
            <w:r>
              <w:t>SE</w:t>
            </w:r>
            <w:r w:rsidRPr="00583025">
              <w:rPr>
                <w:lang w:val="ru-RU"/>
              </w:rPr>
              <w:t>),</w:t>
            </w:r>
          </w:p>
          <w:p w:rsidR="00583025" w:rsidRPr="00583025" w:rsidRDefault="00583025" w:rsidP="00583025">
            <w:pPr>
              <w:rPr>
                <w:lang w:val="ru-RU"/>
              </w:rPr>
            </w:pPr>
            <w:proofErr w:type="spellStart"/>
            <w:r w:rsidRPr="00583025">
              <w:rPr>
                <w:lang w:val="ru-RU"/>
              </w:rPr>
              <w:t>Торнберг</w:t>
            </w:r>
            <w:proofErr w:type="spellEnd"/>
            <w:r w:rsidRPr="00583025">
              <w:rPr>
                <w:lang w:val="ru-RU"/>
              </w:rPr>
              <w:t xml:space="preserve"> Карл </w:t>
            </w:r>
            <w:proofErr w:type="spellStart"/>
            <w:r w:rsidRPr="00583025">
              <w:rPr>
                <w:lang w:val="ru-RU"/>
              </w:rPr>
              <w:t>Магнус</w:t>
            </w:r>
            <w:proofErr w:type="spellEnd"/>
            <w:r w:rsidRPr="00583025">
              <w:rPr>
                <w:lang w:val="ru-RU"/>
              </w:rPr>
              <w:t xml:space="preserve"> (</w:t>
            </w:r>
            <w:r>
              <w:t>JP</w:t>
            </w:r>
            <w:r w:rsidRPr="00583025">
              <w:rPr>
                <w:lang w:val="ru-RU"/>
              </w:rPr>
              <w:t>),</w:t>
            </w:r>
          </w:p>
          <w:p w:rsidR="00583025" w:rsidRPr="00583025" w:rsidRDefault="00583025" w:rsidP="00583025">
            <w:pPr>
              <w:rPr>
                <w:lang w:val="ru-RU"/>
              </w:rPr>
            </w:pPr>
            <w:proofErr w:type="spellStart"/>
            <w:r w:rsidRPr="00583025">
              <w:rPr>
                <w:lang w:val="ru-RU"/>
              </w:rPr>
              <w:t>Сунделин</w:t>
            </w:r>
            <w:proofErr w:type="spellEnd"/>
            <w:r w:rsidRPr="00583025">
              <w:rPr>
                <w:lang w:val="ru-RU"/>
              </w:rPr>
              <w:t xml:space="preserve"> </w:t>
            </w:r>
            <w:proofErr w:type="spellStart"/>
            <w:r w:rsidRPr="00583025">
              <w:rPr>
                <w:lang w:val="ru-RU"/>
              </w:rPr>
              <w:t>Магнус</w:t>
            </w:r>
            <w:proofErr w:type="spellEnd"/>
            <w:r w:rsidRPr="00583025">
              <w:rPr>
                <w:lang w:val="ru-RU"/>
              </w:rPr>
              <w:t xml:space="preserve"> (</w:t>
            </w:r>
            <w:r>
              <w:t>SE</w:t>
            </w:r>
            <w:r w:rsidRPr="00583025">
              <w:rPr>
                <w:lang w:val="ru-RU"/>
              </w:rPr>
              <w:t>),</w:t>
            </w:r>
          </w:p>
          <w:p w:rsidR="00151A86" w:rsidRPr="00583025" w:rsidRDefault="00583025" w:rsidP="00583025">
            <w:pPr>
              <w:widowControl/>
              <w:rPr>
                <w:lang w:val="ru-RU"/>
              </w:rPr>
            </w:pPr>
            <w:proofErr w:type="spellStart"/>
            <w:r w:rsidRPr="00583025">
              <w:rPr>
                <w:lang w:val="ru-RU"/>
              </w:rPr>
              <w:t>Кнутссон</w:t>
            </w:r>
            <w:proofErr w:type="spellEnd"/>
            <w:r w:rsidRPr="00583025">
              <w:rPr>
                <w:lang w:val="ru-RU"/>
              </w:rPr>
              <w:t xml:space="preserve"> </w:t>
            </w:r>
            <w:proofErr w:type="spellStart"/>
            <w:r w:rsidRPr="00583025">
              <w:rPr>
                <w:lang w:val="ru-RU"/>
              </w:rPr>
              <w:t>Йенс</w:t>
            </w:r>
            <w:proofErr w:type="spellEnd"/>
            <w:r w:rsidRPr="00583025">
              <w:rPr>
                <w:lang w:val="ru-RU"/>
              </w:rPr>
              <w:t xml:space="preserve"> (</w:t>
            </w:r>
            <w:r>
              <w:t>SE</w:t>
            </w:r>
            <w:r w:rsidRPr="00583025">
              <w:rPr>
                <w:lang w:val="ru-RU"/>
              </w:rPr>
              <w:t>)</w:t>
            </w:r>
          </w:p>
          <w:p w:rsidR="00583025" w:rsidRPr="00583025" w:rsidRDefault="00583025" w:rsidP="00583025">
            <w:pPr>
              <w:widowControl/>
              <w:rPr>
                <w:lang w:val="ru-RU"/>
              </w:rPr>
            </w:pPr>
            <w:r w:rsidRPr="00583025">
              <w:rPr>
                <w:lang w:val="ru-RU"/>
              </w:rPr>
              <w:t>Заявка: 2000128045/09, 26.03.1999</w:t>
            </w:r>
          </w:p>
          <w:p w:rsidR="00583025" w:rsidRPr="00583025" w:rsidRDefault="00583025" w:rsidP="00583025">
            <w:pPr>
              <w:widowControl/>
              <w:rPr>
                <w:lang w:val="ru-RU"/>
              </w:rPr>
            </w:pPr>
            <w:r w:rsidRPr="00583025">
              <w:rPr>
                <w:lang w:val="ru-RU"/>
              </w:rPr>
              <w:t>Конвенционный приоритет:</w:t>
            </w:r>
          </w:p>
          <w:p w:rsidR="00583025" w:rsidRPr="00583025" w:rsidRDefault="00583025" w:rsidP="00583025">
            <w:pPr>
              <w:widowControl/>
              <w:jc w:val="left"/>
              <w:rPr>
                <w:lang w:val="ru-RU"/>
              </w:rPr>
            </w:pPr>
            <w:r w:rsidRPr="00583025">
              <w:rPr>
                <w:lang w:val="ru-RU"/>
              </w:rPr>
              <w:t xml:space="preserve">07.04.1998 </w:t>
            </w:r>
            <w:r>
              <w:t>US</w:t>
            </w:r>
            <w:r w:rsidRPr="00583025">
              <w:rPr>
                <w:lang w:val="ru-RU"/>
              </w:rPr>
              <w:t xml:space="preserve"> 09/055,781</w:t>
            </w:r>
          </w:p>
          <w:p w:rsidR="00583025" w:rsidRPr="00583025" w:rsidRDefault="00BE429E" w:rsidP="00583025">
            <w:pPr>
              <w:widowControl/>
              <w:jc w:val="left"/>
              <w:rPr>
                <w:lang w:val="ru-RU"/>
              </w:rPr>
            </w:pPr>
            <w:r w:rsidRPr="00BE429E">
              <w:rPr>
                <w:lang w:val="ru-RU"/>
              </w:rPr>
              <w:t>Опубликовано: 27.03.200</w:t>
            </w:r>
          </w:p>
        </w:tc>
        <w:tc>
          <w:tcPr>
            <w:tcW w:w="7796" w:type="dxa"/>
          </w:tcPr>
          <w:p w:rsidR="009B565F" w:rsidRPr="009B565F" w:rsidRDefault="009B565F" w:rsidP="00810225">
            <w:pPr>
              <w:rPr>
                <w:lang w:val="ru-RU"/>
              </w:rPr>
            </w:pPr>
            <w:r w:rsidRPr="009B565F">
              <w:rPr>
                <w:lang w:val="ru-RU"/>
              </w:rPr>
              <w:t>УПРАВЛЕНИЕ МОЩНОСТЬЮ В НИСХОДЯЩЕЙ ЛИНИИ СВЯЗИ В СОТОВОЙ МОБИЛЬНОЙ СИСТЕМЕ СВЯЗИ</w:t>
            </w:r>
            <w:r>
              <w:rPr>
                <w:lang w:val="ru-RU"/>
              </w:rPr>
              <w:t>.</w:t>
            </w:r>
          </w:p>
          <w:p w:rsidR="00151A86" w:rsidRPr="00583025" w:rsidRDefault="00583025" w:rsidP="00810225">
            <w:r w:rsidRPr="00583025">
              <w:rPr>
                <w:lang w:val="ru-RU"/>
              </w:rPr>
              <w:t xml:space="preserve">Изобретение относится к сотовым телефонным системам. Мощность передачи от базовой станции к мобильной станции предпочтительно управляется. Базовая станция принимает сигнал от мобильной станции и определяет отношение сигнала к помехе (ОСП), связанное с принимаемым сигналом. Базовая станция управляет своей мощностью передачи к мобильной станции с использованием определенной величины ОСП вместе с командой управления мощностью передачи, принимаемой от мобильной станции. Когда мобильная станция находится в процессе гибкого переключения каналов связи с участием двух или более базовых станций, каждая из этих базовых станций определяет величину ОСП, связанную с сигналом, принимаемым от мобильной станции. Кроме того, каждая из базовых станций управляет своей соответствующей мощностью, используя как команду управления мощностью, принимаемую от мобильной станции, так и ОСП, определяемое этой базовой станцией. Аналогичным образом, когда мобильная станция находится в процессе более гибкого переключения каналов связи, с участием двух или более секторов одной базовой станции, определяется ОСП, связанное с сигналом, принимаемым от мобильной станции в каждом из этих секторов базовой станции, и полученное ОСП используется для управления соответствующей мощностью каждого сектора базовой станции вместе с командой управления мощностью, принимаемой от мобильной станции. Технический результат заключается в управлении мощностью без обратной связи при управлении мощностью в нисходящей линии связи в процессе гибкого переключения каналов связи. </w:t>
            </w:r>
            <w:r w:rsidRPr="00583025">
              <w:t xml:space="preserve">4 с. и 17 </w:t>
            </w:r>
            <w:proofErr w:type="spellStart"/>
            <w:r w:rsidRPr="00583025">
              <w:t>з.п</w:t>
            </w:r>
            <w:proofErr w:type="spellEnd"/>
            <w:r w:rsidRPr="00583025">
              <w:t>. ф-</w:t>
            </w:r>
            <w:proofErr w:type="spellStart"/>
            <w:r w:rsidRPr="00583025">
              <w:t>лы</w:t>
            </w:r>
            <w:proofErr w:type="spellEnd"/>
            <w:r w:rsidRPr="00583025">
              <w:t xml:space="preserve">, 11 </w:t>
            </w:r>
            <w:proofErr w:type="spellStart"/>
            <w:r w:rsidRPr="00583025">
              <w:t>ил</w:t>
            </w:r>
            <w:proofErr w:type="spellEnd"/>
            <w:r w:rsidRPr="00583025">
              <w:t>.</w:t>
            </w:r>
          </w:p>
        </w:tc>
        <w:tc>
          <w:tcPr>
            <w:tcW w:w="1843" w:type="dxa"/>
          </w:tcPr>
          <w:p w:rsidR="00151A86" w:rsidRPr="00583025" w:rsidRDefault="00583025" w:rsidP="00810225">
            <w:pPr>
              <w:rPr>
                <w:lang w:val="ru-RU"/>
              </w:rPr>
            </w:pPr>
            <w:r>
              <w:rPr>
                <w:lang w:val="ru-RU"/>
              </w:rPr>
              <w:t>Не действует.</w:t>
            </w:r>
          </w:p>
        </w:tc>
      </w:tr>
      <w:tr w:rsidR="00151A86" w:rsidRPr="0075416D" w:rsidTr="00810225">
        <w:tc>
          <w:tcPr>
            <w:tcW w:w="988" w:type="dxa"/>
          </w:tcPr>
          <w:p w:rsidR="00151A86" w:rsidRPr="00C95FAA" w:rsidRDefault="00151A86" w:rsidP="00810225">
            <w:pPr>
              <w:rPr>
                <w:lang w:val="ru-RU"/>
              </w:rPr>
            </w:pPr>
          </w:p>
        </w:tc>
        <w:tc>
          <w:tcPr>
            <w:tcW w:w="1984" w:type="dxa"/>
          </w:tcPr>
          <w:p w:rsidR="00151A86" w:rsidRPr="001F1D07" w:rsidRDefault="00626C0C" w:rsidP="00C95FAA">
            <w:pPr>
              <w:jc w:val="left"/>
            </w:pPr>
            <w:r>
              <w:t xml:space="preserve">RU </w:t>
            </w:r>
            <w:r>
              <w:rPr>
                <w:lang w:val="ru-RU"/>
              </w:rPr>
              <w:t>2237380 С2</w:t>
            </w:r>
            <w:r w:rsidR="00151A86" w:rsidRPr="001F1D07">
              <w:br/>
            </w:r>
            <w:r w:rsidRPr="00626C0C">
              <w:t>H04Q 7/38</w:t>
            </w:r>
          </w:p>
        </w:tc>
        <w:tc>
          <w:tcPr>
            <w:tcW w:w="2552" w:type="dxa"/>
          </w:tcPr>
          <w:p w:rsidR="00626C0C" w:rsidRPr="00626C0C" w:rsidRDefault="00626C0C" w:rsidP="00626C0C">
            <w:pPr>
              <w:rPr>
                <w:lang w:val="ru-RU"/>
              </w:rPr>
            </w:pPr>
            <w:proofErr w:type="spellStart"/>
            <w:r w:rsidRPr="00626C0C">
              <w:rPr>
                <w:lang w:val="ru-RU"/>
              </w:rPr>
              <w:t>Эдвардссон</w:t>
            </w:r>
            <w:proofErr w:type="spellEnd"/>
            <w:r w:rsidRPr="00626C0C">
              <w:rPr>
                <w:lang w:val="ru-RU"/>
              </w:rPr>
              <w:t xml:space="preserve"> Мария (</w:t>
            </w:r>
            <w:r>
              <w:t>SE</w:t>
            </w:r>
            <w:r w:rsidRPr="00626C0C">
              <w:rPr>
                <w:lang w:val="ru-RU"/>
              </w:rPr>
              <w:t>),</w:t>
            </w:r>
          </w:p>
          <w:p w:rsidR="00626C0C" w:rsidRPr="00626C0C" w:rsidRDefault="00626C0C" w:rsidP="00626C0C">
            <w:pPr>
              <w:rPr>
                <w:lang w:val="ru-RU"/>
              </w:rPr>
            </w:pPr>
            <w:proofErr w:type="spellStart"/>
            <w:r w:rsidRPr="00626C0C">
              <w:rPr>
                <w:lang w:val="ru-RU"/>
              </w:rPr>
              <w:t>Дальман</w:t>
            </w:r>
            <w:proofErr w:type="spellEnd"/>
            <w:r w:rsidRPr="00626C0C">
              <w:rPr>
                <w:lang w:val="ru-RU"/>
              </w:rPr>
              <w:t xml:space="preserve"> Эрик (</w:t>
            </w:r>
            <w:r>
              <w:t>SE</w:t>
            </w:r>
            <w:r w:rsidRPr="00626C0C">
              <w:rPr>
                <w:lang w:val="ru-RU"/>
              </w:rPr>
              <w:t>),</w:t>
            </w:r>
          </w:p>
          <w:p w:rsidR="00151A86" w:rsidRDefault="00626C0C" w:rsidP="00626C0C">
            <w:pPr>
              <w:rPr>
                <w:lang w:val="ru-RU"/>
              </w:rPr>
            </w:pPr>
            <w:proofErr w:type="spellStart"/>
            <w:r>
              <w:t>Беминг</w:t>
            </w:r>
            <w:proofErr w:type="spellEnd"/>
            <w:r>
              <w:t xml:space="preserve"> </w:t>
            </w:r>
            <w:proofErr w:type="spellStart"/>
            <w:r>
              <w:t>Пер</w:t>
            </w:r>
            <w:proofErr w:type="spellEnd"/>
            <w:r>
              <w:t xml:space="preserve"> (SE)</w:t>
            </w:r>
          </w:p>
          <w:p w:rsidR="009B565F" w:rsidRDefault="009B565F" w:rsidP="00626C0C">
            <w:pPr>
              <w:rPr>
                <w:lang w:val="ru-RU"/>
              </w:rPr>
            </w:pPr>
            <w:r w:rsidRPr="009B565F">
              <w:rPr>
                <w:lang w:val="ru-RU"/>
              </w:rPr>
              <w:t>Заявка: 2001112114/09, 17.08.1999</w:t>
            </w:r>
          </w:p>
          <w:p w:rsidR="009B565F" w:rsidRPr="009B565F" w:rsidRDefault="009B565F" w:rsidP="009B565F">
            <w:pPr>
              <w:rPr>
                <w:lang w:val="ru-RU"/>
              </w:rPr>
            </w:pPr>
            <w:r w:rsidRPr="009B565F">
              <w:rPr>
                <w:lang w:val="ru-RU"/>
              </w:rPr>
              <w:lastRenderedPageBreak/>
              <w:t>Конвенционный приоритет:</w:t>
            </w:r>
          </w:p>
          <w:p w:rsidR="009B565F" w:rsidRDefault="009B565F" w:rsidP="009B565F">
            <w:pPr>
              <w:jc w:val="left"/>
              <w:rPr>
                <w:lang w:val="ru-RU"/>
              </w:rPr>
            </w:pPr>
            <w:r w:rsidRPr="009B565F">
              <w:rPr>
                <w:lang w:val="ru-RU"/>
              </w:rPr>
              <w:t>05.10.1998 US 09/166,679</w:t>
            </w:r>
          </w:p>
          <w:p w:rsidR="009B565F" w:rsidRPr="009B565F" w:rsidRDefault="00BE429E" w:rsidP="009B565F">
            <w:pPr>
              <w:jc w:val="left"/>
              <w:rPr>
                <w:lang w:val="ru-RU"/>
              </w:rPr>
            </w:pPr>
            <w:r>
              <w:rPr>
                <w:lang w:val="ru-RU"/>
              </w:rPr>
              <w:t>Опубликовано</w:t>
            </w:r>
            <w:r w:rsidR="009B565F" w:rsidRPr="009B565F">
              <w:rPr>
                <w:lang w:val="ru-RU"/>
              </w:rPr>
              <w:t>: 27.05.2003</w:t>
            </w:r>
          </w:p>
        </w:tc>
        <w:tc>
          <w:tcPr>
            <w:tcW w:w="7796" w:type="dxa"/>
          </w:tcPr>
          <w:p w:rsidR="009B565F" w:rsidRPr="009B565F" w:rsidRDefault="009B565F" w:rsidP="00810225">
            <w:pPr>
              <w:rPr>
                <w:lang w:val="ru-RU"/>
              </w:rPr>
            </w:pPr>
            <w:r w:rsidRPr="009B565F">
              <w:rPr>
                <w:lang w:val="ru-RU"/>
              </w:rPr>
              <w:lastRenderedPageBreak/>
              <w:t>СЛУЧАЙНЫЙ ДОСТУП В МОБИЛЬНОЙ СИСТЕМЕ СВЯЗИ</w:t>
            </w:r>
            <w:r>
              <w:rPr>
                <w:lang w:val="ru-RU"/>
              </w:rPr>
              <w:t>.</w:t>
            </w:r>
          </w:p>
          <w:p w:rsidR="00151A86" w:rsidRPr="00583025" w:rsidRDefault="009B565F" w:rsidP="00810225">
            <w:r w:rsidRPr="009B565F">
              <w:rPr>
                <w:lang w:val="ru-RU"/>
              </w:rPr>
              <w:t xml:space="preserve">Заявлен способ обработки множества запросов случайного доступа, в котором базовая станция передает сигнал указателя обнаружения, который указывает на то, что базовая станция обнаружила присутствие передачи случайного доступа. Указатель обнаружения может быть сформирован на основе величины энергии, </w:t>
            </w:r>
            <w:r w:rsidRPr="009B565F">
              <w:rPr>
                <w:lang w:val="ru-RU"/>
              </w:rPr>
              <w:lastRenderedPageBreak/>
              <w:t xml:space="preserve">принятой по каналу случайного доступа (например, в противоположность корректному или некорректному декодированию сообщения случайного доступа). Вследствие этого задержка между началом передачи случайного доступа и началом передач указателя обнаружения значительно меньше, чем задержка до начала передачи сигнала подтверждения приема на основе приема корректно декодированного сообщения случайного доступа. Если мобильная станция не принимает положительный указатель обнаружения, она должна прерывать передачу и начинать повторную передачу пакета случайного доступа в следующем временном интервале при соответствующем изменении уровня мощности передачи между последовательными повторными передачами. Технический результат состоит в том, что в системе случайного доступа быстрее реализуется цикл пилообразного изменения мощности; задержка случайного доступа значительно снижается, что улучшает характеристики системы; снижается риск избыточных помех для других пользователей. </w:t>
            </w:r>
            <w:r w:rsidRPr="009B565F">
              <w:t xml:space="preserve">4 н. и 28 </w:t>
            </w:r>
            <w:proofErr w:type="spellStart"/>
            <w:r w:rsidRPr="009B565F">
              <w:t>з.п.ф-лы</w:t>
            </w:r>
            <w:proofErr w:type="spellEnd"/>
            <w:r w:rsidRPr="009B565F">
              <w:t xml:space="preserve">, 8 </w:t>
            </w:r>
            <w:proofErr w:type="spellStart"/>
            <w:r w:rsidRPr="009B565F">
              <w:t>ил</w:t>
            </w:r>
            <w:proofErr w:type="spellEnd"/>
            <w:r w:rsidRPr="009B565F">
              <w:t>.</w:t>
            </w:r>
          </w:p>
        </w:tc>
        <w:tc>
          <w:tcPr>
            <w:tcW w:w="1843" w:type="dxa"/>
          </w:tcPr>
          <w:p w:rsidR="00151A86" w:rsidRPr="009B565F" w:rsidRDefault="009B565F" w:rsidP="00810225">
            <w:pPr>
              <w:rPr>
                <w:lang w:val="ru-RU"/>
              </w:rPr>
            </w:pPr>
            <w:r>
              <w:rPr>
                <w:lang w:val="ru-RU"/>
              </w:rPr>
              <w:lastRenderedPageBreak/>
              <w:t>Действует.</w:t>
            </w:r>
          </w:p>
        </w:tc>
      </w:tr>
      <w:tr w:rsidR="00151A86" w:rsidRPr="00C95FAA" w:rsidTr="00810225">
        <w:tc>
          <w:tcPr>
            <w:tcW w:w="988" w:type="dxa"/>
          </w:tcPr>
          <w:p w:rsidR="00151A86" w:rsidRPr="0075416D" w:rsidRDefault="00151A86" w:rsidP="00810225"/>
        </w:tc>
        <w:tc>
          <w:tcPr>
            <w:tcW w:w="1984" w:type="dxa"/>
          </w:tcPr>
          <w:p w:rsidR="00151A86" w:rsidRPr="00F2340F" w:rsidRDefault="00C95FAA" w:rsidP="00C95FAA">
            <w:pPr>
              <w:jc w:val="left"/>
              <w:rPr>
                <w:rFonts w:ascii="Arial" w:hAnsi="Arial" w:cs="Arial"/>
                <w:b/>
                <w:bCs/>
                <w:color w:val="999999"/>
                <w:sz w:val="27"/>
                <w:szCs w:val="27"/>
                <w:shd w:val="clear" w:color="auto" w:fill="FFFFFF"/>
              </w:rPr>
            </w:pPr>
            <w:r>
              <w:t>RU 2226315</w:t>
            </w:r>
            <w:r w:rsidR="00151A86" w:rsidRPr="00F2340F">
              <w:br/>
            </w:r>
            <w:r w:rsidRPr="00C95FAA">
              <w:t>H04B 7/26</w:t>
            </w:r>
          </w:p>
        </w:tc>
        <w:tc>
          <w:tcPr>
            <w:tcW w:w="2552" w:type="dxa"/>
          </w:tcPr>
          <w:p w:rsidR="00151A86" w:rsidRDefault="00C95FAA" w:rsidP="00C95FAA">
            <w:pPr>
              <w:jc w:val="left"/>
            </w:pPr>
            <w:proofErr w:type="spellStart"/>
            <w:r w:rsidRPr="00C95FAA">
              <w:t>Хямяляйнен</w:t>
            </w:r>
            <w:proofErr w:type="spellEnd"/>
            <w:r w:rsidRPr="00C95FAA">
              <w:t xml:space="preserve"> </w:t>
            </w:r>
            <w:proofErr w:type="spellStart"/>
            <w:r w:rsidRPr="00C95FAA">
              <w:t>Яри</w:t>
            </w:r>
            <w:proofErr w:type="spellEnd"/>
            <w:r w:rsidRPr="00C95FAA">
              <w:t xml:space="preserve"> (FI)</w:t>
            </w:r>
          </w:p>
          <w:p w:rsidR="00C95FAA" w:rsidRDefault="00C95FAA" w:rsidP="00C95FAA">
            <w:pPr>
              <w:jc w:val="left"/>
            </w:pPr>
            <w:r w:rsidRPr="00C95FAA">
              <w:rPr>
                <w:lang w:val="ru-RU"/>
              </w:rPr>
              <w:t>Заявка: 2000113226/09, 06.10.1998</w:t>
            </w:r>
          </w:p>
          <w:p w:rsidR="00C95FAA" w:rsidRDefault="00C95FAA" w:rsidP="00C95FAA">
            <w:pPr>
              <w:jc w:val="left"/>
            </w:pPr>
            <w:proofErr w:type="spellStart"/>
            <w:r>
              <w:t>Конвенционный</w:t>
            </w:r>
            <w:proofErr w:type="spellEnd"/>
            <w:r>
              <w:t xml:space="preserve"> </w:t>
            </w:r>
            <w:proofErr w:type="spellStart"/>
            <w:r>
              <w:t>приоритет</w:t>
            </w:r>
            <w:proofErr w:type="spellEnd"/>
            <w:r>
              <w:t>:</w:t>
            </w:r>
          </w:p>
          <w:p w:rsidR="00C95FAA" w:rsidRDefault="00C95FAA" w:rsidP="00C95FAA">
            <w:pPr>
              <w:jc w:val="left"/>
            </w:pPr>
            <w:r>
              <w:t>30.10.1997 FI 974094</w:t>
            </w:r>
          </w:p>
          <w:p w:rsidR="00C95FAA" w:rsidRPr="00C95FAA" w:rsidRDefault="00BE429E" w:rsidP="00C95FAA">
            <w:pPr>
              <w:jc w:val="left"/>
            </w:pPr>
            <w:r>
              <w:rPr>
                <w:lang w:val="ru-RU"/>
              </w:rPr>
              <w:t>Опубликовано</w:t>
            </w:r>
            <w:r w:rsidR="00C95FAA" w:rsidRPr="00C95FAA">
              <w:t>: 27.04.2002</w:t>
            </w:r>
          </w:p>
          <w:p w:rsidR="00C95FAA" w:rsidRPr="00C95FAA" w:rsidRDefault="00C95FAA" w:rsidP="00C95FAA">
            <w:pPr>
              <w:jc w:val="left"/>
              <w:rPr>
                <w:lang w:val="ru-RU"/>
              </w:rPr>
            </w:pPr>
          </w:p>
        </w:tc>
        <w:tc>
          <w:tcPr>
            <w:tcW w:w="7796" w:type="dxa"/>
          </w:tcPr>
          <w:p w:rsidR="00C95FAA" w:rsidRPr="00C95FAA" w:rsidRDefault="00C95FAA" w:rsidP="00810225">
            <w:pPr>
              <w:rPr>
                <w:lang w:val="ru-RU"/>
              </w:rPr>
            </w:pPr>
            <w:r w:rsidRPr="00C95FAA">
              <w:rPr>
                <w:lang w:val="ru-RU"/>
              </w:rPr>
              <w:t>ЗАВИСЯЩИЙ ОТ ПОДСЕТИ ПРОТОКОЛ СХОДИМОСТИ ДЛЯ СЕТИ МОБИЛЬНОЙ РАДИОСВЯЗИ.</w:t>
            </w:r>
          </w:p>
          <w:p w:rsidR="00151A86" w:rsidRPr="0075416D" w:rsidRDefault="00C95FAA" w:rsidP="00810225">
            <w:r w:rsidRPr="00C95FAA">
              <w:rPr>
                <w:lang w:val="ru-RU"/>
              </w:rPr>
              <w:t xml:space="preserve">Изобретение относится к системам подвижной связи. Технический результат заключается в обеспечении сжатия/распаковки для данных протокола и для данных пользователя. Для этого данные собирают в блоки первым уровнем протокола сходимости перед передачей данных во второй </w:t>
            </w:r>
            <w:proofErr w:type="spellStart"/>
            <w:r w:rsidRPr="00C95FAA">
              <w:rPr>
                <w:lang w:val="ru-RU"/>
              </w:rPr>
              <w:t>одноранговый</w:t>
            </w:r>
            <w:proofErr w:type="spellEnd"/>
            <w:r w:rsidRPr="00C95FAA">
              <w:rPr>
                <w:lang w:val="ru-RU"/>
              </w:rPr>
              <w:t xml:space="preserve"> уровень протокола сходимости. Данные представляют в первый уровень протокола сходимости одним из множества пользователей уровня протокола сходимости. Присваивают один </w:t>
            </w:r>
            <w:proofErr w:type="spellStart"/>
            <w:r w:rsidRPr="00C95FAA">
              <w:rPr>
                <w:lang w:val="ru-RU"/>
              </w:rPr>
              <w:t>индификатор</w:t>
            </w:r>
            <w:proofErr w:type="spellEnd"/>
            <w:r w:rsidRPr="00C95FAA">
              <w:rPr>
                <w:lang w:val="ru-RU"/>
              </w:rPr>
              <w:t xml:space="preserve"> точки доступа каждому пользователю и осуществляют обмен между упомянутыми первым и вторым уровнями одним или более установочными сообщениями, причем каждое сообщение содержит идентификатор алгоритма сжатия/распаковки данных, множество параметров для идентифицируемого алгоритма и битовую карту упомянутых идентификаторов точки доступа. </w:t>
            </w:r>
            <w:r w:rsidRPr="00C95FAA">
              <w:t xml:space="preserve">3 с. и 5 </w:t>
            </w:r>
            <w:proofErr w:type="spellStart"/>
            <w:r w:rsidRPr="00C95FAA">
              <w:t>з.п.ф-лы</w:t>
            </w:r>
            <w:proofErr w:type="spellEnd"/>
            <w:r w:rsidRPr="00C95FAA">
              <w:t xml:space="preserve">, 3 </w:t>
            </w:r>
            <w:proofErr w:type="spellStart"/>
            <w:r w:rsidRPr="00C95FAA">
              <w:t>табл</w:t>
            </w:r>
            <w:proofErr w:type="spellEnd"/>
            <w:r w:rsidRPr="00C95FAA">
              <w:t xml:space="preserve">., 3 </w:t>
            </w:r>
            <w:proofErr w:type="spellStart"/>
            <w:r w:rsidRPr="00C95FAA">
              <w:t>ил</w:t>
            </w:r>
            <w:proofErr w:type="spellEnd"/>
            <w:r w:rsidRPr="00C95FAA">
              <w:t>.</w:t>
            </w:r>
          </w:p>
        </w:tc>
        <w:tc>
          <w:tcPr>
            <w:tcW w:w="1843" w:type="dxa"/>
          </w:tcPr>
          <w:p w:rsidR="00151A86" w:rsidRPr="00C95FAA" w:rsidRDefault="00C95FAA" w:rsidP="00810225">
            <w:pPr>
              <w:rPr>
                <w:lang w:val="ru-RU"/>
              </w:rPr>
            </w:pPr>
            <w:r>
              <w:rPr>
                <w:lang w:val="ru-RU"/>
              </w:rPr>
              <w:t>Прекратил действие, но может быть восстановлен.</w:t>
            </w:r>
          </w:p>
        </w:tc>
      </w:tr>
      <w:tr w:rsidR="00151A86" w:rsidRPr="00C95FAA" w:rsidTr="00810225">
        <w:tc>
          <w:tcPr>
            <w:tcW w:w="988" w:type="dxa"/>
          </w:tcPr>
          <w:p w:rsidR="00151A86" w:rsidRPr="00C95FAA" w:rsidRDefault="00151A86" w:rsidP="00810225">
            <w:pPr>
              <w:rPr>
                <w:lang w:val="ru-RU"/>
              </w:rPr>
            </w:pPr>
          </w:p>
        </w:tc>
        <w:tc>
          <w:tcPr>
            <w:tcW w:w="1984" w:type="dxa"/>
          </w:tcPr>
          <w:p w:rsidR="00151A86" w:rsidRDefault="00C95FAA" w:rsidP="00C95FAA">
            <w:pPr>
              <w:jc w:val="left"/>
            </w:pPr>
            <w:r>
              <w:t>RU 2226035 C2</w:t>
            </w:r>
          </w:p>
          <w:p w:rsidR="00C95FAA" w:rsidRPr="00C95FAA" w:rsidRDefault="00C95FAA" w:rsidP="00C95FAA">
            <w:pPr>
              <w:jc w:val="left"/>
            </w:pPr>
            <w:r w:rsidRPr="00C95FAA">
              <w:t>H04B 7/26</w:t>
            </w:r>
          </w:p>
        </w:tc>
        <w:tc>
          <w:tcPr>
            <w:tcW w:w="2552" w:type="dxa"/>
          </w:tcPr>
          <w:p w:rsidR="00151A86" w:rsidRPr="00BE429E" w:rsidRDefault="00C95FAA" w:rsidP="00C95FAA">
            <w:pPr>
              <w:jc w:val="left"/>
              <w:rPr>
                <w:lang w:val="ru-RU"/>
              </w:rPr>
            </w:pPr>
            <w:r w:rsidRPr="00C95FAA">
              <w:rPr>
                <w:lang w:val="ru-RU"/>
              </w:rPr>
              <w:t xml:space="preserve">Попович </w:t>
            </w:r>
            <w:proofErr w:type="spellStart"/>
            <w:r w:rsidRPr="00C95FAA">
              <w:rPr>
                <w:lang w:val="ru-RU"/>
              </w:rPr>
              <w:t>Бранислав</w:t>
            </w:r>
            <w:proofErr w:type="spellEnd"/>
            <w:r w:rsidRPr="00C95FAA">
              <w:rPr>
                <w:lang w:val="ru-RU"/>
              </w:rPr>
              <w:t xml:space="preserve"> М. (SE)</w:t>
            </w:r>
          </w:p>
          <w:p w:rsidR="00C95FAA" w:rsidRPr="00BE429E" w:rsidRDefault="00BE429E" w:rsidP="00C95FAA">
            <w:pPr>
              <w:jc w:val="left"/>
              <w:rPr>
                <w:lang w:val="ru-RU"/>
              </w:rPr>
            </w:pPr>
            <w:r w:rsidRPr="00BE429E">
              <w:rPr>
                <w:lang w:val="ru-RU"/>
              </w:rPr>
              <w:t>Заявка: 2001101534/09, 11.06.1999</w:t>
            </w:r>
          </w:p>
          <w:p w:rsidR="00BE429E" w:rsidRDefault="00BE429E" w:rsidP="00BE429E">
            <w:pPr>
              <w:jc w:val="left"/>
            </w:pPr>
            <w:proofErr w:type="spellStart"/>
            <w:r>
              <w:t>Конвенционный</w:t>
            </w:r>
            <w:proofErr w:type="spellEnd"/>
            <w:r>
              <w:t xml:space="preserve"> </w:t>
            </w:r>
            <w:proofErr w:type="spellStart"/>
            <w:r>
              <w:t>приоритет</w:t>
            </w:r>
            <w:proofErr w:type="spellEnd"/>
            <w:r>
              <w:t>:</w:t>
            </w:r>
          </w:p>
          <w:p w:rsidR="00BE429E" w:rsidRDefault="00BE429E" w:rsidP="00BE429E">
            <w:pPr>
              <w:jc w:val="left"/>
            </w:pPr>
            <w:r>
              <w:t>16.06.1998 US 09/097,916</w:t>
            </w:r>
          </w:p>
          <w:p w:rsidR="00BE429E" w:rsidRPr="00C95FAA" w:rsidRDefault="00BE429E" w:rsidP="00BE429E">
            <w:pPr>
              <w:jc w:val="left"/>
            </w:pPr>
            <w:proofErr w:type="spellStart"/>
            <w:r w:rsidRPr="00BE429E">
              <w:t>Опубликовано</w:t>
            </w:r>
            <w:proofErr w:type="spellEnd"/>
            <w:r w:rsidRPr="00BE429E">
              <w:t>: 20.03.2004</w:t>
            </w:r>
          </w:p>
        </w:tc>
        <w:tc>
          <w:tcPr>
            <w:tcW w:w="7796" w:type="dxa"/>
          </w:tcPr>
          <w:p w:rsidR="00151A86" w:rsidRDefault="00C95FAA" w:rsidP="00810225">
            <w:pPr>
              <w:rPr>
                <w:lang w:val="ru-RU"/>
              </w:rPr>
            </w:pPr>
            <w:r w:rsidRPr="00C95FAA">
              <w:rPr>
                <w:lang w:val="ru-RU"/>
              </w:rPr>
              <w:t>ЧЕТЫРЕХФАЗНЫЕ РАСШИРЯЮЩИЕ КОДЫ В СИСТЕМЕ СВЯЗИ МНОЖЕСТВЕННОГО ДОСТУПА С КОДОВЫМ РАЗДЕЛЕНИЕМ КАНАЛОВ</w:t>
            </w:r>
            <w:r>
              <w:rPr>
                <w:lang w:val="ru-RU"/>
              </w:rPr>
              <w:t>.</w:t>
            </w:r>
          </w:p>
          <w:p w:rsidR="00BE429E" w:rsidRPr="00C95FAA" w:rsidRDefault="00BE429E" w:rsidP="00810225">
            <w:pPr>
              <w:rPr>
                <w:lang w:val="ru-RU"/>
              </w:rPr>
            </w:pPr>
            <w:r w:rsidRPr="00BE429E">
              <w:rPr>
                <w:lang w:val="ru-RU"/>
              </w:rPr>
              <w:t xml:space="preserve">Изобретение относится к широкополосной связи. Оптимальные кодовые последовательности формируют для использования в функциях расширения и сжатия в системе связи множественного доступа с кодовым разделением каналов (МДКР). В частности, используют семейство четырехфазных расширяющих кодов, которое обеспечивает максимальное количество расширяющих кодов, чтобы достичь высокой емкости в системе связи МДКР, в то же время при минимальной пиковой взаимной корреляции между любыми двумя расширяющими кодами в этом семействе, чтобы гарантировать, что </w:t>
            </w:r>
            <w:r w:rsidRPr="00BE429E">
              <w:rPr>
                <w:lang w:val="ru-RU"/>
              </w:rPr>
              <w:lastRenderedPageBreak/>
              <w:t xml:space="preserve">взаимная корреляция помех поддерживается на приемлемом уровне или ниже приемлемых уровней. Таким оптимальным семейством четырехфазных расширяющих кодов является семейство S(2) четырехфазных кодовых последовательностей длиной L=2m-1, где </w:t>
            </w:r>
            <w:proofErr w:type="spellStart"/>
            <w:r w:rsidRPr="00BE429E">
              <w:rPr>
                <w:lang w:val="ru-RU"/>
              </w:rPr>
              <w:t>m</w:t>
            </w:r>
            <w:proofErr w:type="spellEnd"/>
            <w:r w:rsidRPr="00BE429E">
              <w:rPr>
                <w:lang w:val="ru-RU"/>
              </w:rPr>
              <w:t xml:space="preserve"> - целое число, большее или равное 5. Размер семейства S(2) четверичных расширяющих кодов равен (L+2)(L+1)2, и максимальная взаимная корреляция равна Увеличенное изображение (открывается в отдельном окне) Расширяющие коды предпочтительно назначают базовым станциям с использованием определенных кодовых поднаборов семейства S(2), имеющих одинаковые свойства взаимной корреляции S(0) и/или S(1) семейств кодов. Расширяющие коды с выгодой удлиняют на один или более кодовых символов по мере необходимости или по иным причинам. Например, чтобы поддерживать услуги с переменной скоростью передачи, желательно использовать расширяющие коды, длина которых может быть выражена как целое кратное каждого коэффициента расширения в мобильной системе связи. Так как отдельные расширяющие коды имеют длину 2m-1, один кодовый символ добавляют к сформированному расширяющему коду. Технический результат заключается в создании устройства и способа, позволяющих оптимизировать взаимную корреляцию между удлиненными расширяющими кодами. 6 с. и 40 </w:t>
            </w:r>
            <w:proofErr w:type="spellStart"/>
            <w:r w:rsidRPr="00BE429E">
              <w:rPr>
                <w:lang w:val="ru-RU"/>
              </w:rPr>
              <w:t>з.п</w:t>
            </w:r>
            <w:proofErr w:type="spellEnd"/>
            <w:r w:rsidRPr="00BE429E">
              <w:rPr>
                <w:lang w:val="ru-RU"/>
              </w:rPr>
              <w:t xml:space="preserve">. </w:t>
            </w:r>
            <w:proofErr w:type="spellStart"/>
            <w:r w:rsidRPr="00BE429E">
              <w:rPr>
                <w:lang w:val="ru-RU"/>
              </w:rPr>
              <w:t>ф-лы</w:t>
            </w:r>
            <w:proofErr w:type="spellEnd"/>
            <w:r w:rsidRPr="00BE429E">
              <w:rPr>
                <w:lang w:val="ru-RU"/>
              </w:rPr>
              <w:t>, 10 ил., 1 табл.</w:t>
            </w:r>
          </w:p>
        </w:tc>
        <w:tc>
          <w:tcPr>
            <w:tcW w:w="1843" w:type="dxa"/>
          </w:tcPr>
          <w:p w:rsidR="00151A86" w:rsidRPr="00C95FAA" w:rsidRDefault="00BE429E" w:rsidP="00810225">
            <w:pPr>
              <w:rPr>
                <w:lang w:val="ru-RU"/>
              </w:rPr>
            </w:pPr>
            <w:r>
              <w:rPr>
                <w:lang w:val="ru-RU"/>
              </w:rPr>
              <w:lastRenderedPageBreak/>
              <w:t>Действует</w:t>
            </w:r>
          </w:p>
        </w:tc>
      </w:tr>
      <w:tr w:rsidR="00151A86" w:rsidRPr="00C95FAA" w:rsidTr="00810225">
        <w:tc>
          <w:tcPr>
            <w:tcW w:w="988" w:type="dxa"/>
          </w:tcPr>
          <w:p w:rsidR="00151A86" w:rsidRPr="00C95FAA" w:rsidRDefault="00151A86" w:rsidP="00810225">
            <w:pPr>
              <w:rPr>
                <w:lang w:val="ru-RU"/>
              </w:rPr>
            </w:pPr>
          </w:p>
        </w:tc>
        <w:tc>
          <w:tcPr>
            <w:tcW w:w="1984" w:type="dxa"/>
          </w:tcPr>
          <w:p w:rsidR="00151A86" w:rsidRDefault="00BE429E" w:rsidP="00C95FAA">
            <w:pPr>
              <w:jc w:val="left"/>
            </w:pPr>
            <w:r>
              <w:t>RU 2335015 C2</w:t>
            </w:r>
          </w:p>
          <w:p w:rsidR="00BE429E" w:rsidRPr="00BE429E" w:rsidRDefault="00BE429E" w:rsidP="00BE429E">
            <w:pPr>
              <w:jc w:val="left"/>
            </w:pPr>
            <w:r w:rsidRPr="00BE429E">
              <w:t>G06K 9/18</w:t>
            </w:r>
          </w:p>
        </w:tc>
        <w:tc>
          <w:tcPr>
            <w:tcW w:w="2552" w:type="dxa"/>
          </w:tcPr>
          <w:p w:rsidR="00BE429E" w:rsidRPr="00BE429E" w:rsidRDefault="00BE429E" w:rsidP="00BE429E">
            <w:pPr>
              <w:jc w:val="left"/>
              <w:rPr>
                <w:lang w:val="ru-RU"/>
              </w:rPr>
            </w:pPr>
            <w:proofErr w:type="spellStart"/>
            <w:r w:rsidRPr="00BE429E">
              <w:rPr>
                <w:lang w:val="ru-RU"/>
              </w:rPr>
              <w:t>Буррьер</w:t>
            </w:r>
            <w:proofErr w:type="spellEnd"/>
            <w:r w:rsidRPr="00BE429E">
              <w:rPr>
                <w:lang w:val="ru-RU"/>
              </w:rPr>
              <w:t xml:space="preserve"> </w:t>
            </w:r>
            <w:proofErr w:type="spellStart"/>
            <w:r w:rsidRPr="00BE429E">
              <w:rPr>
                <w:lang w:val="ru-RU"/>
              </w:rPr>
              <w:t>Франсис</w:t>
            </w:r>
            <w:proofErr w:type="spellEnd"/>
            <w:r w:rsidRPr="00BE429E">
              <w:rPr>
                <w:lang w:val="ru-RU"/>
              </w:rPr>
              <w:t xml:space="preserve"> (FR),</w:t>
            </w:r>
          </w:p>
          <w:p w:rsidR="00151A86" w:rsidRDefault="00BE429E" w:rsidP="00BE429E">
            <w:pPr>
              <w:jc w:val="left"/>
            </w:pPr>
            <w:proofErr w:type="spellStart"/>
            <w:r w:rsidRPr="00BE429E">
              <w:rPr>
                <w:lang w:val="ru-RU"/>
              </w:rPr>
              <w:t>Кезер</w:t>
            </w:r>
            <w:proofErr w:type="spellEnd"/>
            <w:r w:rsidRPr="00BE429E">
              <w:rPr>
                <w:lang w:val="ru-RU"/>
              </w:rPr>
              <w:t xml:space="preserve"> </w:t>
            </w:r>
            <w:proofErr w:type="spellStart"/>
            <w:r w:rsidRPr="00BE429E">
              <w:rPr>
                <w:lang w:val="ru-RU"/>
              </w:rPr>
              <w:t>Клеман</w:t>
            </w:r>
            <w:proofErr w:type="spellEnd"/>
            <w:r w:rsidRPr="00BE429E">
              <w:rPr>
                <w:lang w:val="ru-RU"/>
              </w:rPr>
              <w:t xml:space="preserve"> (FR)</w:t>
            </w:r>
          </w:p>
          <w:p w:rsidR="00BE429E" w:rsidRDefault="00BE429E" w:rsidP="00BE429E">
            <w:pPr>
              <w:jc w:val="left"/>
            </w:pPr>
            <w:proofErr w:type="spellStart"/>
            <w:r w:rsidRPr="00BE429E">
              <w:t>Заявка</w:t>
            </w:r>
            <w:proofErr w:type="spellEnd"/>
            <w:r w:rsidRPr="00BE429E">
              <w:t>: 2005115126/09, 10.12.2003</w:t>
            </w:r>
          </w:p>
          <w:p w:rsidR="00BE429E" w:rsidRDefault="00BE429E" w:rsidP="00BE429E">
            <w:pPr>
              <w:jc w:val="left"/>
            </w:pPr>
            <w:proofErr w:type="spellStart"/>
            <w:r>
              <w:t>Конвенционный</w:t>
            </w:r>
            <w:proofErr w:type="spellEnd"/>
            <w:r>
              <w:t xml:space="preserve"> </w:t>
            </w:r>
            <w:proofErr w:type="spellStart"/>
            <w:r>
              <w:t>приоритет</w:t>
            </w:r>
            <w:proofErr w:type="spellEnd"/>
            <w:r>
              <w:t>:</w:t>
            </w:r>
          </w:p>
          <w:p w:rsidR="00BE429E" w:rsidRDefault="00BE429E" w:rsidP="00BE429E">
            <w:pPr>
              <w:jc w:val="left"/>
            </w:pPr>
            <w:r>
              <w:t>13.12.2002 FR 02 15783</w:t>
            </w:r>
          </w:p>
          <w:p w:rsidR="00BE429E" w:rsidRPr="00BE429E" w:rsidRDefault="00BE429E" w:rsidP="00BE429E">
            <w:pPr>
              <w:jc w:val="left"/>
            </w:pPr>
            <w:proofErr w:type="spellStart"/>
            <w:r w:rsidRPr="00BE429E">
              <w:t>Опубликовано</w:t>
            </w:r>
            <w:proofErr w:type="spellEnd"/>
            <w:r w:rsidRPr="00BE429E">
              <w:t>: 27.09.2008</w:t>
            </w:r>
          </w:p>
        </w:tc>
        <w:tc>
          <w:tcPr>
            <w:tcW w:w="7796" w:type="dxa"/>
          </w:tcPr>
          <w:p w:rsidR="00151A86" w:rsidRPr="00BE429E" w:rsidRDefault="00BE429E" w:rsidP="00810225">
            <w:pPr>
              <w:rPr>
                <w:lang w:val="ru-RU"/>
              </w:rPr>
            </w:pPr>
            <w:r w:rsidRPr="00BE429E">
              <w:rPr>
                <w:lang w:val="ru-RU"/>
              </w:rPr>
              <w:t>СПОСОБ ИДЕНТИФИКАЦИИ И АУТЕНТИФИКАЦИИ ИДЕНТИФИКАТОРА, СВЯЗАННОГО С ОБЪЕКТОМ ИЛИ ЖИВЫМ СУЩЕСТВОМ, БЕЗ СПЕЦИАЛЬНОГО АППАРАТА СЧИТЫВАНИЯ.</w:t>
            </w:r>
          </w:p>
          <w:p w:rsidR="00BE429E" w:rsidRPr="00BE429E" w:rsidRDefault="00BE429E" w:rsidP="00BE429E">
            <w:pPr>
              <w:rPr>
                <w:color w:val="000000"/>
                <w:spacing w:val="5"/>
                <w:shd w:val="clear" w:color="auto" w:fill="FFFFFF"/>
              </w:rPr>
            </w:pPr>
            <w:r w:rsidRPr="00BE429E">
              <w:rPr>
                <w:color w:val="000000"/>
                <w:spacing w:val="5"/>
                <w:shd w:val="clear" w:color="auto" w:fill="FFFFFF"/>
                <w:lang w:val="ru-RU"/>
              </w:rPr>
              <w:t xml:space="preserve">Изобретение относится к способам идентификации и аутентификации трехмерного идентификатора (1), (9), (10), (11), прикрепленного к объекту. Технический результат заключается в исключении интерпретирующих и дорогих аппаратов считывания. Указанный результат достигается тем, что идентификатор представлен неоднородностями, распределенными случайным образом в прозрачном материале и делающими последний сложным или неподдающимся для воспроизведения, при этом используется стереоскопичность видения человеческим глазом для проверки подлинности трехмерного образа, гарантирующего аутентичность вышеупомянутого идентификатора, и что идентификацию или считывание выполняют визуальным сравнением (В) двумерного изображения (2) идентификатора с самим идентификатором с использованием сенсорных способностей человека, особенно стереоскопичности зрения (А) и тактильного ощущения (А′), позволяющих ощутить особенность идентификатора, которая делает последний сложным или неподдающимся для воспроизведения. </w:t>
            </w:r>
            <w:r w:rsidRPr="00BE429E">
              <w:rPr>
                <w:color w:val="000000"/>
                <w:spacing w:val="5"/>
                <w:shd w:val="clear" w:color="auto" w:fill="FFFFFF"/>
              </w:rPr>
              <w:t xml:space="preserve">4 </w:t>
            </w:r>
            <w:proofErr w:type="spellStart"/>
            <w:r w:rsidRPr="00BE429E">
              <w:rPr>
                <w:color w:val="000000"/>
                <w:spacing w:val="5"/>
                <w:shd w:val="clear" w:color="auto" w:fill="FFFFFF"/>
              </w:rPr>
              <w:t>з.п</w:t>
            </w:r>
            <w:proofErr w:type="spellEnd"/>
            <w:r w:rsidRPr="00BE429E">
              <w:rPr>
                <w:color w:val="000000"/>
                <w:spacing w:val="5"/>
                <w:shd w:val="clear" w:color="auto" w:fill="FFFFFF"/>
              </w:rPr>
              <w:t>. ф-</w:t>
            </w:r>
            <w:proofErr w:type="spellStart"/>
            <w:r w:rsidRPr="00BE429E">
              <w:rPr>
                <w:color w:val="000000"/>
                <w:spacing w:val="5"/>
                <w:shd w:val="clear" w:color="auto" w:fill="FFFFFF"/>
              </w:rPr>
              <w:t>лы</w:t>
            </w:r>
            <w:proofErr w:type="spellEnd"/>
            <w:r w:rsidRPr="00BE429E">
              <w:rPr>
                <w:color w:val="000000"/>
                <w:spacing w:val="5"/>
                <w:shd w:val="clear" w:color="auto" w:fill="FFFFFF"/>
              </w:rPr>
              <w:t xml:space="preserve">, 5 </w:t>
            </w:r>
            <w:proofErr w:type="spellStart"/>
            <w:r w:rsidRPr="00BE429E">
              <w:rPr>
                <w:color w:val="000000"/>
                <w:spacing w:val="5"/>
                <w:shd w:val="clear" w:color="auto" w:fill="FFFFFF"/>
              </w:rPr>
              <w:t>ил</w:t>
            </w:r>
            <w:proofErr w:type="spellEnd"/>
            <w:r w:rsidRPr="00BE429E">
              <w:rPr>
                <w:color w:val="000000"/>
                <w:spacing w:val="5"/>
                <w:shd w:val="clear" w:color="auto" w:fill="FFFFFF"/>
              </w:rPr>
              <w:t>.</w:t>
            </w:r>
          </w:p>
          <w:p w:rsidR="00BE429E" w:rsidRPr="00BE429E" w:rsidRDefault="00BE429E" w:rsidP="00BE429E">
            <w:pPr>
              <w:jc w:val="left"/>
              <w:rPr>
                <w:lang w:val="ru-RU"/>
              </w:rPr>
            </w:pPr>
            <w:r>
              <w:rPr>
                <w:noProof/>
                <w:color w:val="0000FF"/>
                <w:spacing w:val="5"/>
                <w:sz w:val="19"/>
                <w:szCs w:val="19"/>
                <w:shd w:val="clear" w:color="auto" w:fill="FFFFFF"/>
                <w:lang w:val="ru-RU" w:eastAsia="ru-RU"/>
              </w:rPr>
              <w:lastRenderedPageBreak/>
              <w:drawing>
                <wp:inline distT="0" distB="0" distL="0" distR="0">
                  <wp:extent cx="3242310" cy="2376081"/>
                  <wp:effectExtent l="19050" t="0" r="0" b="0"/>
                  <wp:docPr id="6" name="Рисунок 6" descr="http://www.fips.ru/Archive/PAT/2008FULL/2008.09.27/DOC/RUNWC2/000/000/002/335/015/00000001-m.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ips.ru/Archive/PAT/2008FULL/2008.09.27/DOC/RUNWC2/000/000/002/335/015/00000001-m.gif">
                            <a:hlinkClick r:id="rId5" tgtFrame="&quot;_blank&quot;"/>
                          </pic:cNvPr>
                          <pic:cNvPicPr>
                            <a:picLocks noChangeAspect="1" noChangeArrowheads="1"/>
                          </pic:cNvPicPr>
                        </pic:nvPicPr>
                        <pic:blipFill>
                          <a:blip r:embed="rId6" cstate="print"/>
                          <a:srcRect/>
                          <a:stretch>
                            <a:fillRect/>
                          </a:stretch>
                        </pic:blipFill>
                        <pic:spPr bwMode="auto">
                          <a:xfrm>
                            <a:off x="0" y="0"/>
                            <a:ext cx="3242310" cy="2376081"/>
                          </a:xfrm>
                          <a:prstGeom prst="rect">
                            <a:avLst/>
                          </a:prstGeom>
                          <a:noFill/>
                          <a:ln w="9525">
                            <a:noFill/>
                            <a:miter lim="800000"/>
                            <a:headEnd/>
                            <a:tailEnd/>
                          </a:ln>
                        </pic:spPr>
                      </pic:pic>
                    </a:graphicData>
                  </a:graphic>
                </wp:inline>
              </w:drawing>
            </w:r>
          </w:p>
        </w:tc>
        <w:tc>
          <w:tcPr>
            <w:tcW w:w="1843" w:type="dxa"/>
          </w:tcPr>
          <w:p w:rsidR="00151A86" w:rsidRPr="00BE429E" w:rsidRDefault="00BE429E" w:rsidP="00810225">
            <w:pPr>
              <w:rPr>
                <w:lang w:val="ru-RU"/>
              </w:rPr>
            </w:pPr>
            <w:r>
              <w:rPr>
                <w:lang w:val="ru-RU"/>
              </w:rPr>
              <w:lastRenderedPageBreak/>
              <w:t>Действует.</w:t>
            </w:r>
          </w:p>
        </w:tc>
      </w:tr>
      <w:tr w:rsidR="00151A86" w:rsidRPr="00C95FAA" w:rsidTr="00810225">
        <w:tc>
          <w:tcPr>
            <w:tcW w:w="988" w:type="dxa"/>
          </w:tcPr>
          <w:p w:rsidR="00151A86" w:rsidRPr="00C95FAA" w:rsidRDefault="00151A86" w:rsidP="00810225">
            <w:pPr>
              <w:rPr>
                <w:lang w:val="ru-RU"/>
              </w:rPr>
            </w:pPr>
          </w:p>
        </w:tc>
        <w:tc>
          <w:tcPr>
            <w:tcW w:w="1984" w:type="dxa"/>
          </w:tcPr>
          <w:p w:rsidR="00151A86" w:rsidRDefault="00BE429E" w:rsidP="00C95FAA">
            <w:pPr>
              <w:jc w:val="left"/>
            </w:pPr>
            <w:r>
              <w:t>RU 2416169 C1</w:t>
            </w:r>
          </w:p>
          <w:p w:rsidR="00BE429E" w:rsidRPr="00BE429E" w:rsidRDefault="00BE429E" w:rsidP="00BE429E">
            <w:pPr>
              <w:jc w:val="left"/>
            </w:pPr>
            <w:r w:rsidRPr="00BE429E">
              <w:t>H04L 9/32</w:t>
            </w:r>
          </w:p>
        </w:tc>
        <w:tc>
          <w:tcPr>
            <w:tcW w:w="2552" w:type="dxa"/>
          </w:tcPr>
          <w:p w:rsidR="00BE429E" w:rsidRPr="00BE429E" w:rsidRDefault="00BE429E" w:rsidP="00BE429E">
            <w:pPr>
              <w:jc w:val="left"/>
              <w:rPr>
                <w:lang w:val="ru-RU"/>
              </w:rPr>
            </w:pPr>
            <w:r w:rsidRPr="00BE429E">
              <w:rPr>
                <w:lang w:val="ru-RU"/>
              </w:rPr>
              <w:t>Мартынов Александр Петрович (RU),</w:t>
            </w:r>
          </w:p>
          <w:p w:rsidR="00151A86" w:rsidRDefault="00BE429E" w:rsidP="00BE429E">
            <w:pPr>
              <w:jc w:val="left"/>
            </w:pPr>
            <w:r w:rsidRPr="00BE429E">
              <w:rPr>
                <w:lang w:val="ru-RU"/>
              </w:rPr>
              <w:t>Николаев Дмитрий Борисович (RU)</w:t>
            </w:r>
          </w:p>
          <w:p w:rsidR="00BE429E" w:rsidRDefault="00BE429E" w:rsidP="00BE429E">
            <w:pPr>
              <w:jc w:val="left"/>
            </w:pPr>
            <w:proofErr w:type="spellStart"/>
            <w:r w:rsidRPr="00BE429E">
              <w:t>Заявка</w:t>
            </w:r>
            <w:proofErr w:type="spellEnd"/>
            <w:r w:rsidRPr="00BE429E">
              <w:t>: 2009127986/09, 20.07.2009</w:t>
            </w:r>
          </w:p>
          <w:p w:rsidR="00BE429E" w:rsidRPr="00BE429E" w:rsidRDefault="00BE429E" w:rsidP="00BE429E">
            <w:pPr>
              <w:jc w:val="left"/>
            </w:pPr>
            <w:proofErr w:type="spellStart"/>
            <w:r w:rsidRPr="00BE429E">
              <w:t>Опубликовано</w:t>
            </w:r>
            <w:proofErr w:type="spellEnd"/>
            <w:r w:rsidRPr="00BE429E">
              <w:t>: 10.04.2011</w:t>
            </w:r>
          </w:p>
        </w:tc>
        <w:tc>
          <w:tcPr>
            <w:tcW w:w="7796" w:type="dxa"/>
          </w:tcPr>
          <w:p w:rsidR="00151A86" w:rsidRPr="00BE429E" w:rsidRDefault="00BE429E" w:rsidP="00810225">
            <w:pPr>
              <w:rPr>
                <w:lang w:val="ru-RU"/>
              </w:rPr>
            </w:pPr>
            <w:r w:rsidRPr="00BE429E">
              <w:rPr>
                <w:lang w:val="ru-RU"/>
              </w:rPr>
              <w:t>СПОСОБ АУТЕНТИФИКАЦИИ ОБЪЕКТА.</w:t>
            </w:r>
          </w:p>
          <w:p w:rsidR="00BE429E" w:rsidRDefault="00BE429E" w:rsidP="00BE429E">
            <w:r w:rsidRPr="00BE429E">
              <w:rPr>
                <w:lang w:val="ru-RU"/>
              </w:rPr>
              <w:t xml:space="preserve">Изобретение относится к вычислительной технике, а именно к средствам обеспечения безопасности информации. Техническим результатом является повышение </w:t>
            </w:r>
            <w:proofErr w:type="spellStart"/>
            <w:r w:rsidRPr="00BE429E">
              <w:rPr>
                <w:lang w:val="ru-RU"/>
              </w:rPr>
              <w:t>криптостойкости</w:t>
            </w:r>
            <w:proofErr w:type="spellEnd"/>
            <w:r w:rsidRPr="00BE429E">
              <w:rPr>
                <w:lang w:val="ru-RU"/>
              </w:rPr>
              <w:t xml:space="preserve"> и расширение функциональных возможностей. Технический результат достигается тем, что предварительно в первый и второй блоки обработки данных вносят соответственно первые и вторые данные, во второй блок обработки данных дополнительно вносят признак объекта, затем производят выработку первой битовой последовательности в первом блоке обработки данных и ее передачу во второй блок обработки данных, в котором производят выработку второй битовой последовательности из первой битовой последовательности, вторых данных и признака объекта посредством первого алгоритма преобразования и ее передачу в первый блок обработки данных, в котором производят выработку результата аутентификации второго блока обработки данных из первой и второй битовых последовательностей и первых данных посредством второго алгоритма преобразования, дополнительно в первом блоке обработки данных осуществляют выработку третьей битовой последовательности посредством третьего алгоритма преобразования, выработку четвертой битовой последовательности и их передачу во второй блок обработки данных.</w:t>
            </w:r>
          </w:p>
          <w:p w:rsidR="00BE429E" w:rsidRPr="00BE429E" w:rsidRDefault="00BE429E" w:rsidP="00BE429E">
            <w:pPr>
              <w:rPr>
                <w:lang w:val="ru-RU"/>
              </w:rPr>
            </w:pPr>
            <w:r w:rsidRPr="00BE429E">
              <w:rPr>
                <w:lang w:val="ru-RU"/>
              </w:rPr>
              <w:lastRenderedPageBreak/>
              <w:t xml:space="preserve"> </w:t>
            </w:r>
            <w:r>
              <w:rPr>
                <w:noProof/>
                <w:lang w:val="ru-RU" w:eastAsia="ru-RU"/>
              </w:rPr>
              <w:drawing>
                <wp:inline distT="0" distB="0" distL="0" distR="0">
                  <wp:extent cx="4293870" cy="2751627"/>
                  <wp:effectExtent l="19050" t="0" r="0" b="0"/>
                  <wp:docPr id="15" name="Рисунок 15" descr="http://www.fips.ru/Archive/PAT/2011FULL/2011.04.10/DOC/RUNWC1/000/000/002/416/169/00000001-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ips.ru/Archive/PAT/2011FULL/2011.04.10/DOC/RUNWC1/000/000/002/416/169/00000001-m.gif"/>
                          <pic:cNvPicPr>
                            <a:picLocks noChangeAspect="1" noChangeArrowheads="1"/>
                          </pic:cNvPicPr>
                        </pic:nvPicPr>
                        <pic:blipFill>
                          <a:blip r:embed="rId7" cstate="print"/>
                          <a:srcRect/>
                          <a:stretch>
                            <a:fillRect/>
                          </a:stretch>
                        </pic:blipFill>
                        <pic:spPr bwMode="auto">
                          <a:xfrm>
                            <a:off x="0" y="0"/>
                            <a:ext cx="4293870" cy="2751627"/>
                          </a:xfrm>
                          <a:prstGeom prst="rect">
                            <a:avLst/>
                          </a:prstGeom>
                          <a:noFill/>
                          <a:ln w="9525">
                            <a:noFill/>
                            <a:miter lim="800000"/>
                            <a:headEnd/>
                            <a:tailEnd/>
                          </a:ln>
                        </pic:spPr>
                      </pic:pic>
                    </a:graphicData>
                  </a:graphic>
                </wp:inline>
              </w:drawing>
            </w:r>
          </w:p>
        </w:tc>
        <w:tc>
          <w:tcPr>
            <w:tcW w:w="1843" w:type="dxa"/>
          </w:tcPr>
          <w:p w:rsidR="00151A86" w:rsidRPr="00BE429E" w:rsidRDefault="00BE429E" w:rsidP="00810225">
            <w:pPr>
              <w:rPr>
                <w:lang w:val="ru-RU"/>
              </w:rPr>
            </w:pPr>
            <w:r>
              <w:rPr>
                <w:lang w:val="ru-RU"/>
              </w:rPr>
              <w:lastRenderedPageBreak/>
              <w:t>Действует.</w:t>
            </w:r>
          </w:p>
        </w:tc>
      </w:tr>
      <w:tr w:rsidR="00151A86" w:rsidRPr="00C95FAA" w:rsidTr="00810225">
        <w:tc>
          <w:tcPr>
            <w:tcW w:w="988" w:type="dxa"/>
          </w:tcPr>
          <w:p w:rsidR="00151A86" w:rsidRPr="00C95FAA" w:rsidRDefault="00151A86" w:rsidP="00810225">
            <w:pPr>
              <w:rPr>
                <w:lang w:val="ru-RU"/>
              </w:rPr>
            </w:pPr>
          </w:p>
        </w:tc>
        <w:tc>
          <w:tcPr>
            <w:tcW w:w="1984" w:type="dxa"/>
          </w:tcPr>
          <w:p w:rsidR="00151A86" w:rsidRDefault="00BE429E" w:rsidP="00C95FAA">
            <w:pPr>
              <w:jc w:val="left"/>
            </w:pPr>
            <w:r>
              <w:t>RU 2184390 C1</w:t>
            </w:r>
          </w:p>
          <w:p w:rsidR="00BE429E" w:rsidRDefault="00BE429E" w:rsidP="00BE429E">
            <w:pPr>
              <w:jc w:val="left"/>
            </w:pPr>
            <w:r>
              <w:t xml:space="preserve">G06F 12/14 </w:t>
            </w:r>
          </w:p>
          <w:p w:rsidR="00BE429E" w:rsidRPr="00BE429E" w:rsidRDefault="00BE429E" w:rsidP="00BE429E">
            <w:pPr>
              <w:jc w:val="left"/>
            </w:pPr>
            <w:r>
              <w:t xml:space="preserve">H04L 9/32 </w:t>
            </w:r>
          </w:p>
        </w:tc>
        <w:tc>
          <w:tcPr>
            <w:tcW w:w="2552" w:type="dxa"/>
          </w:tcPr>
          <w:p w:rsidR="00151A86" w:rsidRDefault="00BE429E" w:rsidP="00C95FAA">
            <w:pPr>
              <w:jc w:val="left"/>
            </w:pPr>
            <w:r w:rsidRPr="00BE429E">
              <w:rPr>
                <w:lang w:val="ru-RU"/>
              </w:rPr>
              <w:t>Военный университет связи</w:t>
            </w:r>
            <w:r>
              <w:t>.</w:t>
            </w:r>
          </w:p>
          <w:p w:rsidR="00BE429E" w:rsidRDefault="00BE429E" w:rsidP="00C95FAA">
            <w:pPr>
              <w:jc w:val="left"/>
            </w:pPr>
            <w:proofErr w:type="spellStart"/>
            <w:r w:rsidRPr="00BE429E">
              <w:t>Заявка</w:t>
            </w:r>
            <w:proofErr w:type="spellEnd"/>
            <w:r w:rsidRPr="00BE429E">
              <w:t>: 2000127968/09, 08.11.2000</w:t>
            </w:r>
          </w:p>
          <w:p w:rsidR="00BE429E" w:rsidRPr="00BE429E" w:rsidRDefault="00BE429E" w:rsidP="00C95FAA">
            <w:pPr>
              <w:jc w:val="left"/>
            </w:pPr>
            <w:proofErr w:type="spellStart"/>
            <w:r w:rsidRPr="00BE429E">
              <w:t>Опубликовано</w:t>
            </w:r>
            <w:proofErr w:type="spellEnd"/>
            <w:r w:rsidRPr="00BE429E">
              <w:t>: 27.06.2002</w:t>
            </w:r>
          </w:p>
        </w:tc>
        <w:tc>
          <w:tcPr>
            <w:tcW w:w="7796" w:type="dxa"/>
          </w:tcPr>
          <w:p w:rsidR="00151A86" w:rsidRDefault="001D2481" w:rsidP="00810225">
            <w:pPr>
              <w:rPr>
                <w:lang w:val="ru-RU"/>
              </w:rPr>
            </w:pPr>
            <w:r w:rsidRPr="001D2481">
              <w:rPr>
                <w:lang w:val="ru-RU"/>
              </w:rPr>
              <w:t>СПОСОБ АУТЕНТИФИКАЦИИ ОБЪЕКТОВ</w:t>
            </w:r>
            <w:r>
              <w:rPr>
                <w:lang w:val="ru-RU"/>
              </w:rPr>
              <w:t>.</w:t>
            </w:r>
          </w:p>
          <w:p w:rsidR="001D2481" w:rsidRDefault="001D2481" w:rsidP="001D2481">
            <w:pPr>
              <w:rPr>
                <w:lang w:val="ru-RU"/>
              </w:rPr>
            </w:pPr>
            <w:r w:rsidRPr="001D2481">
              <w:rPr>
                <w:lang w:val="ru-RU"/>
              </w:rPr>
              <w:t xml:space="preserve">Изобретение относится к области криптографии, а именно к аутентификации объектов, и может быть использовано в качестве отдельного элемента при построении систем аутентификации, предназначенных для опознавания корреспондентов в сетях связи. Технический результат - обеспечение повышения стойкости к возможным воздействиям противника в условиях аутентификации объектов в реальном масштабе времени, при работе по каналам с низкой пропускной способностью. Для этого способ аутентификации объектов предусматривает предварительное формирование исходных данных центра аутентификации, включающих параметры электронной цифровой подписи и его </w:t>
            </w:r>
            <w:proofErr w:type="spellStart"/>
            <w:r w:rsidRPr="001D2481">
              <w:rPr>
                <w:lang w:val="ru-RU"/>
              </w:rPr>
              <w:t>аутентификационную</w:t>
            </w:r>
            <w:proofErr w:type="spellEnd"/>
            <w:r w:rsidRPr="001D2481">
              <w:rPr>
                <w:lang w:val="ru-RU"/>
              </w:rPr>
              <w:t xml:space="preserve"> информацию, формирование исходных данных корреспондирующих пунктов, включающих идентификационные сообщения, сертификаты и </w:t>
            </w:r>
            <w:proofErr w:type="spellStart"/>
            <w:r w:rsidRPr="001D2481">
              <w:rPr>
                <w:lang w:val="ru-RU"/>
              </w:rPr>
              <w:t>аутентификационную</w:t>
            </w:r>
            <w:proofErr w:type="spellEnd"/>
            <w:r w:rsidRPr="001D2481">
              <w:rPr>
                <w:lang w:val="ru-RU"/>
              </w:rPr>
              <w:t xml:space="preserve"> информацию корреспондирующих пунктов. При этом обеспечивается такой обмен данными, что исключается передача по открытому каналу связи с ограниченной пропускной способностью зашифрованного сеансового ключа и обеспечивается его формирование на корреспондирующих пунктах независимо друг от друга, что позволяет повысить стойкость способа аутентификации объектов к возможным воздействиям противника.</w:t>
            </w:r>
          </w:p>
          <w:p w:rsidR="001D2481" w:rsidRPr="00C95FAA" w:rsidRDefault="001D2481" w:rsidP="001D2481">
            <w:pPr>
              <w:rPr>
                <w:lang w:val="ru-RU"/>
              </w:rPr>
            </w:pPr>
            <w:r>
              <w:rPr>
                <w:noProof/>
                <w:lang w:val="ru-RU" w:eastAsia="ru-RU"/>
              </w:rPr>
              <w:lastRenderedPageBreak/>
              <w:drawing>
                <wp:inline distT="0" distB="0" distL="0" distR="0">
                  <wp:extent cx="3191869" cy="5349240"/>
                  <wp:effectExtent l="19050" t="0" r="8531" b="0"/>
                  <wp:docPr id="24" name="Рисунок 24" descr="http://www.fips.ru/Archive4/PAT/2002/DOC/DOCURUC1/DOC021V4/D02184D1/02184390/00000001-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ips.ru/Archive4/PAT/2002/DOC/DOCURUC1/DOC021V4/D02184D1/02184390/00000001-m.gif"/>
                          <pic:cNvPicPr>
                            <a:picLocks noChangeAspect="1" noChangeArrowheads="1"/>
                          </pic:cNvPicPr>
                        </pic:nvPicPr>
                        <pic:blipFill>
                          <a:blip r:embed="rId8" cstate="print"/>
                          <a:srcRect/>
                          <a:stretch>
                            <a:fillRect/>
                          </a:stretch>
                        </pic:blipFill>
                        <pic:spPr bwMode="auto">
                          <a:xfrm>
                            <a:off x="0" y="0"/>
                            <a:ext cx="3191869" cy="5349240"/>
                          </a:xfrm>
                          <a:prstGeom prst="rect">
                            <a:avLst/>
                          </a:prstGeom>
                          <a:noFill/>
                          <a:ln w="9525">
                            <a:noFill/>
                            <a:miter lim="800000"/>
                            <a:headEnd/>
                            <a:tailEnd/>
                          </a:ln>
                        </pic:spPr>
                      </pic:pic>
                    </a:graphicData>
                  </a:graphic>
                </wp:inline>
              </w:drawing>
            </w:r>
          </w:p>
        </w:tc>
        <w:tc>
          <w:tcPr>
            <w:tcW w:w="1843" w:type="dxa"/>
          </w:tcPr>
          <w:p w:rsidR="00151A86" w:rsidRPr="001D2481" w:rsidRDefault="001D2481" w:rsidP="00810225">
            <w:pPr>
              <w:rPr>
                <w:lang w:val="ru-RU"/>
              </w:rPr>
            </w:pPr>
            <w:r>
              <w:rPr>
                <w:lang w:val="ru-RU"/>
              </w:rPr>
              <w:lastRenderedPageBreak/>
              <w:t>Не действует.</w:t>
            </w:r>
          </w:p>
        </w:tc>
      </w:tr>
      <w:tr w:rsidR="00151A86" w:rsidRPr="00C95FAA" w:rsidTr="00810225">
        <w:tc>
          <w:tcPr>
            <w:tcW w:w="988" w:type="dxa"/>
          </w:tcPr>
          <w:p w:rsidR="00151A86" w:rsidRPr="00C95FAA" w:rsidRDefault="00151A86" w:rsidP="00810225">
            <w:pPr>
              <w:rPr>
                <w:lang w:val="ru-RU"/>
              </w:rPr>
            </w:pPr>
          </w:p>
        </w:tc>
        <w:tc>
          <w:tcPr>
            <w:tcW w:w="1984" w:type="dxa"/>
          </w:tcPr>
          <w:p w:rsidR="00151A86" w:rsidRDefault="001D2481" w:rsidP="00C95FAA">
            <w:pPr>
              <w:jc w:val="left"/>
            </w:pPr>
            <w:r>
              <w:t>RU 2225676 C1</w:t>
            </w:r>
          </w:p>
          <w:p w:rsidR="001D2481" w:rsidRDefault="001D2481" w:rsidP="001D2481">
            <w:pPr>
              <w:jc w:val="left"/>
            </w:pPr>
            <w:r>
              <w:t xml:space="preserve">H04B 7/26 </w:t>
            </w:r>
          </w:p>
          <w:p w:rsidR="001D2481" w:rsidRPr="001D2481" w:rsidRDefault="001D2481" w:rsidP="001D2481">
            <w:pPr>
              <w:jc w:val="left"/>
            </w:pPr>
            <w:r>
              <w:t xml:space="preserve">G06F 12/14 </w:t>
            </w:r>
          </w:p>
        </w:tc>
        <w:tc>
          <w:tcPr>
            <w:tcW w:w="2552" w:type="dxa"/>
          </w:tcPr>
          <w:p w:rsidR="00151A86" w:rsidRDefault="001D2481" w:rsidP="00C95FAA">
            <w:pPr>
              <w:jc w:val="left"/>
            </w:pPr>
            <w:r w:rsidRPr="001D2481">
              <w:rPr>
                <w:lang w:val="ru-RU"/>
              </w:rPr>
              <w:t>Макаров А.И.</w:t>
            </w:r>
          </w:p>
          <w:p w:rsidR="001D2481" w:rsidRDefault="001D2481" w:rsidP="00C95FAA">
            <w:pPr>
              <w:jc w:val="left"/>
            </w:pPr>
            <w:proofErr w:type="spellStart"/>
            <w:r w:rsidRPr="001D2481">
              <w:t>Заявка</w:t>
            </w:r>
            <w:proofErr w:type="spellEnd"/>
            <w:r w:rsidRPr="001D2481">
              <w:t>: 2002116056/09, 18.06.2002</w:t>
            </w:r>
          </w:p>
          <w:p w:rsidR="001D2481" w:rsidRDefault="001D2481" w:rsidP="00C95FAA">
            <w:pPr>
              <w:jc w:val="left"/>
            </w:pPr>
            <w:proofErr w:type="spellStart"/>
            <w:r w:rsidRPr="001D2481">
              <w:t>Опубликовано</w:t>
            </w:r>
            <w:proofErr w:type="spellEnd"/>
            <w:r w:rsidRPr="001D2481">
              <w:t>: 10.03.2004</w:t>
            </w:r>
          </w:p>
          <w:p w:rsidR="001D2481" w:rsidRPr="001D2481" w:rsidRDefault="001D2481" w:rsidP="00C95FAA">
            <w:pPr>
              <w:jc w:val="left"/>
            </w:pPr>
          </w:p>
        </w:tc>
        <w:tc>
          <w:tcPr>
            <w:tcW w:w="7796" w:type="dxa"/>
          </w:tcPr>
          <w:p w:rsidR="00151A86" w:rsidRPr="001D2481" w:rsidRDefault="001D2481" w:rsidP="00810225">
            <w:pPr>
              <w:rPr>
                <w:lang w:val="ru-RU"/>
              </w:rPr>
            </w:pPr>
            <w:r w:rsidRPr="001D2481">
              <w:rPr>
                <w:lang w:val="ru-RU"/>
              </w:rPr>
              <w:t>СПОСОБ АУТЕНТИФИКАЦИИ ОБЪЕКТА.</w:t>
            </w:r>
          </w:p>
          <w:p w:rsidR="001D2481" w:rsidRDefault="001D2481" w:rsidP="001D2481">
            <w:r w:rsidRPr="001D2481">
              <w:rPr>
                <w:lang w:val="ru-RU"/>
              </w:rPr>
              <w:t xml:space="preserve">Изобретение относится к области аутентификации объектов. Технический результат заключается в повышении защиты от несанкционированного пользования услугами сети. В данном способе с использованием идентификационного модуля (например, </w:t>
            </w:r>
            <w:r w:rsidRPr="001D2481">
              <w:t>SIM</w:t>
            </w:r>
            <w:r w:rsidRPr="001D2481">
              <w:rPr>
                <w:lang w:val="ru-RU"/>
              </w:rPr>
              <w:t xml:space="preserve">-карты) внешним устройством осуществляется формирование запроса, содержащего случайное число и </w:t>
            </w:r>
            <w:r w:rsidRPr="001D2481">
              <w:rPr>
                <w:lang w:val="ru-RU"/>
              </w:rPr>
              <w:lastRenderedPageBreak/>
              <w:t>криптограмму, полученную обработкой случайного числа алгоритмом 2 с использованием секретного ключа 2, передача запроса на идентификационный модуль, проверка идентификационным модулем криптограммы случайного числа, формирование идентификационным модулем ответа путем шифрования запроса с использованием алгоритма 1 и случайного числа 1, возврат ответа внешнему устройству, сравнение внешним устройством полученного ответа с результатом проведенного внешним устройством шифрования запроса с использованием алгоритма 1 и секретного ключа 1.</w:t>
            </w:r>
          </w:p>
          <w:p w:rsidR="001D2481" w:rsidRPr="001D2481" w:rsidRDefault="001D2481" w:rsidP="001D2481">
            <w:r>
              <w:rPr>
                <w:noProof/>
                <w:lang w:val="ru-RU" w:eastAsia="ru-RU"/>
              </w:rPr>
              <w:drawing>
                <wp:inline distT="0" distB="0" distL="0" distR="0">
                  <wp:extent cx="3992591" cy="4335780"/>
                  <wp:effectExtent l="19050" t="0" r="7909" b="0"/>
                  <wp:docPr id="33" name="Рисунок 33" descr="http://www.fips.ru/Archive/PAT/2004/DOC/DOCURUC1/DOC022V2/D02225D2/02225676/00000001-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fips.ru/Archive/PAT/2004/DOC/DOCURUC1/DOC022V2/D02225D2/02225676/00000001-m.gif"/>
                          <pic:cNvPicPr>
                            <a:picLocks noChangeAspect="1" noChangeArrowheads="1"/>
                          </pic:cNvPicPr>
                        </pic:nvPicPr>
                        <pic:blipFill>
                          <a:blip r:embed="rId9" cstate="print"/>
                          <a:srcRect/>
                          <a:stretch>
                            <a:fillRect/>
                          </a:stretch>
                        </pic:blipFill>
                        <pic:spPr bwMode="auto">
                          <a:xfrm>
                            <a:off x="0" y="0"/>
                            <a:ext cx="3997827" cy="4341466"/>
                          </a:xfrm>
                          <a:prstGeom prst="rect">
                            <a:avLst/>
                          </a:prstGeom>
                          <a:noFill/>
                          <a:ln w="9525">
                            <a:noFill/>
                            <a:miter lim="800000"/>
                            <a:headEnd/>
                            <a:tailEnd/>
                          </a:ln>
                        </pic:spPr>
                      </pic:pic>
                    </a:graphicData>
                  </a:graphic>
                </wp:inline>
              </w:drawing>
            </w:r>
          </w:p>
        </w:tc>
        <w:tc>
          <w:tcPr>
            <w:tcW w:w="1843" w:type="dxa"/>
          </w:tcPr>
          <w:p w:rsidR="00151A86" w:rsidRPr="001D2481" w:rsidRDefault="001D2481" w:rsidP="00810225">
            <w:pPr>
              <w:rPr>
                <w:lang w:val="ru-RU"/>
              </w:rPr>
            </w:pPr>
            <w:r>
              <w:rPr>
                <w:lang w:val="ru-RU"/>
              </w:rPr>
              <w:lastRenderedPageBreak/>
              <w:t>Не действует.</w:t>
            </w:r>
          </w:p>
        </w:tc>
      </w:tr>
      <w:tr w:rsidR="00151A86" w:rsidRPr="00C95FAA" w:rsidTr="00810225">
        <w:tc>
          <w:tcPr>
            <w:tcW w:w="988" w:type="dxa"/>
          </w:tcPr>
          <w:p w:rsidR="00151A86" w:rsidRPr="00C95FAA" w:rsidRDefault="00151A86" w:rsidP="00810225">
            <w:pPr>
              <w:rPr>
                <w:lang w:val="ru-RU"/>
              </w:rPr>
            </w:pPr>
          </w:p>
        </w:tc>
        <w:tc>
          <w:tcPr>
            <w:tcW w:w="1984" w:type="dxa"/>
          </w:tcPr>
          <w:p w:rsidR="00151A86" w:rsidRDefault="001D2481" w:rsidP="00C95FAA">
            <w:pPr>
              <w:jc w:val="left"/>
            </w:pPr>
            <w:r>
              <w:t>RU 2183348 C2</w:t>
            </w:r>
          </w:p>
          <w:p w:rsidR="001D2481" w:rsidRPr="001D2481" w:rsidRDefault="001D2481" w:rsidP="001D2481">
            <w:pPr>
              <w:widowControl/>
              <w:numPr>
                <w:ilvl w:val="0"/>
                <w:numId w:val="3"/>
              </w:numPr>
              <w:ind w:left="0"/>
              <w:jc w:val="left"/>
              <w:rPr>
                <w:spacing w:val="5"/>
              </w:rPr>
            </w:pPr>
            <w:r w:rsidRPr="001D2481">
              <w:rPr>
                <w:spacing w:val="5"/>
              </w:rPr>
              <w:t>G06F 12/14</w:t>
            </w:r>
          </w:p>
          <w:p w:rsidR="001D2481" w:rsidRPr="001D2481" w:rsidRDefault="001D2481" w:rsidP="001D2481">
            <w:pPr>
              <w:widowControl/>
              <w:numPr>
                <w:ilvl w:val="0"/>
                <w:numId w:val="4"/>
              </w:numPr>
              <w:ind w:left="0"/>
              <w:jc w:val="left"/>
              <w:rPr>
                <w:spacing w:val="5"/>
              </w:rPr>
            </w:pPr>
            <w:hyperlink r:id="rId10" w:tgtFrame="_blank" w:tooltip="Ссылка на описание класса МПК (открывается в отдельном окне)" w:history="1">
              <w:r w:rsidRPr="001D2481">
                <w:rPr>
                  <w:rStyle w:val="i"/>
                  <w:bCs/>
                  <w:iCs/>
                  <w:spacing w:val="5"/>
                </w:rPr>
                <w:t>H04L 9/32</w:t>
              </w:r>
            </w:hyperlink>
          </w:p>
          <w:p w:rsidR="001D2481" w:rsidRPr="001D2481" w:rsidRDefault="001D2481" w:rsidP="001D2481">
            <w:pPr>
              <w:widowControl/>
              <w:numPr>
                <w:ilvl w:val="0"/>
                <w:numId w:val="3"/>
              </w:numPr>
              <w:ind w:left="0"/>
              <w:jc w:val="left"/>
              <w:rPr>
                <w:spacing w:val="5"/>
              </w:rPr>
            </w:pPr>
          </w:p>
          <w:p w:rsidR="001D2481" w:rsidRPr="001D2481" w:rsidRDefault="001D2481" w:rsidP="00C95FAA">
            <w:pPr>
              <w:jc w:val="left"/>
            </w:pPr>
          </w:p>
        </w:tc>
        <w:tc>
          <w:tcPr>
            <w:tcW w:w="2552" w:type="dxa"/>
          </w:tcPr>
          <w:p w:rsidR="00151A86" w:rsidRDefault="001D2481" w:rsidP="00C95FAA">
            <w:pPr>
              <w:jc w:val="left"/>
            </w:pPr>
            <w:r w:rsidRPr="001D2481">
              <w:rPr>
                <w:lang w:val="ru-RU"/>
              </w:rPr>
              <w:lastRenderedPageBreak/>
              <w:t>Военный университет связи</w:t>
            </w:r>
          </w:p>
          <w:p w:rsidR="001D2481" w:rsidRDefault="001D2481" w:rsidP="00C95FAA">
            <w:pPr>
              <w:jc w:val="left"/>
            </w:pPr>
            <w:proofErr w:type="spellStart"/>
            <w:r w:rsidRPr="001D2481">
              <w:t>Заявка</w:t>
            </w:r>
            <w:proofErr w:type="spellEnd"/>
            <w:r w:rsidRPr="001D2481">
              <w:t>: 2000119274/09, 19.07.2000</w:t>
            </w:r>
          </w:p>
          <w:p w:rsidR="001D2481" w:rsidRPr="001D2481" w:rsidRDefault="001D2481" w:rsidP="00C95FAA">
            <w:pPr>
              <w:jc w:val="left"/>
            </w:pPr>
            <w:proofErr w:type="spellStart"/>
            <w:r w:rsidRPr="001D2481">
              <w:lastRenderedPageBreak/>
              <w:t>Опубликовано</w:t>
            </w:r>
            <w:proofErr w:type="spellEnd"/>
            <w:r w:rsidRPr="001D2481">
              <w:t>: 10.06.2002</w:t>
            </w:r>
          </w:p>
        </w:tc>
        <w:tc>
          <w:tcPr>
            <w:tcW w:w="7796" w:type="dxa"/>
          </w:tcPr>
          <w:p w:rsidR="00151A86" w:rsidRPr="001D2481" w:rsidRDefault="001D2481" w:rsidP="00810225">
            <w:pPr>
              <w:rPr>
                <w:lang w:val="ru-RU"/>
              </w:rPr>
            </w:pPr>
            <w:r w:rsidRPr="001D2481">
              <w:rPr>
                <w:lang w:val="ru-RU"/>
              </w:rPr>
              <w:lastRenderedPageBreak/>
              <w:t>СПОСОБ АУТЕНТИФИКАЦИИ ОБЪЕКТОВ.</w:t>
            </w:r>
          </w:p>
          <w:p w:rsidR="001D2481" w:rsidRPr="001D2481" w:rsidRDefault="001D2481" w:rsidP="00810225">
            <w:r w:rsidRPr="001D2481">
              <w:rPr>
                <w:lang w:val="ru-RU"/>
              </w:rPr>
              <w:t xml:space="preserve">Изобретение относится к области криптографии, а именно к аутентификации объектов, и может быть использовано в качестве отдельного элемента при построении систем аутентификации, предназначенных для опознавания </w:t>
            </w:r>
            <w:r w:rsidRPr="001D2481">
              <w:rPr>
                <w:lang w:val="ru-RU"/>
              </w:rPr>
              <w:lastRenderedPageBreak/>
              <w:t xml:space="preserve">корреспондентов в сетях связи. Технический результат - обеспечение снижения времени аутентификации. Для этого способ аутентификации объектов предусматривает предварительное формирование на первом и втором корреспондирующих пунктах исходных данных, генерирование случайных чисел для вычисления открытых ключей связи и формирование на обоих корреспондирующих пунктах сеансовых ключей с помощью запомненных открытых ключей связи со сгенерированных случайных чисел соответствующих корреспондирующих пунктов. </w:t>
            </w:r>
            <w:r w:rsidRPr="001D2481">
              <w:t xml:space="preserve">2 </w:t>
            </w:r>
            <w:proofErr w:type="spellStart"/>
            <w:r w:rsidRPr="001D2481">
              <w:t>з.п</w:t>
            </w:r>
            <w:proofErr w:type="spellEnd"/>
            <w:r w:rsidRPr="001D2481">
              <w:t>. ф-</w:t>
            </w:r>
            <w:proofErr w:type="spellStart"/>
            <w:r w:rsidRPr="001D2481">
              <w:t>лы</w:t>
            </w:r>
            <w:proofErr w:type="spellEnd"/>
            <w:r w:rsidRPr="001D2481">
              <w:t xml:space="preserve">, 36 </w:t>
            </w:r>
            <w:proofErr w:type="spellStart"/>
            <w:r w:rsidRPr="001D2481">
              <w:t>ил</w:t>
            </w:r>
            <w:proofErr w:type="spellEnd"/>
            <w:r w:rsidRPr="001D2481">
              <w:t>.</w:t>
            </w:r>
          </w:p>
        </w:tc>
        <w:tc>
          <w:tcPr>
            <w:tcW w:w="1843" w:type="dxa"/>
          </w:tcPr>
          <w:p w:rsidR="00151A86" w:rsidRPr="00C95FAA" w:rsidRDefault="001D2481" w:rsidP="00810225">
            <w:pPr>
              <w:rPr>
                <w:lang w:val="ru-RU"/>
              </w:rPr>
            </w:pPr>
            <w:r>
              <w:rPr>
                <w:lang w:val="ru-RU"/>
              </w:rPr>
              <w:lastRenderedPageBreak/>
              <w:t>Не действует.</w:t>
            </w:r>
          </w:p>
        </w:tc>
      </w:tr>
      <w:tr w:rsidR="00151A86" w:rsidRPr="001D2481" w:rsidTr="00810225">
        <w:tc>
          <w:tcPr>
            <w:tcW w:w="988" w:type="dxa"/>
          </w:tcPr>
          <w:p w:rsidR="00151A86" w:rsidRPr="00C95FAA" w:rsidRDefault="00151A86" w:rsidP="00810225">
            <w:pPr>
              <w:rPr>
                <w:lang w:val="ru-RU"/>
              </w:rPr>
            </w:pPr>
          </w:p>
        </w:tc>
        <w:tc>
          <w:tcPr>
            <w:tcW w:w="1984" w:type="dxa"/>
          </w:tcPr>
          <w:p w:rsidR="00151A86" w:rsidRDefault="001D2481" w:rsidP="00C95FAA">
            <w:pPr>
              <w:jc w:val="left"/>
            </w:pPr>
            <w:r>
              <w:t>RU 2444156 C1</w:t>
            </w:r>
          </w:p>
          <w:p w:rsidR="001D2481" w:rsidRPr="001D2481" w:rsidRDefault="001D2481" w:rsidP="001D2481">
            <w:pPr>
              <w:jc w:val="left"/>
            </w:pPr>
            <w:r w:rsidRPr="001D2481">
              <w:t xml:space="preserve">H04W 12/08 </w:t>
            </w:r>
          </w:p>
        </w:tc>
        <w:tc>
          <w:tcPr>
            <w:tcW w:w="2552" w:type="dxa"/>
          </w:tcPr>
          <w:p w:rsidR="001D2481" w:rsidRDefault="001D2481" w:rsidP="001D2481">
            <w:pPr>
              <w:jc w:val="left"/>
            </w:pPr>
            <w:proofErr w:type="spellStart"/>
            <w:r>
              <w:t>Сяо</w:t>
            </w:r>
            <w:proofErr w:type="spellEnd"/>
            <w:r>
              <w:t xml:space="preserve"> </w:t>
            </w:r>
            <w:proofErr w:type="spellStart"/>
            <w:r>
              <w:t>Юэлэй</w:t>
            </w:r>
            <w:proofErr w:type="spellEnd"/>
            <w:r>
              <w:t xml:space="preserve"> (CN),</w:t>
            </w:r>
          </w:p>
          <w:p w:rsidR="001D2481" w:rsidRDefault="001D2481" w:rsidP="001D2481">
            <w:pPr>
              <w:jc w:val="left"/>
            </w:pPr>
            <w:proofErr w:type="spellStart"/>
            <w:r>
              <w:t>Цао</w:t>
            </w:r>
            <w:proofErr w:type="spellEnd"/>
            <w:r>
              <w:t xml:space="preserve"> </w:t>
            </w:r>
            <w:proofErr w:type="spellStart"/>
            <w:r>
              <w:t>Цзюнь</w:t>
            </w:r>
            <w:proofErr w:type="spellEnd"/>
            <w:r>
              <w:t xml:space="preserve"> (CN),</w:t>
            </w:r>
          </w:p>
          <w:p w:rsidR="001D2481" w:rsidRDefault="001D2481" w:rsidP="001D2481">
            <w:pPr>
              <w:jc w:val="left"/>
            </w:pPr>
            <w:proofErr w:type="spellStart"/>
            <w:r>
              <w:t>Лай</w:t>
            </w:r>
            <w:proofErr w:type="spellEnd"/>
            <w:r>
              <w:t xml:space="preserve"> </w:t>
            </w:r>
            <w:proofErr w:type="spellStart"/>
            <w:r>
              <w:t>Сяолун</w:t>
            </w:r>
            <w:proofErr w:type="spellEnd"/>
            <w:r>
              <w:t xml:space="preserve"> (CN),</w:t>
            </w:r>
          </w:p>
          <w:p w:rsidR="00151A86" w:rsidRDefault="001D2481" w:rsidP="001D2481">
            <w:pPr>
              <w:jc w:val="left"/>
            </w:pPr>
            <w:proofErr w:type="spellStart"/>
            <w:r>
              <w:t>Хуан</w:t>
            </w:r>
            <w:proofErr w:type="spellEnd"/>
            <w:r>
              <w:t xml:space="preserve"> </w:t>
            </w:r>
            <w:proofErr w:type="spellStart"/>
            <w:r>
              <w:t>Чжэньхай</w:t>
            </w:r>
            <w:proofErr w:type="spellEnd"/>
            <w:r>
              <w:t xml:space="preserve"> (CN)</w:t>
            </w:r>
          </w:p>
          <w:p w:rsidR="001D2481" w:rsidRDefault="001D2481" w:rsidP="001D2481">
            <w:pPr>
              <w:jc w:val="left"/>
            </w:pPr>
            <w:proofErr w:type="spellStart"/>
            <w:r w:rsidRPr="001D2481">
              <w:t>Заявка</w:t>
            </w:r>
            <w:proofErr w:type="spellEnd"/>
            <w:r w:rsidRPr="001D2481">
              <w:t>: 2010123909/08, 14.11.2008</w:t>
            </w:r>
          </w:p>
          <w:p w:rsidR="001D2481" w:rsidRDefault="001D2481" w:rsidP="001D2481">
            <w:pPr>
              <w:jc w:val="left"/>
            </w:pPr>
            <w:proofErr w:type="spellStart"/>
            <w:r>
              <w:t>Конвенционный</w:t>
            </w:r>
            <w:proofErr w:type="spellEnd"/>
            <w:r>
              <w:t xml:space="preserve"> </w:t>
            </w:r>
            <w:proofErr w:type="spellStart"/>
            <w:r>
              <w:t>приоритет</w:t>
            </w:r>
            <w:proofErr w:type="spellEnd"/>
            <w:r>
              <w:t>:</w:t>
            </w:r>
          </w:p>
          <w:p w:rsidR="001D2481" w:rsidRDefault="001D2481" w:rsidP="001D2481">
            <w:pPr>
              <w:jc w:val="left"/>
            </w:pPr>
            <w:r>
              <w:t>16.11.2007 CN 200710019093.2</w:t>
            </w:r>
          </w:p>
          <w:p w:rsidR="001D2481" w:rsidRPr="001D2481" w:rsidRDefault="001D2481" w:rsidP="001D2481">
            <w:pPr>
              <w:jc w:val="left"/>
            </w:pPr>
            <w:proofErr w:type="spellStart"/>
            <w:r w:rsidRPr="001D2481">
              <w:t>Опубликовано</w:t>
            </w:r>
            <w:proofErr w:type="spellEnd"/>
            <w:r w:rsidRPr="001D2481">
              <w:t>: 27.02.2012</w:t>
            </w:r>
          </w:p>
        </w:tc>
        <w:tc>
          <w:tcPr>
            <w:tcW w:w="7796" w:type="dxa"/>
          </w:tcPr>
          <w:p w:rsidR="00151A86" w:rsidRPr="001D2481" w:rsidRDefault="001D2481" w:rsidP="00810225">
            <w:pPr>
              <w:rPr>
                <w:lang w:val="ru-RU"/>
              </w:rPr>
            </w:pPr>
            <w:r w:rsidRPr="001D2481">
              <w:rPr>
                <w:lang w:val="ru-RU"/>
              </w:rPr>
              <w:t>СПОСОБ УПРАВЛЕНИЯ ДОСТУПОМ К ЗАЩИЩЕННОЙ СЕТИ НА ОСНОВЕ ТРЕХЭЛЕМЕНТНОЙ АУТЕНТИФИКАЦИИ ОДНОРАНГОВЫХ ОБЪЕКТОВ.</w:t>
            </w:r>
          </w:p>
          <w:p w:rsidR="001D2481" w:rsidRPr="001D2481" w:rsidRDefault="001D2481" w:rsidP="00810225">
            <w:pPr>
              <w:rPr>
                <w:lang w:val="ru-RU"/>
              </w:rPr>
            </w:pPr>
            <w:r w:rsidRPr="001D2481">
              <w:rPr>
                <w:lang w:val="ru-RU"/>
              </w:rPr>
              <w:t xml:space="preserve">Изобретение относится к области сетевой безопасности. Техническим результатом является повышение надежности доступа к защищенной сети. Способ управления доступом к защищенной сети на основе трехэлементной аутентификации </w:t>
            </w:r>
            <w:proofErr w:type="spellStart"/>
            <w:r w:rsidRPr="001D2481">
              <w:rPr>
                <w:lang w:val="ru-RU"/>
              </w:rPr>
              <w:t>одноранговых</w:t>
            </w:r>
            <w:proofErr w:type="spellEnd"/>
            <w:r w:rsidRPr="001D2481">
              <w:rPr>
                <w:lang w:val="ru-RU"/>
              </w:rPr>
              <w:t xml:space="preserve"> объектов содержит: прежде всего, инициализацию коллекторов надежности и верификатора надежности, затем осуществление протокола трехэлементной аутентификации </w:t>
            </w:r>
            <w:proofErr w:type="spellStart"/>
            <w:r w:rsidRPr="001D2481">
              <w:rPr>
                <w:lang w:val="ru-RU"/>
              </w:rPr>
              <w:t>одноранговых</w:t>
            </w:r>
            <w:proofErr w:type="spellEnd"/>
            <w:r w:rsidRPr="001D2481">
              <w:rPr>
                <w:lang w:val="ru-RU"/>
              </w:rPr>
              <w:t xml:space="preserve"> объектов с помощью инициатора запросов сетевого доступа, контроллера сетевого доступа и сервера политик аутентификации на уровне управления сетевым доступом для осуществления двусторонней аутентификации пользователя между инициатором запросов доступа и контроллером доступа; если аутентификация является успешной или локальная политика требует выполнения процесса оценки надежности терминалом TNC, сервером TNC и сервером оценки надежности на уровне оценки доверенной платформы трехэлементной аутентификации </w:t>
            </w:r>
            <w:proofErr w:type="spellStart"/>
            <w:r w:rsidRPr="001D2481">
              <w:rPr>
                <w:lang w:val="ru-RU"/>
              </w:rPr>
              <w:t>одноранговых</w:t>
            </w:r>
            <w:proofErr w:type="spellEnd"/>
            <w:r w:rsidRPr="001D2481">
              <w:rPr>
                <w:lang w:val="ru-RU"/>
              </w:rPr>
              <w:t xml:space="preserve"> объектов для осуществления двусторонней аутентификации надежности платформ между инициатором запросов доступа и контроллером доступа; в конечном итоге инициатор запросов доступа и контроллер доступа управляют портами по рекомендациям, сгенерированным терминалом клиента TNAC и терминалом сервера TNAC. 9 </w:t>
            </w:r>
            <w:proofErr w:type="spellStart"/>
            <w:r w:rsidRPr="001D2481">
              <w:rPr>
                <w:lang w:val="ru-RU"/>
              </w:rPr>
              <w:t>з.п</w:t>
            </w:r>
            <w:proofErr w:type="spellEnd"/>
            <w:r w:rsidRPr="001D2481">
              <w:rPr>
                <w:lang w:val="ru-RU"/>
              </w:rPr>
              <w:t xml:space="preserve">. </w:t>
            </w:r>
            <w:proofErr w:type="spellStart"/>
            <w:r w:rsidRPr="001D2481">
              <w:rPr>
                <w:lang w:val="ru-RU"/>
              </w:rPr>
              <w:t>ф-лы</w:t>
            </w:r>
            <w:proofErr w:type="spellEnd"/>
            <w:r w:rsidRPr="001D2481">
              <w:rPr>
                <w:lang w:val="ru-RU"/>
              </w:rPr>
              <w:t>, 4 ил.</w:t>
            </w:r>
          </w:p>
          <w:p w:rsidR="001D2481" w:rsidRPr="001D2481" w:rsidRDefault="001D2481" w:rsidP="00810225">
            <w:pPr>
              <w:rPr>
                <w:lang w:val="ru-RU"/>
              </w:rPr>
            </w:pPr>
            <w:r>
              <w:rPr>
                <w:noProof/>
                <w:lang w:val="ru-RU" w:eastAsia="ru-RU"/>
              </w:rPr>
              <w:lastRenderedPageBreak/>
              <w:drawing>
                <wp:inline distT="0" distB="0" distL="0" distR="0">
                  <wp:extent cx="4530090" cy="2731185"/>
                  <wp:effectExtent l="19050" t="0" r="3810" b="0"/>
                  <wp:docPr id="36" name="Рисунок 36" descr="http://www.fips.ru/Archive/PAT/2012FULL/2012.02.27/DOC/RUNWC1/000/000/002/444/156/00000001-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ips.ru/Archive/PAT/2012FULL/2012.02.27/DOC/RUNWC1/000/000/002/444/156/00000001-m.gif"/>
                          <pic:cNvPicPr>
                            <a:picLocks noChangeAspect="1" noChangeArrowheads="1"/>
                          </pic:cNvPicPr>
                        </pic:nvPicPr>
                        <pic:blipFill>
                          <a:blip r:embed="rId11" cstate="print"/>
                          <a:srcRect/>
                          <a:stretch>
                            <a:fillRect/>
                          </a:stretch>
                        </pic:blipFill>
                        <pic:spPr bwMode="auto">
                          <a:xfrm>
                            <a:off x="0" y="0"/>
                            <a:ext cx="4530090" cy="2731185"/>
                          </a:xfrm>
                          <a:prstGeom prst="rect">
                            <a:avLst/>
                          </a:prstGeom>
                          <a:noFill/>
                          <a:ln w="9525">
                            <a:noFill/>
                            <a:miter lim="800000"/>
                            <a:headEnd/>
                            <a:tailEnd/>
                          </a:ln>
                        </pic:spPr>
                      </pic:pic>
                    </a:graphicData>
                  </a:graphic>
                </wp:inline>
              </w:drawing>
            </w:r>
          </w:p>
        </w:tc>
        <w:tc>
          <w:tcPr>
            <w:tcW w:w="1843" w:type="dxa"/>
          </w:tcPr>
          <w:p w:rsidR="00151A86" w:rsidRPr="001D2481" w:rsidRDefault="001D2481" w:rsidP="00810225">
            <w:pPr>
              <w:rPr>
                <w:lang w:val="ru-RU"/>
              </w:rPr>
            </w:pPr>
            <w:r>
              <w:rPr>
                <w:lang w:val="ru-RU"/>
              </w:rPr>
              <w:lastRenderedPageBreak/>
              <w:t>Действует.</w:t>
            </w:r>
          </w:p>
        </w:tc>
      </w:tr>
      <w:tr w:rsidR="00151A86" w:rsidRPr="001D2481" w:rsidTr="00810225">
        <w:tc>
          <w:tcPr>
            <w:tcW w:w="988" w:type="dxa"/>
          </w:tcPr>
          <w:p w:rsidR="00151A86" w:rsidRPr="001D2481" w:rsidRDefault="00151A86" w:rsidP="00810225">
            <w:pPr>
              <w:rPr>
                <w:lang w:val="ru-RU"/>
              </w:rPr>
            </w:pPr>
          </w:p>
        </w:tc>
        <w:tc>
          <w:tcPr>
            <w:tcW w:w="1984" w:type="dxa"/>
          </w:tcPr>
          <w:p w:rsidR="00151A86" w:rsidRDefault="001D2481" w:rsidP="00C95FAA">
            <w:pPr>
              <w:jc w:val="left"/>
            </w:pPr>
            <w:r>
              <w:t>RU 2222107 C2</w:t>
            </w:r>
          </w:p>
          <w:p w:rsidR="001D2481" w:rsidRPr="001D2481" w:rsidRDefault="001D2481" w:rsidP="001D2481">
            <w:pPr>
              <w:jc w:val="left"/>
            </w:pPr>
            <w:r w:rsidRPr="001D2481">
              <w:t xml:space="preserve">H04B 7/26 </w:t>
            </w:r>
          </w:p>
        </w:tc>
        <w:tc>
          <w:tcPr>
            <w:tcW w:w="2552" w:type="dxa"/>
          </w:tcPr>
          <w:p w:rsidR="001D2481" w:rsidRPr="001D2481" w:rsidRDefault="001D2481" w:rsidP="001D2481">
            <w:pPr>
              <w:jc w:val="left"/>
              <w:rPr>
                <w:lang w:val="ru-RU"/>
              </w:rPr>
            </w:pPr>
            <w:proofErr w:type="spellStart"/>
            <w:r w:rsidRPr="001D2481">
              <w:rPr>
                <w:lang w:val="ru-RU"/>
              </w:rPr>
              <w:t>Коо</w:t>
            </w:r>
            <w:proofErr w:type="spellEnd"/>
            <w:r w:rsidRPr="001D2481">
              <w:rPr>
                <w:lang w:val="ru-RU"/>
              </w:rPr>
              <w:t xml:space="preserve"> </w:t>
            </w:r>
            <w:proofErr w:type="spellStart"/>
            <w:r w:rsidRPr="001D2481">
              <w:rPr>
                <w:lang w:val="ru-RU"/>
              </w:rPr>
              <w:t>Чанг-Хой</w:t>
            </w:r>
            <w:proofErr w:type="spellEnd"/>
            <w:r w:rsidRPr="001D2481">
              <w:rPr>
                <w:lang w:val="ru-RU"/>
              </w:rPr>
              <w:t xml:space="preserve"> (</w:t>
            </w:r>
            <w:r>
              <w:t>KR</w:t>
            </w:r>
            <w:r w:rsidRPr="001D2481">
              <w:rPr>
                <w:lang w:val="ru-RU"/>
              </w:rPr>
              <w:t>),</w:t>
            </w:r>
          </w:p>
          <w:p w:rsidR="001D2481" w:rsidRPr="001D2481" w:rsidRDefault="001D2481" w:rsidP="001D2481">
            <w:pPr>
              <w:jc w:val="left"/>
              <w:rPr>
                <w:lang w:val="ru-RU"/>
              </w:rPr>
            </w:pPr>
            <w:r w:rsidRPr="001D2481">
              <w:rPr>
                <w:lang w:val="ru-RU"/>
              </w:rPr>
              <w:t xml:space="preserve">Ли </w:t>
            </w:r>
            <w:proofErr w:type="spellStart"/>
            <w:r w:rsidRPr="001D2481">
              <w:rPr>
                <w:lang w:val="ru-RU"/>
              </w:rPr>
              <w:t>Хиун-Сеок</w:t>
            </w:r>
            <w:proofErr w:type="spellEnd"/>
            <w:r w:rsidRPr="001D2481">
              <w:rPr>
                <w:lang w:val="ru-RU"/>
              </w:rPr>
              <w:t xml:space="preserve"> (</w:t>
            </w:r>
            <w:r>
              <w:t>KR</w:t>
            </w:r>
            <w:r w:rsidRPr="001D2481">
              <w:rPr>
                <w:lang w:val="ru-RU"/>
              </w:rPr>
              <w:t>),</w:t>
            </w:r>
          </w:p>
          <w:p w:rsidR="001D2481" w:rsidRPr="001D2481" w:rsidRDefault="001D2481" w:rsidP="001D2481">
            <w:pPr>
              <w:jc w:val="left"/>
              <w:rPr>
                <w:lang w:val="ru-RU"/>
              </w:rPr>
            </w:pPr>
            <w:r w:rsidRPr="001D2481">
              <w:rPr>
                <w:lang w:val="ru-RU"/>
              </w:rPr>
              <w:t xml:space="preserve">Ким </w:t>
            </w:r>
            <w:proofErr w:type="spellStart"/>
            <w:r w:rsidRPr="001D2481">
              <w:rPr>
                <w:lang w:val="ru-RU"/>
              </w:rPr>
              <w:t>Дае-Гиун</w:t>
            </w:r>
            <w:proofErr w:type="spellEnd"/>
            <w:r w:rsidRPr="001D2481">
              <w:rPr>
                <w:lang w:val="ru-RU"/>
              </w:rPr>
              <w:t xml:space="preserve"> (</w:t>
            </w:r>
            <w:r>
              <w:t>KR</w:t>
            </w:r>
            <w:r w:rsidRPr="001D2481">
              <w:rPr>
                <w:lang w:val="ru-RU"/>
              </w:rPr>
              <w:t>),</w:t>
            </w:r>
          </w:p>
          <w:p w:rsidR="001D2481" w:rsidRPr="001D2481" w:rsidRDefault="001D2481" w:rsidP="001D2481">
            <w:pPr>
              <w:jc w:val="left"/>
              <w:rPr>
                <w:lang w:val="ru-RU"/>
              </w:rPr>
            </w:pPr>
            <w:proofErr w:type="spellStart"/>
            <w:r w:rsidRPr="001D2481">
              <w:rPr>
                <w:lang w:val="ru-RU"/>
              </w:rPr>
              <w:t>Чанг</w:t>
            </w:r>
            <w:proofErr w:type="spellEnd"/>
            <w:r w:rsidRPr="001D2481">
              <w:rPr>
                <w:lang w:val="ru-RU"/>
              </w:rPr>
              <w:t xml:space="preserve"> </w:t>
            </w:r>
            <w:proofErr w:type="spellStart"/>
            <w:r w:rsidRPr="001D2481">
              <w:rPr>
                <w:lang w:val="ru-RU"/>
              </w:rPr>
              <w:t>Хоон</w:t>
            </w:r>
            <w:proofErr w:type="spellEnd"/>
            <w:r w:rsidRPr="001D2481">
              <w:rPr>
                <w:lang w:val="ru-RU"/>
              </w:rPr>
              <w:t xml:space="preserve"> (</w:t>
            </w:r>
            <w:r>
              <w:t>KR</w:t>
            </w:r>
            <w:r w:rsidRPr="001D2481">
              <w:rPr>
                <w:lang w:val="ru-RU"/>
              </w:rPr>
              <w:t>),</w:t>
            </w:r>
          </w:p>
          <w:p w:rsidR="00151A86" w:rsidRDefault="001D2481" w:rsidP="001D2481">
            <w:pPr>
              <w:jc w:val="left"/>
            </w:pPr>
            <w:proofErr w:type="spellStart"/>
            <w:r>
              <w:t>Ли</w:t>
            </w:r>
            <w:proofErr w:type="spellEnd"/>
            <w:r>
              <w:t xml:space="preserve"> </w:t>
            </w:r>
            <w:proofErr w:type="spellStart"/>
            <w:r>
              <w:t>Сунг-Вон</w:t>
            </w:r>
            <w:proofErr w:type="spellEnd"/>
            <w:r>
              <w:t xml:space="preserve"> (KR)</w:t>
            </w:r>
          </w:p>
          <w:p w:rsidR="001D2481" w:rsidRDefault="001D2481" w:rsidP="001D2481">
            <w:pPr>
              <w:jc w:val="left"/>
            </w:pPr>
            <w:proofErr w:type="spellStart"/>
            <w:r w:rsidRPr="001D2481">
              <w:t>Заявка</w:t>
            </w:r>
            <w:proofErr w:type="spellEnd"/>
            <w:r w:rsidRPr="001D2481">
              <w:t>: 2001123939/09, 29.12.2000</w:t>
            </w:r>
          </w:p>
          <w:p w:rsidR="001D2481" w:rsidRDefault="001D2481" w:rsidP="001D2481">
            <w:pPr>
              <w:jc w:val="left"/>
            </w:pPr>
            <w:proofErr w:type="spellStart"/>
            <w:r>
              <w:t>Конвенционный</w:t>
            </w:r>
            <w:proofErr w:type="spellEnd"/>
            <w:r>
              <w:t xml:space="preserve"> </w:t>
            </w:r>
            <w:proofErr w:type="spellStart"/>
            <w:r>
              <w:t>приоритет</w:t>
            </w:r>
            <w:proofErr w:type="spellEnd"/>
            <w:r>
              <w:t>:</w:t>
            </w:r>
          </w:p>
          <w:p w:rsidR="001D2481" w:rsidRDefault="001D2481" w:rsidP="001D2481">
            <w:pPr>
              <w:jc w:val="left"/>
            </w:pPr>
            <w:r>
              <w:t>29.12.1999 KR 1999/64544</w:t>
            </w:r>
          </w:p>
          <w:p w:rsidR="001D2481" w:rsidRPr="001D2481" w:rsidRDefault="006C3446" w:rsidP="001D2481">
            <w:pPr>
              <w:jc w:val="left"/>
            </w:pPr>
            <w:proofErr w:type="spellStart"/>
            <w:r w:rsidRPr="006C3446">
              <w:t>Опубликовано</w:t>
            </w:r>
            <w:proofErr w:type="spellEnd"/>
            <w:r w:rsidRPr="006C3446">
              <w:t>: 20.01.2004</w:t>
            </w:r>
          </w:p>
        </w:tc>
        <w:tc>
          <w:tcPr>
            <w:tcW w:w="7796" w:type="dxa"/>
          </w:tcPr>
          <w:p w:rsidR="00151A86" w:rsidRDefault="001D2481" w:rsidP="00810225">
            <w:r w:rsidRPr="001D2481">
              <w:rPr>
                <w:lang w:val="ru-RU"/>
              </w:rPr>
              <w:t>СПОСОБ ПЕРЕДАЧИ ДАННЫХ В СИСТЕМЕ МНОЖЕСТВЕННОГО ДОСТУПА С КОДОВЫМ РАЗДЕЛЕНИЕМ КАНАЛОВ</w:t>
            </w:r>
            <w:r>
              <w:rPr>
                <w:lang w:val="ru-RU"/>
              </w:rPr>
              <w:t>.</w:t>
            </w:r>
          </w:p>
          <w:p w:rsidR="006C3446" w:rsidRDefault="006C3446" w:rsidP="006C3446">
            <w:r w:rsidRPr="006C3446">
              <w:rPr>
                <w:lang w:val="ru-RU"/>
              </w:rPr>
              <w:t xml:space="preserve">Изобретение относится к системам мобильной связи множественного доступа с кодовым разделением каналов (МДКР). Технический результат заключается в упрощении процедуры передачи данных в системе МДКР. Сущность изобретения заключается в том, что, если в мобильной станции формируется большой объем пользовательских данных, то мобильная станция формирует сообщение запроса дополнительного канала, включающее в себя информацию запроса дополнительного канала, необходимую для перехода из состояния удержания управления в </w:t>
            </w:r>
            <w:proofErr w:type="spellStart"/>
            <w:r w:rsidRPr="006C3446">
              <w:rPr>
                <w:lang w:val="ru-RU"/>
              </w:rPr>
              <w:t>субсостояние</w:t>
            </w:r>
            <w:proofErr w:type="spellEnd"/>
            <w:r w:rsidRPr="006C3446">
              <w:rPr>
                <w:lang w:val="ru-RU"/>
              </w:rPr>
              <w:t xml:space="preserve"> высокой скорости передачи без промежуточного перехода в </w:t>
            </w:r>
            <w:proofErr w:type="spellStart"/>
            <w:r w:rsidRPr="006C3446">
              <w:rPr>
                <w:lang w:val="ru-RU"/>
              </w:rPr>
              <w:t>субсостояние</w:t>
            </w:r>
            <w:proofErr w:type="spellEnd"/>
            <w:r w:rsidRPr="006C3446">
              <w:rPr>
                <w:lang w:val="ru-RU"/>
              </w:rPr>
              <w:t xml:space="preserve"> низкой скорости передачи, и информацию о переходе между состояниями, необходимую для перехода из состояния удержания управления в активное состояние, и передает сообщение запроса дополнительного канала к базовой станции. </w:t>
            </w:r>
            <w:r w:rsidRPr="006C3446">
              <w:t xml:space="preserve">2 с. и 8 </w:t>
            </w:r>
            <w:proofErr w:type="spellStart"/>
            <w:r w:rsidRPr="006C3446">
              <w:t>з.п</w:t>
            </w:r>
            <w:proofErr w:type="spellEnd"/>
            <w:r w:rsidRPr="006C3446">
              <w:t>. ф-</w:t>
            </w:r>
            <w:proofErr w:type="spellStart"/>
            <w:r w:rsidRPr="006C3446">
              <w:t>лы</w:t>
            </w:r>
            <w:proofErr w:type="spellEnd"/>
            <w:r w:rsidRPr="006C3446">
              <w:t xml:space="preserve">, 7 </w:t>
            </w:r>
            <w:proofErr w:type="spellStart"/>
            <w:r w:rsidRPr="006C3446">
              <w:t>ил</w:t>
            </w:r>
            <w:proofErr w:type="spellEnd"/>
            <w:r w:rsidRPr="006C3446">
              <w:t xml:space="preserve">., 5 </w:t>
            </w:r>
            <w:proofErr w:type="spellStart"/>
            <w:r w:rsidRPr="006C3446">
              <w:t>табл</w:t>
            </w:r>
            <w:proofErr w:type="spellEnd"/>
            <w:r w:rsidRPr="006C3446">
              <w:t>.</w:t>
            </w:r>
          </w:p>
          <w:p w:rsidR="006C3446" w:rsidRPr="006C3446" w:rsidRDefault="006C3446" w:rsidP="006C3446">
            <w:r>
              <w:rPr>
                <w:noProof/>
                <w:lang w:val="ru-RU" w:eastAsia="ru-RU"/>
              </w:rPr>
              <w:lastRenderedPageBreak/>
              <w:drawing>
                <wp:inline distT="0" distB="0" distL="0" distR="0">
                  <wp:extent cx="2830830" cy="1996426"/>
                  <wp:effectExtent l="19050" t="0" r="7620" b="0"/>
                  <wp:docPr id="45" name="Рисунок 45" descr="http://www.fips.ru/Archive/PAT/2004/DOC/DOCURUC2/DOC022V1/D02222D1/02222107/00000001-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fips.ru/Archive/PAT/2004/DOC/DOCURUC2/DOC022V1/D02222D1/02222107/00000001-m.gif"/>
                          <pic:cNvPicPr>
                            <a:picLocks noChangeAspect="1" noChangeArrowheads="1"/>
                          </pic:cNvPicPr>
                        </pic:nvPicPr>
                        <pic:blipFill>
                          <a:blip r:embed="rId12" cstate="print"/>
                          <a:srcRect/>
                          <a:stretch>
                            <a:fillRect/>
                          </a:stretch>
                        </pic:blipFill>
                        <pic:spPr bwMode="auto">
                          <a:xfrm>
                            <a:off x="0" y="0"/>
                            <a:ext cx="2833392" cy="1998233"/>
                          </a:xfrm>
                          <a:prstGeom prst="rect">
                            <a:avLst/>
                          </a:prstGeom>
                          <a:noFill/>
                          <a:ln w="9525">
                            <a:noFill/>
                            <a:miter lim="800000"/>
                            <a:headEnd/>
                            <a:tailEnd/>
                          </a:ln>
                        </pic:spPr>
                      </pic:pic>
                    </a:graphicData>
                  </a:graphic>
                </wp:inline>
              </w:drawing>
            </w:r>
          </w:p>
        </w:tc>
        <w:tc>
          <w:tcPr>
            <w:tcW w:w="1843" w:type="dxa"/>
          </w:tcPr>
          <w:p w:rsidR="00151A86" w:rsidRPr="001D2481" w:rsidRDefault="006C3446" w:rsidP="00810225">
            <w:pPr>
              <w:rPr>
                <w:lang w:val="ru-RU"/>
              </w:rPr>
            </w:pPr>
            <w:r>
              <w:rPr>
                <w:lang w:val="ru-RU"/>
              </w:rPr>
              <w:lastRenderedPageBreak/>
              <w:t>Не действует.</w:t>
            </w:r>
          </w:p>
        </w:tc>
      </w:tr>
    </w:tbl>
    <w:p w:rsidR="00151A86" w:rsidRPr="001D2481" w:rsidRDefault="00151A86" w:rsidP="000E2026">
      <w:pPr>
        <w:rPr>
          <w:sz w:val="32"/>
          <w:lang w:val="ru-RU"/>
        </w:rPr>
      </w:pPr>
    </w:p>
    <w:sectPr w:rsidR="00151A86" w:rsidRPr="001D2481" w:rsidSect="0043678F">
      <w:pgSz w:w="16838" w:h="11906" w:orient="landscape"/>
      <w:pgMar w:top="993"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1FD"/>
    <w:multiLevelType w:val="hybridMultilevel"/>
    <w:tmpl w:val="DF08E58C"/>
    <w:lvl w:ilvl="0" w:tplc="B282AE4C">
      <w:start w:val="1"/>
      <w:numFmt w:val="decimal"/>
      <w:lvlText w:val="%1."/>
      <w:lvlJc w:val="left"/>
      <w:pPr>
        <w:ind w:hanging="312"/>
        <w:jc w:val="right"/>
      </w:pPr>
      <w:rPr>
        <w:rFonts w:ascii="Arial" w:eastAsia="Arial" w:hAnsi="Arial" w:hint="default"/>
        <w:w w:val="90"/>
        <w:sz w:val="28"/>
        <w:szCs w:val="28"/>
      </w:rPr>
    </w:lvl>
    <w:lvl w:ilvl="1" w:tplc="41A02B96">
      <w:start w:val="1"/>
      <w:numFmt w:val="bullet"/>
      <w:lvlText w:val="•"/>
      <w:lvlJc w:val="left"/>
      <w:rPr>
        <w:rFonts w:hint="default"/>
      </w:rPr>
    </w:lvl>
    <w:lvl w:ilvl="2" w:tplc="7FBA8236">
      <w:start w:val="1"/>
      <w:numFmt w:val="bullet"/>
      <w:lvlText w:val="•"/>
      <w:lvlJc w:val="left"/>
      <w:rPr>
        <w:rFonts w:hint="default"/>
      </w:rPr>
    </w:lvl>
    <w:lvl w:ilvl="3" w:tplc="BF70C6B4">
      <w:start w:val="1"/>
      <w:numFmt w:val="bullet"/>
      <w:lvlText w:val="•"/>
      <w:lvlJc w:val="left"/>
      <w:rPr>
        <w:rFonts w:hint="default"/>
      </w:rPr>
    </w:lvl>
    <w:lvl w:ilvl="4" w:tplc="6400CAF0">
      <w:start w:val="1"/>
      <w:numFmt w:val="bullet"/>
      <w:lvlText w:val="•"/>
      <w:lvlJc w:val="left"/>
      <w:rPr>
        <w:rFonts w:hint="default"/>
      </w:rPr>
    </w:lvl>
    <w:lvl w:ilvl="5" w:tplc="E928642E">
      <w:start w:val="1"/>
      <w:numFmt w:val="bullet"/>
      <w:lvlText w:val="•"/>
      <w:lvlJc w:val="left"/>
      <w:rPr>
        <w:rFonts w:hint="default"/>
      </w:rPr>
    </w:lvl>
    <w:lvl w:ilvl="6" w:tplc="CE788710">
      <w:start w:val="1"/>
      <w:numFmt w:val="bullet"/>
      <w:lvlText w:val="•"/>
      <w:lvlJc w:val="left"/>
      <w:rPr>
        <w:rFonts w:hint="default"/>
      </w:rPr>
    </w:lvl>
    <w:lvl w:ilvl="7" w:tplc="FFF88FCC">
      <w:start w:val="1"/>
      <w:numFmt w:val="bullet"/>
      <w:lvlText w:val="•"/>
      <w:lvlJc w:val="left"/>
      <w:rPr>
        <w:rFonts w:hint="default"/>
      </w:rPr>
    </w:lvl>
    <w:lvl w:ilvl="8" w:tplc="0E02DCEA">
      <w:start w:val="1"/>
      <w:numFmt w:val="bullet"/>
      <w:lvlText w:val="•"/>
      <w:lvlJc w:val="left"/>
      <w:rPr>
        <w:rFonts w:hint="default"/>
      </w:rPr>
    </w:lvl>
  </w:abstractNum>
  <w:abstractNum w:abstractNumId="1">
    <w:nsid w:val="313A4D58"/>
    <w:multiLevelType w:val="multilevel"/>
    <w:tmpl w:val="C8F8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FA561D"/>
    <w:multiLevelType w:val="hybridMultilevel"/>
    <w:tmpl w:val="45DC921C"/>
    <w:lvl w:ilvl="0" w:tplc="D0C83D76">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2F065BE"/>
    <w:multiLevelType w:val="multilevel"/>
    <w:tmpl w:val="EE40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D6F89"/>
    <w:rsid w:val="0000796C"/>
    <w:rsid w:val="00080B28"/>
    <w:rsid w:val="000C1074"/>
    <w:rsid w:val="000D5562"/>
    <w:rsid w:val="000E2026"/>
    <w:rsid w:val="00106D4F"/>
    <w:rsid w:val="00151A86"/>
    <w:rsid w:val="001A620F"/>
    <w:rsid w:val="001B5CEE"/>
    <w:rsid w:val="001D03B7"/>
    <w:rsid w:val="001D2481"/>
    <w:rsid w:val="001F1D07"/>
    <w:rsid w:val="00230A74"/>
    <w:rsid w:val="00300D3B"/>
    <w:rsid w:val="0037419F"/>
    <w:rsid w:val="00380630"/>
    <w:rsid w:val="003E2F01"/>
    <w:rsid w:val="00436105"/>
    <w:rsid w:val="0043678F"/>
    <w:rsid w:val="00477451"/>
    <w:rsid w:val="00500B29"/>
    <w:rsid w:val="00546686"/>
    <w:rsid w:val="00583025"/>
    <w:rsid w:val="0059048D"/>
    <w:rsid w:val="00594895"/>
    <w:rsid w:val="005A04E8"/>
    <w:rsid w:val="005D77DE"/>
    <w:rsid w:val="005E0B0B"/>
    <w:rsid w:val="00602C2C"/>
    <w:rsid w:val="00612711"/>
    <w:rsid w:val="00626C0C"/>
    <w:rsid w:val="006370E7"/>
    <w:rsid w:val="006800F7"/>
    <w:rsid w:val="006B2AE7"/>
    <w:rsid w:val="006C3446"/>
    <w:rsid w:val="006D4341"/>
    <w:rsid w:val="006F7608"/>
    <w:rsid w:val="00745DE9"/>
    <w:rsid w:val="0075416D"/>
    <w:rsid w:val="007838A3"/>
    <w:rsid w:val="007A108F"/>
    <w:rsid w:val="007A426D"/>
    <w:rsid w:val="007B6F6E"/>
    <w:rsid w:val="007D6F89"/>
    <w:rsid w:val="00811F06"/>
    <w:rsid w:val="00811F51"/>
    <w:rsid w:val="00846386"/>
    <w:rsid w:val="00857CD5"/>
    <w:rsid w:val="0087168C"/>
    <w:rsid w:val="00873071"/>
    <w:rsid w:val="00884FA6"/>
    <w:rsid w:val="0088616D"/>
    <w:rsid w:val="008B398D"/>
    <w:rsid w:val="008C3A54"/>
    <w:rsid w:val="008D3A1C"/>
    <w:rsid w:val="00941353"/>
    <w:rsid w:val="00944BFD"/>
    <w:rsid w:val="00960B04"/>
    <w:rsid w:val="009A033F"/>
    <w:rsid w:val="009B565F"/>
    <w:rsid w:val="009E0959"/>
    <w:rsid w:val="009E33C2"/>
    <w:rsid w:val="00A116DB"/>
    <w:rsid w:val="00A25BB1"/>
    <w:rsid w:val="00A52597"/>
    <w:rsid w:val="00A66959"/>
    <w:rsid w:val="00A910B5"/>
    <w:rsid w:val="00AC1015"/>
    <w:rsid w:val="00AD6488"/>
    <w:rsid w:val="00AE5659"/>
    <w:rsid w:val="00B1449E"/>
    <w:rsid w:val="00B5582B"/>
    <w:rsid w:val="00BB3C0E"/>
    <w:rsid w:val="00BC1C93"/>
    <w:rsid w:val="00BC5EB5"/>
    <w:rsid w:val="00BE00DA"/>
    <w:rsid w:val="00BE088E"/>
    <w:rsid w:val="00BE429E"/>
    <w:rsid w:val="00BE6306"/>
    <w:rsid w:val="00C32246"/>
    <w:rsid w:val="00C33831"/>
    <w:rsid w:val="00C34A0B"/>
    <w:rsid w:val="00C65837"/>
    <w:rsid w:val="00C95FAA"/>
    <w:rsid w:val="00CB5A08"/>
    <w:rsid w:val="00CE2E0E"/>
    <w:rsid w:val="00D05716"/>
    <w:rsid w:val="00D06A35"/>
    <w:rsid w:val="00D217C6"/>
    <w:rsid w:val="00D62FAE"/>
    <w:rsid w:val="00D93AFB"/>
    <w:rsid w:val="00DA2B33"/>
    <w:rsid w:val="00DC4402"/>
    <w:rsid w:val="00DC5F8D"/>
    <w:rsid w:val="00E1690C"/>
    <w:rsid w:val="00E558D1"/>
    <w:rsid w:val="00E57771"/>
    <w:rsid w:val="00E64733"/>
    <w:rsid w:val="00E91698"/>
    <w:rsid w:val="00EA2C7C"/>
    <w:rsid w:val="00EB7D2F"/>
    <w:rsid w:val="00F14F45"/>
    <w:rsid w:val="00F2340F"/>
    <w:rsid w:val="00F24840"/>
    <w:rsid w:val="00F45A3D"/>
    <w:rsid w:val="00FB59C5"/>
    <w:rsid w:val="00FC72E5"/>
    <w:rsid w:val="00FE1AB9"/>
    <w:rsid w:val="00FF52FC"/>
    <w:rsid w:val="00FF75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65837"/>
    <w:pPr>
      <w:widowControl w:val="0"/>
      <w:spacing w:after="0" w:line="240" w:lineRule="auto"/>
      <w:jc w:val="both"/>
    </w:pPr>
    <w:rPr>
      <w:rFonts w:ascii="Times New Roman" w:hAnsi="Times New Roman"/>
      <w:sz w:val="24"/>
      <w:lang w:val="en-US"/>
    </w:rPr>
  </w:style>
  <w:style w:type="paragraph" w:styleId="1">
    <w:name w:val="heading 1"/>
    <w:basedOn w:val="a"/>
    <w:link w:val="10"/>
    <w:uiPriority w:val="1"/>
    <w:qFormat/>
    <w:rsid w:val="00C65837"/>
    <w:pPr>
      <w:ind w:left="1"/>
      <w:outlineLvl w:val="0"/>
    </w:pPr>
    <w:rPr>
      <w:rFonts w:eastAsia="Times New Roman"/>
      <w:sz w:val="40"/>
      <w:szCs w:val="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BE630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hd w:val="clear" w:color="auto" w:fill="FAFAFA"/>
      <w:suppressAutoHyphens/>
      <w:spacing w:line="276" w:lineRule="auto"/>
    </w:pPr>
    <w:rPr>
      <w:rFonts w:ascii="Courier New" w:hAnsi="Courier New" w:cs="Courier New"/>
      <w:noProof/>
      <w:color w:val="000000" w:themeColor="text1"/>
      <w:sz w:val="20"/>
      <w:szCs w:val="20"/>
    </w:rPr>
  </w:style>
  <w:style w:type="character" w:customStyle="1" w:styleId="a4">
    <w:name w:val="Код Знак"/>
    <w:basedOn w:val="a0"/>
    <w:link w:val="a3"/>
    <w:rsid w:val="00BE6306"/>
    <w:rPr>
      <w:rFonts w:ascii="Courier New" w:hAnsi="Courier New" w:cs="Courier New"/>
      <w:noProof/>
      <w:color w:val="000000" w:themeColor="text1"/>
      <w:sz w:val="20"/>
      <w:szCs w:val="20"/>
      <w:shd w:val="clear" w:color="auto" w:fill="FAFAFA"/>
      <w:lang w:val="en-US"/>
    </w:rPr>
  </w:style>
  <w:style w:type="character" w:customStyle="1" w:styleId="10">
    <w:name w:val="Заголовок 1 Знак"/>
    <w:basedOn w:val="a0"/>
    <w:link w:val="1"/>
    <w:uiPriority w:val="1"/>
    <w:rsid w:val="00C65837"/>
    <w:rPr>
      <w:rFonts w:ascii="Times New Roman" w:eastAsia="Times New Roman" w:hAnsi="Times New Roman"/>
      <w:sz w:val="40"/>
      <w:szCs w:val="40"/>
      <w:lang w:val="en-US"/>
    </w:rPr>
  </w:style>
  <w:style w:type="paragraph" w:styleId="a5">
    <w:name w:val="Body Text"/>
    <w:basedOn w:val="a"/>
    <w:link w:val="a6"/>
    <w:uiPriority w:val="1"/>
    <w:qFormat/>
    <w:rsid w:val="00C65837"/>
    <w:pPr>
      <w:ind w:left="549" w:hanging="449"/>
    </w:pPr>
    <w:rPr>
      <w:rFonts w:ascii="Arial" w:eastAsia="Arial" w:hAnsi="Arial"/>
      <w:sz w:val="28"/>
      <w:szCs w:val="28"/>
    </w:rPr>
  </w:style>
  <w:style w:type="character" w:customStyle="1" w:styleId="a6">
    <w:name w:val="Основной текст Знак"/>
    <w:basedOn w:val="a0"/>
    <w:link w:val="a5"/>
    <w:uiPriority w:val="1"/>
    <w:rsid w:val="00C65837"/>
    <w:rPr>
      <w:rFonts w:ascii="Arial" w:eastAsia="Arial" w:hAnsi="Arial"/>
      <w:sz w:val="28"/>
      <w:szCs w:val="28"/>
      <w:lang w:val="en-US"/>
    </w:rPr>
  </w:style>
  <w:style w:type="paragraph" w:styleId="a7">
    <w:name w:val="List Paragraph"/>
    <w:basedOn w:val="a"/>
    <w:uiPriority w:val="34"/>
    <w:qFormat/>
    <w:rsid w:val="00C65837"/>
    <w:pPr>
      <w:ind w:left="720"/>
      <w:contextualSpacing/>
    </w:pPr>
  </w:style>
  <w:style w:type="character" w:customStyle="1" w:styleId="apple-converted-space">
    <w:name w:val="apple-converted-space"/>
    <w:basedOn w:val="a0"/>
    <w:rsid w:val="00811F06"/>
  </w:style>
  <w:style w:type="table" w:styleId="a8">
    <w:name w:val="Table Grid"/>
    <w:basedOn w:val="a1"/>
    <w:uiPriority w:val="39"/>
    <w:rsid w:val="008C3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tent-bibdata-value">
    <w:name w:val="patent-bibdata-value"/>
    <w:basedOn w:val="a0"/>
    <w:rsid w:val="0075416D"/>
  </w:style>
  <w:style w:type="character" w:styleId="a9">
    <w:name w:val="Hyperlink"/>
    <w:basedOn w:val="a0"/>
    <w:uiPriority w:val="99"/>
    <w:semiHidden/>
    <w:unhideWhenUsed/>
    <w:rsid w:val="0075416D"/>
    <w:rPr>
      <w:color w:val="0000FF"/>
      <w:u w:val="single"/>
    </w:rPr>
  </w:style>
  <w:style w:type="character" w:customStyle="1" w:styleId="nested-value">
    <w:name w:val="nested-value"/>
    <w:basedOn w:val="a0"/>
    <w:rsid w:val="00A910B5"/>
  </w:style>
  <w:style w:type="character" w:customStyle="1" w:styleId="patent-text-highlight">
    <w:name w:val="patent-text-highlight"/>
    <w:basedOn w:val="a0"/>
    <w:rsid w:val="00811F51"/>
  </w:style>
  <w:style w:type="paragraph" w:styleId="aa">
    <w:name w:val="Balloon Text"/>
    <w:basedOn w:val="a"/>
    <w:link w:val="ab"/>
    <w:uiPriority w:val="99"/>
    <w:semiHidden/>
    <w:unhideWhenUsed/>
    <w:rsid w:val="00BE429E"/>
    <w:rPr>
      <w:rFonts w:ascii="Tahoma" w:hAnsi="Tahoma" w:cs="Tahoma"/>
      <w:sz w:val="16"/>
      <w:szCs w:val="16"/>
    </w:rPr>
  </w:style>
  <w:style w:type="character" w:customStyle="1" w:styleId="ab">
    <w:name w:val="Текст выноски Знак"/>
    <w:basedOn w:val="a0"/>
    <w:link w:val="aa"/>
    <w:uiPriority w:val="99"/>
    <w:semiHidden/>
    <w:rsid w:val="00BE429E"/>
    <w:rPr>
      <w:rFonts w:ascii="Tahoma" w:hAnsi="Tahoma" w:cs="Tahoma"/>
      <w:sz w:val="16"/>
      <w:szCs w:val="16"/>
      <w:lang w:val="en-US"/>
    </w:rPr>
  </w:style>
  <w:style w:type="character" w:customStyle="1" w:styleId="i">
    <w:name w:val="i"/>
    <w:basedOn w:val="a0"/>
    <w:rsid w:val="001D2481"/>
  </w:style>
</w:styles>
</file>

<file path=word/webSettings.xml><?xml version="1.0" encoding="utf-8"?>
<w:webSettings xmlns:r="http://schemas.openxmlformats.org/officeDocument/2006/relationships" xmlns:w="http://schemas.openxmlformats.org/wordprocessingml/2006/main">
  <w:divs>
    <w:div w:id="129711777">
      <w:bodyDiv w:val="1"/>
      <w:marLeft w:val="0"/>
      <w:marRight w:val="0"/>
      <w:marTop w:val="0"/>
      <w:marBottom w:val="0"/>
      <w:divBdr>
        <w:top w:val="none" w:sz="0" w:space="0" w:color="auto"/>
        <w:left w:val="none" w:sz="0" w:space="0" w:color="auto"/>
        <w:bottom w:val="none" w:sz="0" w:space="0" w:color="auto"/>
        <w:right w:val="none" w:sz="0" w:space="0" w:color="auto"/>
      </w:divBdr>
    </w:div>
    <w:div w:id="139612393">
      <w:bodyDiv w:val="1"/>
      <w:marLeft w:val="0"/>
      <w:marRight w:val="0"/>
      <w:marTop w:val="0"/>
      <w:marBottom w:val="0"/>
      <w:divBdr>
        <w:top w:val="none" w:sz="0" w:space="0" w:color="auto"/>
        <w:left w:val="none" w:sz="0" w:space="0" w:color="auto"/>
        <w:bottom w:val="none" w:sz="0" w:space="0" w:color="auto"/>
        <w:right w:val="none" w:sz="0" w:space="0" w:color="auto"/>
      </w:divBdr>
    </w:div>
    <w:div w:id="142044904">
      <w:bodyDiv w:val="1"/>
      <w:marLeft w:val="0"/>
      <w:marRight w:val="0"/>
      <w:marTop w:val="0"/>
      <w:marBottom w:val="0"/>
      <w:divBdr>
        <w:top w:val="none" w:sz="0" w:space="0" w:color="auto"/>
        <w:left w:val="none" w:sz="0" w:space="0" w:color="auto"/>
        <w:bottom w:val="none" w:sz="0" w:space="0" w:color="auto"/>
        <w:right w:val="none" w:sz="0" w:space="0" w:color="auto"/>
      </w:divBdr>
    </w:div>
    <w:div w:id="146359691">
      <w:bodyDiv w:val="1"/>
      <w:marLeft w:val="0"/>
      <w:marRight w:val="0"/>
      <w:marTop w:val="0"/>
      <w:marBottom w:val="0"/>
      <w:divBdr>
        <w:top w:val="none" w:sz="0" w:space="0" w:color="auto"/>
        <w:left w:val="none" w:sz="0" w:space="0" w:color="auto"/>
        <w:bottom w:val="none" w:sz="0" w:space="0" w:color="auto"/>
        <w:right w:val="none" w:sz="0" w:space="0" w:color="auto"/>
      </w:divBdr>
    </w:div>
    <w:div w:id="216012718">
      <w:bodyDiv w:val="1"/>
      <w:marLeft w:val="0"/>
      <w:marRight w:val="0"/>
      <w:marTop w:val="0"/>
      <w:marBottom w:val="0"/>
      <w:divBdr>
        <w:top w:val="none" w:sz="0" w:space="0" w:color="auto"/>
        <w:left w:val="none" w:sz="0" w:space="0" w:color="auto"/>
        <w:bottom w:val="none" w:sz="0" w:space="0" w:color="auto"/>
        <w:right w:val="none" w:sz="0" w:space="0" w:color="auto"/>
      </w:divBdr>
    </w:div>
    <w:div w:id="220292367">
      <w:bodyDiv w:val="1"/>
      <w:marLeft w:val="0"/>
      <w:marRight w:val="0"/>
      <w:marTop w:val="0"/>
      <w:marBottom w:val="0"/>
      <w:divBdr>
        <w:top w:val="none" w:sz="0" w:space="0" w:color="auto"/>
        <w:left w:val="none" w:sz="0" w:space="0" w:color="auto"/>
        <w:bottom w:val="none" w:sz="0" w:space="0" w:color="auto"/>
        <w:right w:val="none" w:sz="0" w:space="0" w:color="auto"/>
      </w:divBdr>
    </w:div>
    <w:div w:id="314796448">
      <w:bodyDiv w:val="1"/>
      <w:marLeft w:val="0"/>
      <w:marRight w:val="0"/>
      <w:marTop w:val="0"/>
      <w:marBottom w:val="0"/>
      <w:divBdr>
        <w:top w:val="none" w:sz="0" w:space="0" w:color="auto"/>
        <w:left w:val="none" w:sz="0" w:space="0" w:color="auto"/>
        <w:bottom w:val="none" w:sz="0" w:space="0" w:color="auto"/>
        <w:right w:val="none" w:sz="0" w:space="0" w:color="auto"/>
      </w:divBdr>
    </w:div>
    <w:div w:id="370307296">
      <w:bodyDiv w:val="1"/>
      <w:marLeft w:val="0"/>
      <w:marRight w:val="0"/>
      <w:marTop w:val="0"/>
      <w:marBottom w:val="0"/>
      <w:divBdr>
        <w:top w:val="none" w:sz="0" w:space="0" w:color="auto"/>
        <w:left w:val="none" w:sz="0" w:space="0" w:color="auto"/>
        <w:bottom w:val="none" w:sz="0" w:space="0" w:color="auto"/>
        <w:right w:val="none" w:sz="0" w:space="0" w:color="auto"/>
      </w:divBdr>
      <w:divsChild>
        <w:div w:id="113210854">
          <w:marLeft w:val="0"/>
          <w:marRight w:val="0"/>
          <w:marTop w:val="0"/>
          <w:marBottom w:val="0"/>
          <w:divBdr>
            <w:top w:val="none" w:sz="0" w:space="0" w:color="auto"/>
            <w:left w:val="none" w:sz="0" w:space="0" w:color="auto"/>
            <w:bottom w:val="none" w:sz="0" w:space="0" w:color="auto"/>
            <w:right w:val="none" w:sz="0" w:space="0" w:color="auto"/>
          </w:divBdr>
        </w:div>
      </w:divsChild>
    </w:div>
    <w:div w:id="494534833">
      <w:bodyDiv w:val="1"/>
      <w:marLeft w:val="0"/>
      <w:marRight w:val="0"/>
      <w:marTop w:val="0"/>
      <w:marBottom w:val="0"/>
      <w:divBdr>
        <w:top w:val="none" w:sz="0" w:space="0" w:color="auto"/>
        <w:left w:val="none" w:sz="0" w:space="0" w:color="auto"/>
        <w:bottom w:val="none" w:sz="0" w:space="0" w:color="auto"/>
        <w:right w:val="none" w:sz="0" w:space="0" w:color="auto"/>
      </w:divBdr>
    </w:div>
    <w:div w:id="547449580">
      <w:bodyDiv w:val="1"/>
      <w:marLeft w:val="0"/>
      <w:marRight w:val="0"/>
      <w:marTop w:val="0"/>
      <w:marBottom w:val="0"/>
      <w:divBdr>
        <w:top w:val="none" w:sz="0" w:space="0" w:color="auto"/>
        <w:left w:val="none" w:sz="0" w:space="0" w:color="auto"/>
        <w:bottom w:val="none" w:sz="0" w:space="0" w:color="auto"/>
        <w:right w:val="none" w:sz="0" w:space="0" w:color="auto"/>
      </w:divBdr>
    </w:div>
    <w:div w:id="684674158">
      <w:bodyDiv w:val="1"/>
      <w:marLeft w:val="0"/>
      <w:marRight w:val="0"/>
      <w:marTop w:val="0"/>
      <w:marBottom w:val="0"/>
      <w:divBdr>
        <w:top w:val="none" w:sz="0" w:space="0" w:color="auto"/>
        <w:left w:val="none" w:sz="0" w:space="0" w:color="auto"/>
        <w:bottom w:val="none" w:sz="0" w:space="0" w:color="auto"/>
        <w:right w:val="none" w:sz="0" w:space="0" w:color="auto"/>
      </w:divBdr>
    </w:div>
    <w:div w:id="732390912">
      <w:bodyDiv w:val="1"/>
      <w:marLeft w:val="0"/>
      <w:marRight w:val="0"/>
      <w:marTop w:val="0"/>
      <w:marBottom w:val="0"/>
      <w:divBdr>
        <w:top w:val="none" w:sz="0" w:space="0" w:color="auto"/>
        <w:left w:val="none" w:sz="0" w:space="0" w:color="auto"/>
        <w:bottom w:val="none" w:sz="0" w:space="0" w:color="auto"/>
        <w:right w:val="none" w:sz="0" w:space="0" w:color="auto"/>
      </w:divBdr>
    </w:div>
    <w:div w:id="784348322">
      <w:bodyDiv w:val="1"/>
      <w:marLeft w:val="0"/>
      <w:marRight w:val="0"/>
      <w:marTop w:val="0"/>
      <w:marBottom w:val="0"/>
      <w:divBdr>
        <w:top w:val="none" w:sz="0" w:space="0" w:color="auto"/>
        <w:left w:val="none" w:sz="0" w:space="0" w:color="auto"/>
        <w:bottom w:val="none" w:sz="0" w:space="0" w:color="auto"/>
        <w:right w:val="none" w:sz="0" w:space="0" w:color="auto"/>
      </w:divBdr>
    </w:div>
    <w:div w:id="799761505">
      <w:bodyDiv w:val="1"/>
      <w:marLeft w:val="0"/>
      <w:marRight w:val="0"/>
      <w:marTop w:val="0"/>
      <w:marBottom w:val="0"/>
      <w:divBdr>
        <w:top w:val="none" w:sz="0" w:space="0" w:color="auto"/>
        <w:left w:val="none" w:sz="0" w:space="0" w:color="auto"/>
        <w:bottom w:val="none" w:sz="0" w:space="0" w:color="auto"/>
        <w:right w:val="none" w:sz="0" w:space="0" w:color="auto"/>
      </w:divBdr>
    </w:div>
    <w:div w:id="802311502">
      <w:bodyDiv w:val="1"/>
      <w:marLeft w:val="0"/>
      <w:marRight w:val="0"/>
      <w:marTop w:val="0"/>
      <w:marBottom w:val="0"/>
      <w:divBdr>
        <w:top w:val="none" w:sz="0" w:space="0" w:color="auto"/>
        <w:left w:val="none" w:sz="0" w:space="0" w:color="auto"/>
        <w:bottom w:val="none" w:sz="0" w:space="0" w:color="auto"/>
        <w:right w:val="none" w:sz="0" w:space="0" w:color="auto"/>
      </w:divBdr>
    </w:div>
    <w:div w:id="872496621">
      <w:bodyDiv w:val="1"/>
      <w:marLeft w:val="0"/>
      <w:marRight w:val="0"/>
      <w:marTop w:val="0"/>
      <w:marBottom w:val="0"/>
      <w:divBdr>
        <w:top w:val="none" w:sz="0" w:space="0" w:color="auto"/>
        <w:left w:val="none" w:sz="0" w:space="0" w:color="auto"/>
        <w:bottom w:val="none" w:sz="0" w:space="0" w:color="auto"/>
        <w:right w:val="none" w:sz="0" w:space="0" w:color="auto"/>
      </w:divBdr>
    </w:div>
    <w:div w:id="889807337">
      <w:bodyDiv w:val="1"/>
      <w:marLeft w:val="0"/>
      <w:marRight w:val="0"/>
      <w:marTop w:val="0"/>
      <w:marBottom w:val="0"/>
      <w:divBdr>
        <w:top w:val="none" w:sz="0" w:space="0" w:color="auto"/>
        <w:left w:val="none" w:sz="0" w:space="0" w:color="auto"/>
        <w:bottom w:val="none" w:sz="0" w:space="0" w:color="auto"/>
        <w:right w:val="none" w:sz="0" w:space="0" w:color="auto"/>
      </w:divBdr>
    </w:div>
    <w:div w:id="946812270">
      <w:bodyDiv w:val="1"/>
      <w:marLeft w:val="0"/>
      <w:marRight w:val="0"/>
      <w:marTop w:val="0"/>
      <w:marBottom w:val="0"/>
      <w:divBdr>
        <w:top w:val="none" w:sz="0" w:space="0" w:color="auto"/>
        <w:left w:val="none" w:sz="0" w:space="0" w:color="auto"/>
        <w:bottom w:val="none" w:sz="0" w:space="0" w:color="auto"/>
        <w:right w:val="none" w:sz="0" w:space="0" w:color="auto"/>
      </w:divBdr>
    </w:div>
    <w:div w:id="1005329851">
      <w:bodyDiv w:val="1"/>
      <w:marLeft w:val="0"/>
      <w:marRight w:val="0"/>
      <w:marTop w:val="0"/>
      <w:marBottom w:val="0"/>
      <w:divBdr>
        <w:top w:val="none" w:sz="0" w:space="0" w:color="auto"/>
        <w:left w:val="none" w:sz="0" w:space="0" w:color="auto"/>
        <w:bottom w:val="none" w:sz="0" w:space="0" w:color="auto"/>
        <w:right w:val="none" w:sz="0" w:space="0" w:color="auto"/>
      </w:divBdr>
    </w:div>
    <w:div w:id="1204707827">
      <w:bodyDiv w:val="1"/>
      <w:marLeft w:val="0"/>
      <w:marRight w:val="0"/>
      <w:marTop w:val="0"/>
      <w:marBottom w:val="0"/>
      <w:divBdr>
        <w:top w:val="none" w:sz="0" w:space="0" w:color="auto"/>
        <w:left w:val="none" w:sz="0" w:space="0" w:color="auto"/>
        <w:bottom w:val="none" w:sz="0" w:space="0" w:color="auto"/>
        <w:right w:val="none" w:sz="0" w:space="0" w:color="auto"/>
      </w:divBdr>
    </w:div>
    <w:div w:id="1260676863">
      <w:bodyDiv w:val="1"/>
      <w:marLeft w:val="0"/>
      <w:marRight w:val="0"/>
      <w:marTop w:val="0"/>
      <w:marBottom w:val="0"/>
      <w:divBdr>
        <w:top w:val="none" w:sz="0" w:space="0" w:color="auto"/>
        <w:left w:val="none" w:sz="0" w:space="0" w:color="auto"/>
        <w:bottom w:val="none" w:sz="0" w:space="0" w:color="auto"/>
        <w:right w:val="none" w:sz="0" w:space="0" w:color="auto"/>
      </w:divBdr>
    </w:div>
    <w:div w:id="1369645276">
      <w:bodyDiv w:val="1"/>
      <w:marLeft w:val="0"/>
      <w:marRight w:val="0"/>
      <w:marTop w:val="0"/>
      <w:marBottom w:val="0"/>
      <w:divBdr>
        <w:top w:val="none" w:sz="0" w:space="0" w:color="auto"/>
        <w:left w:val="none" w:sz="0" w:space="0" w:color="auto"/>
        <w:bottom w:val="none" w:sz="0" w:space="0" w:color="auto"/>
        <w:right w:val="none" w:sz="0" w:space="0" w:color="auto"/>
      </w:divBdr>
    </w:div>
    <w:div w:id="1477067930">
      <w:bodyDiv w:val="1"/>
      <w:marLeft w:val="0"/>
      <w:marRight w:val="0"/>
      <w:marTop w:val="0"/>
      <w:marBottom w:val="0"/>
      <w:divBdr>
        <w:top w:val="none" w:sz="0" w:space="0" w:color="auto"/>
        <w:left w:val="none" w:sz="0" w:space="0" w:color="auto"/>
        <w:bottom w:val="none" w:sz="0" w:space="0" w:color="auto"/>
        <w:right w:val="none" w:sz="0" w:space="0" w:color="auto"/>
      </w:divBdr>
    </w:div>
    <w:div w:id="1534884693">
      <w:bodyDiv w:val="1"/>
      <w:marLeft w:val="0"/>
      <w:marRight w:val="0"/>
      <w:marTop w:val="0"/>
      <w:marBottom w:val="0"/>
      <w:divBdr>
        <w:top w:val="none" w:sz="0" w:space="0" w:color="auto"/>
        <w:left w:val="none" w:sz="0" w:space="0" w:color="auto"/>
        <w:bottom w:val="none" w:sz="0" w:space="0" w:color="auto"/>
        <w:right w:val="none" w:sz="0" w:space="0" w:color="auto"/>
      </w:divBdr>
    </w:div>
    <w:div w:id="1539928118">
      <w:bodyDiv w:val="1"/>
      <w:marLeft w:val="0"/>
      <w:marRight w:val="0"/>
      <w:marTop w:val="0"/>
      <w:marBottom w:val="0"/>
      <w:divBdr>
        <w:top w:val="none" w:sz="0" w:space="0" w:color="auto"/>
        <w:left w:val="none" w:sz="0" w:space="0" w:color="auto"/>
        <w:bottom w:val="none" w:sz="0" w:space="0" w:color="auto"/>
        <w:right w:val="none" w:sz="0" w:space="0" w:color="auto"/>
      </w:divBdr>
    </w:div>
    <w:div w:id="1559779043">
      <w:bodyDiv w:val="1"/>
      <w:marLeft w:val="0"/>
      <w:marRight w:val="0"/>
      <w:marTop w:val="0"/>
      <w:marBottom w:val="0"/>
      <w:divBdr>
        <w:top w:val="none" w:sz="0" w:space="0" w:color="auto"/>
        <w:left w:val="none" w:sz="0" w:space="0" w:color="auto"/>
        <w:bottom w:val="none" w:sz="0" w:space="0" w:color="auto"/>
        <w:right w:val="none" w:sz="0" w:space="0" w:color="auto"/>
      </w:divBdr>
    </w:div>
    <w:div w:id="1724865316">
      <w:bodyDiv w:val="1"/>
      <w:marLeft w:val="0"/>
      <w:marRight w:val="0"/>
      <w:marTop w:val="0"/>
      <w:marBottom w:val="0"/>
      <w:divBdr>
        <w:top w:val="none" w:sz="0" w:space="0" w:color="auto"/>
        <w:left w:val="none" w:sz="0" w:space="0" w:color="auto"/>
        <w:bottom w:val="none" w:sz="0" w:space="0" w:color="auto"/>
        <w:right w:val="none" w:sz="0" w:space="0" w:color="auto"/>
      </w:divBdr>
    </w:div>
    <w:div w:id="1771579360">
      <w:bodyDiv w:val="1"/>
      <w:marLeft w:val="0"/>
      <w:marRight w:val="0"/>
      <w:marTop w:val="0"/>
      <w:marBottom w:val="0"/>
      <w:divBdr>
        <w:top w:val="none" w:sz="0" w:space="0" w:color="auto"/>
        <w:left w:val="none" w:sz="0" w:space="0" w:color="auto"/>
        <w:bottom w:val="none" w:sz="0" w:space="0" w:color="auto"/>
        <w:right w:val="none" w:sz="0" w:space="0" w:color="auto"/>
      </w:divBdr>
    </w:div>
    <w:div w:id="1793749688">
      <w:bodyDiv w:val="1"/>
      <w:marLeft w:val="0"/>
      <w:marRight w:val="0"/>
      <w:marTop w:val="0"/>
      <w:marBottom w:val="0"/>
      <w:divBdr>
        <w:top w:val="none" w:sz="0" w:space="0" w:color="auto"/>
        <w:left w:val="none" w:sz="0" w:space="0" w:color="auto"/>
        <w:bottom w:val="none" w:sz="0" w:space="0" w:color="auto"/>
        <w:right w:val="none" w:sz="0" w:space="0" w:color="auto"/>
      </w:divBdr>
    </w:div>
    <w:div w:id="1811744833">
      <w:bodyDiv w:val="1"/>
      <w:marLeft w:val="0"/>
      <w:marRight w:val="0"/>
      <w:marTop w:val="0"/>
      <w:marBottom w:val="0"/>
      <w:divBdr>
        <w:top w:val="none" w:sz="0" w:space="0" w:color="auto"/>
        <w:left w:val="none" w:sz="0" w:space="0" w:color="auto"/>
        <w:bottom w:val="none" w:sz="0" w:space="0" w:color="auto"/>
        <w:right w:val="none" w:sz="0" w:space="0" w:color="auto"/>
      </w:divBdr>
      <w:divsChild>
        <w:div w:id="148718420">
          <w:marLeft w:val="0"/>
          <w:marRight w:val="0"/>
          <w:marTop w:val="0"/>
          <w:marBottom w:val="0"/>
          <w:divBdr>
            <w:top w:val="none" w:sz="0" w:space="0" w:color="auto"/>
            <w:left w:val="none" w:sz="0" w:space="0" w:color="auto"/>
            <w:bottom w:val="none" w:sz="0" w:space="0" w:color="auto"/>
            <w:right w:val="none" w:sz="0" w:space="0" w:color="auto"/>
          </w:divBdr>
        </w:div>
        <w:div w:id="350452088">
          <w:marLeft w:val="0"/>
          <w:marRight w:val="0"/>
          <w:marTop w:val="0"/>
          <w:marBottom w:val="0"/>
          <w:divBdr>
            <w:top w:val="none" w:sz="0" w:space="0" w:color="auto"/>
            <w:left w:val="none" w:sz="0" w:space="0" w:color="auto"/>
            <w:bottom w:val="none" w:sz="0" w:space="0" w:color="auto"/>
            <w:right w:val="none" w:sz="0" w:space="0" w:color="auto"/>
          </w:divBdr>
        </w:div>
        <w:div w:id="250697736">
          <w:marLeft w:val="0"/>
          <w:marRight w:val="0"/>
          <w:marTop w:val="0"/>
          <w:marBottom w:val="0"/>
          <w:divBdr>
            <w:top w:val="none" w:sz="0" w:space="0" w:color="auto"/>
            <w:left w:val="none" w:sz="0" w:space="0" w:color="auto"/>
            <w:bottom w:val="none" w:sz="0" w:space="0" w:color="auto"/>
            <w:right w:val="none" w:sz="0" w:space="0" w:color="auto"/>
          </w:divBdr>
        </w:div>
        <w:div w:id="1462529068">
          <w:marLeft w:val="0"/>
          <w:marRight w:val="0"/>
          <w:marTop w:val="0"/>
          <w:marBottom w:val="0"/>
          <w:divBdr>
            <w:top w:val="none" w:sz="0" w:space="0" w:color="auto"/>
            <w:left w:val="none" w:sz="0" w:space="0" w:color="auto"/>
            <w:bottom w:val="none" w:sz="0" w:space="0" w:color="auto"/>
            <w:right w:val="none" w:sz="0" w:space="0" w:color="auto"/>
          </w:divBdr>
        </w:div>
      </w:divsChild>
    </w:div>
    <w:div w:id="1849826333">
      <w:bodyDiv w:val="1"/>
      <w:marLeft w:val="0"/>
      <w:marRight w:val="0"/>
      <w:marTop w:val="0"/>
      <w:marBottom w:val="0"/>
      <w:divBdr>
        <w:top w:val="none" w:sz="0" w:space="0" w:color="auto"/>
        <w:left w:val="none" w:sz="0" w:space="0" w:color="auto"/>
        <w:bottom w:val="none" w:sz="0" w:space="0" w:color="auto"/>
        <w:right w:val="none" w:sz="0" w:space="0" w:color="auto"/>
      </w:divBdr>
    </w:div>
    <w:div w:id="1872836969">
      <w:bodyDiv w:val="1"/>
      <w:marLeft w:val="0"/>
      <w:marRight w:val="0"/>
      <w:marTop w:val="0"/>
      <w:marBottom w:val="0"/>
      <w:divBdr>
        <w:top w:val="none" w:sz="0" w:space="0" w:color="auto"/>
        <w:left w:val="none" w:sz="0" w:space="0" w:color="auto"/>
        <w:bottom w:val="none" w:sz="0" w:space="0" w:color="auto"/>
        <w:right w:val="none" w:sz="0" w:space="0" w:color="auto"/>
      </w:divBdr>
    </w:div>
    <w:div w:id="1885868013">
      <w:bodyDiv w:val="1"/>
      <w:marLeft w:val="0"/>
      <w:marRight w:val="0"/>
      <w:marTop w:val="0"/>
      <w:marBottom w:val="0"/>
      <w:divBdr>
        <w:top w:val="none" w:sz="0" w:space="0" w:color="auto"/>
        <w:left w:val="none" w:sz="0" w:space="0" w:color="auto"/>
        <w:bottom w:val="none" w:sz="0" w:space="0" w:color="auto"/>
        <w:right w:val="none" w:sz="0" w:space="0" w:color="auto"/>
      </w:divBdr>
    </w:div>
    <w:div w:id="1913663105">
      <w:bodyDiv w:val="1"/>
      <w:marLeft w:val="0"/>
      <w:marRight w:val="0"/>
      <w:marTop w:val="0"/>
      <w:marBottom w:val="0"/>
      <w:divBdr>
        <w:top w:val="none" w:sz="0" w:space="0" w:color="auto"/>
        <w:left w:val="none" w:sz="0" w:space="0" w:color="auto"/>
        <w:bottom w:val="none" w:sz="0" w:space="0" w:color="auto"/>
        <w:right w:val="none" w:sz="0" w:space="0" w:color="auto"/>
      </w:divBdr>
    </w:div>
    <w:div w:id="1964069084">
      <w:bodyDiv w:val="1"/>
      <w:marLeft w:val="0"/>
      <w:marRight w:val="0"/>
      <w:marTop w:val="0"/>
      <w:marBottom w:val="0"/>
      <w:divBdr>
        <w:top w:val="none" w:sz="0" w:space="0" w:color="auto"/>
        <w:left w:val="none" w:sz="0" w:space="0" w:color="auto"/>
        <w:bottom w:val="none" w:sz="0" w:space="0" w:color="auto"/>
        <w:right w:val="none" w:sz="0" w:space="0" w:color="auto"/>
      </w:divBdr>
    </w:div>
    <w:div w:id="2026976390">
      <w:bodyDiv w:val="1"/>
      <w:marLeft w:val="0"/>
      <w:marRight w:val="0"/>
      <w:marTop w:val="0"/>
      <w:marBottom w:val="0"/>
      <w:divBdr>
        <w:top w:val="none" w:sz="0" w:space="0" w:color="auto"/>
        <w:left w:val="none" w:sz="0" w:space="0" w:color="auto"/>
        <w:bottom w:val="none" w:sz="0" w:space="0" w:color="auto"/>
        <w:right w:val="none" w:sz="0" w:space="0" w:color="auto"/>
      </w:divBdr>
    </w:div>
    <w:div w:id="20382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hyperlink" Target="http://www.fips.ru/Archive/PAT/2008FULL/2008.09.27/DOC/RUNWC2/000/000/002/335/015/00000001.tif" TargetMode="External"/><Relationship Id="rId10" Type="http://schemas.openxmlformats.org/officeDocument/2006/relationships/hyperlink" Target="http://www1.fips.ru/wps/portal/IPC/IPC2014_extended_XML/?xml=http://www1.fips.ru/IPC2014_extended_XML/AIpc-20140101_subclass-H_XML\AIpc20140101-H04L.xml"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2401</Words>
  <Characters>13688</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House</Company>
  <LinksUpToDate>false</LinksUpToDate>
  <CharactersWithSpaces>16057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Клюйко</dc:creator>
  <cp:lastModifiedBy>Анастасия</cp:lastModifiedBy>
  <cp:revision>4</cp:revision>
  <dcterms:created xsi:type="dcterms:W3CDTF">2016-12-09T16:06:00Z</dcterms:created>
  <dcterms:modified xsi:type="dcterms:W3CDTF">2016-12-09T16:51:00Z</dcterms:modified>
</cp:coreProperties>
</file>