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26.jpg" ContentType="image/jpeg"/>
  <Override PartName="/word/media/rId90.jpg" ContentType="image/jpeg"/>
  <Override PartName="/word/media/rId94.jpg" ContentType="image/jpeg"/>
  <Override PartName="/word/media/rId98.jpg" ContentType="image/jpeg"/>
  <Override PartName="/word/media/rId102.jpg" ContentType="image/jpeg"/>
  <Override PartName="/word/media/rId106.jpg" ContentType="image/jpeg"/>
  <Override PartName="/word/media/rId110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30.jpg" ContentType="image/jpeg"/>
  <Override PartName="/word/media/rId1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Лаборатроная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А.</w:t>
      </w:r>
      <w:r>
        <w:t xml:space="preserve"> </w:t>
      </w:r>
      <w:r>
        <w:t xml:space="preserve">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операционной системы Linux, дистрибутив Rocky.</w:t>
      </w:r>
    </w:p>
    <w:bookmarkEnd w:id="21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Начимаем создание новой виртуальной машины, указываем тип и имя ОС. В моем случае имя ОС такое же как логин для работы в ДК. (рис. 1).</w:t>
      </w:r>
    </w:p>
    <w:p>
      <w:pPr>
        <w:pStyle w:val="CaptionedFigure"/>
      </w:pPr>
      <w:bookmarkStart w:id="25" w:name="fig:001"/>
      <w:r>
        <w:drawing>
          <wp:inline>
            <wp:extent cx="5334000" cy="4402818"/>
            <wp:effectExtent b="0" l="0" r="0" t="0"/>
            <wp:docPr descr="Рис. 1: Тип и имя ОС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Тип и имя ОС</w:t>
      </w:r>
    </w:p>
    <w:p>
      <w:pPr>
        <w:pStyle w:val="BodyText"/>
      </w:pPr>
      <w:r>
        <w:t xml:space="preserve">Указываем объем памяти. Указываем 2048 МБ. (рис. 2).</w:t>
      </w:r>
    </w:p>
    <w:p>
      <w:pPr>
        <w:pStyle w:val="CaptionedFigure"/>
      </w:pPr>
      <w:bookmarkStart w:id="29" w:name="fig:002"/>
      <w:r>
        <w:drawing>
          <wp:inline>
            <wp:extent cx="5334000" cy="3109655"/>
            <wp:effectExtent b="0" l="0" r="0" t="0"/>
            <wp:docPr descr="Рис. 2: Объем памяти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Создаем новый виртуальный жесткий диск (рис. 3).</w:t>
      </w:r>
    </w:p>
    <w:p>
      <w:pPr>
        <w:pStyle w:val="CaptionedFigure"/>
      </w:pPr>
      <w:bookmarkStart w:id="33" w:name="fig:003"/>
      <w:r>
        <w:drawing>
          <wp:inline>
            <wp:extent cx="5334000" cy="3166473"/>
            <wp:effectExtent b="0" l="0" r="0" t="0"/>
            <wp:docPr descr="Рис. 3: Жесткий диск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Жесткий диск</w:t>
      </w:r>
    </w:p>
    <w:p>
      <w:pPr>
        <w:pStyle w:val="BodyText"/>
      </w:pPr>
      <w:r>
        <w:t xml:space="preserve">Указываем тип виртуального жесткого диска (рис. 4).</w:t>
      </w:r>
    </w:p>
    <w:p>
      <w:pPr>
        <w:pStyle w:val="CaptionedFigure"/>
      </w:pPr>
      <w:bookmarkStart w:id="37" w:name="fig:004"/>
      <w:r>
        <w:drawing>
          <wp:inline>
            <wp:extent cx="5334000" cy="3413207"/>
            <wp:effectExtent b="0" l="0" r="0" t="0"/>
            <wp:docPr descr="Рис. 4: Тип жесткого диск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Тип жесткого диска</w:t>
      </w:r>
    </w:p>
    <w:p>
      <w:pPr>
        <w:pStyle w:val="BodyText"/>
      </w:pPr>
      <w:r>
        <w:t xml:space="preserve">Указываем формат хранения (рис. 5).</w:t>
      </w:r>
    </w:p>
    <w:p>
      <w:pPr>
        <w:pStyle w:val="CaptionedFigure"/>
      </w:pPr>
      <w:bookmarkStart w:id="41" w:name="fig:005"/>
      <w:r>
        <w:drawing>
          <wp:inline>
            <wp:extent cx="5334000" cy="3723174"/>
            <wp:effectExtent b="0" l="0" r="0" t="0"/>
            <wp:docPr descr="Рис. 5: Формат хранения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3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Формат хранения</w:t>
      </w:r>
    </w:p>
    <w:p>
      <w:pPr>
        <w:pStyle w:val="BodyText"/>
      </w:pPr>
      <w:r>
        <w:t xml:space="preserve">Указываем имя и размер нового виртуального жесткого диска. Выбираем 40 ГБ (рис. 6).</w:t>
      </w:r>
    </w:p>
    <w:p>
      <w:pPr>
        <w:pStyle w:val="CaptionedFigure"/>
      </w:pPr>
      <w:bookmarkStart w:id="45" w:name="fig:006"/>
      <w:r>
        <w:drawing>
          <wp:inline>
            <wp:extent cx="5334000" cy="3592735"/>
            <wp:effectExtent b="0" l="0" r="0" t="0"/>
            <wp:docPr descr="Рис. 6: Имя и размер жесткого дис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Имя и размер жесткого диска</w:t>
      </w:r>
    </w:p>
    <w:p>
      <w:pPr>
        <w:pStyle w:val="BodyText"/>
      </w:pPr>
      <w:r>
        <w:t xml:space="preserve">Далее необходимо было в настройках в разделе</w:t>
      </w:r>
      <w:r>
        <w:t xml:space="preserve"> </w:t>
      </w:r>
      <w:r>
        <w:t xml:space="preserve">“</w:t>
      </w:r>
      <w:r>
        <w:t xml:space="preserve">Ностители</w:t>
      </w:r>
      <w:r>
        <w:t xml:space="preserve">”</w:t>
      </w:r>
      <w:r>
        <w:t xml:space="preserve"> </w:t>
      </w:r>
      <w:r>
        <w:t xml:space="preserve">выбрать контроллер IDE. Для этого нужно было предварительно установить Rocky в dvd формате. (рис. 7).</w:t>
      </w:r>
    </w:p>
    <w:p>
      <w:pPr>
        <w:pStyle w:val="CaptionedFigure"/>
      </w:pPr>
      <w:bookmarkStart w:id="49" w:name="fig:007"/>
      <w:r>
        <w:drawing>
          <wp:inline>
            <wp:extent cx="5334000" cy="3225209"/>
            <wp:effectExtent b="0" l="0" r="0" t="0"/>
            <wp:docPr descr="Рис. 7: Установка контроллера IDE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Установка контроллера IDE</w:t>
      </w:r>
    </w:p>
    <w:p>
      <w:pPr>
        <w:pStyle w:val="BodyText"/>
      </w:pPr>
      <w:r>
        <w:t xml:space="preserve">Заупскаем виртуальную машину. Выбираем английский язык по умолчанию для всей системы (рис. 8).</w:t>
      </w:r>
    </w:p>
    <w:p>
      <w:pPr>
        <w:pStyle w:val="CaptionedFigure"/>
      </w:pPr>
      <w:bookmarkStart w:id="53" w:name="fig:008"/>
      <w:r>
        <w:drawing>
          <wp:inline>
            <wp:extent cx="5334000" cy="3127217"/>
            <wp:effectExtent b="0" l="0" r="0" t="0"/>
            <wp:docPr descr="Рис. 8: Выбор языка системы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Выбор языка системы</w:t>
      </w:r>
    </w:p>
    <w:p>
      <w:pPr>
        <w:pStyle w:val="BodyText"/>
      </w:pPr>
      <w:r>
        <w:t xml:space="preserve">Настраиваем часовой пояс (рис. 9).</w:t>
      </w:r>
    </w:p>
    <w:p>
      <w:pPr>
        <w:pStyle w:val="CaptionedFigure"/>
      </w:pPr>
      <w:bookmarkStart w:id="57" w:name="fig:009"/>
      <w:r>
        <w:drawing>
          <wp:inline>
            <wp:extent cx="5334000" cy="3059708"/>
            <wp:effectExtent b="0" l="0" r="0" t="0"/>
            <wp:docPr descr="Рис. 9: Настройка часового пояс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Настройка часового пояса</w:t>
      </w:r>
    </w:p>
    <w:p>
      <w:pPr>
        <w:pStyle w:val="BodyText"/>
      </w:pPr>
      <w:r>
        <w:t xml:space="preserve">Добавляем русскую раскладку клавиатуры. Настроиваем сочетание клавиш для переключения между клавиатурами (рис. 10).</w:t>
      </w:r>
    </w:p>
    <w:p>
      <w:pPr>
        <w:pStyle w:val="CaptionedFigure"/>
      </w:pPr>
      <w:bookmarkStart w:id="61" w:name="fig:010"/>
      <w:r>
        <w:drawing>
          <wp:inline>
            <wp:extent cx="5334000" cy="3112992"/>
            <wp:effectExtent b="0" l="0" r="0" t="0"/>
            <wp:docPr descr="Рис. 10: Настройка клавиатуры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Настройка клавиатуры</w:t>
      </w:r>
    </w:p>
    <w:p>
      <w:pPr>
        <w:pStyle w:val="BodyText"/>
      </w:pPr>
      <w:r>
        <w:t xml:space="preserve">В разделе выбора программ указываем в качестве базового окружения Server with GUI , а в качестве дополнения — Development Tools (рис. 11).</w:t>
      </w:r>
    </w:p>
    <w:p>
      <w:pPr>
        <w:pStyle w:val="CaptionedFigure"/>
      </w:pPr>
      <w:bookmarkStart w:id="65" w:name="fig:011"/>
      <w:r>
        <w:drawing>
          <wp:inline>
            <wp:extent cx="5334000" cy="3030767"/>
            <wp:effectExtent b="0" l="0" r="0" t="0"/>
            <wp:docPr descr="Рис. 11: Выбор программ" title="" id="63" name="Picture"/>
            <a:graphic>
              <a:graphicData uri="http://schemas.openxmlformats.org/drawingml/2006/picture">
                <pic:pic>
                  <pic:nvPicPr>
                    <pic:cNvPr descr="image/12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Выбор программ</w:t>
      </w:r>
    </w:p>
    <w:p>
      <w:pPr>
        <w:pStyle w:val="BodyText"/>
      </w:pPr>
      <w:r>
        <w:t xml:space="preserve">Отключаем KDUMP (рис. 12).</w:t>
      </w:r>
    </w:p>
    <w:p>
      <w:pPr>
        <w:pStyle w:val="CaptionedFigure"/>
      </w:pPr>
      <w:bookmarkStart w:id="69" w:name="fig:012"/>
      <w:r>
        <w:drawing>
          <wp:inline>
            <wp:extent cx="5334000" cy="3240628"/>
            <wp:effectExtent b="0" l="0" r="0" t="0"/>
            <wp:docPr descr="Рис. 12: Отключение KDUMP" title="" id="67" name="Picture"/>
            <a:graphic>
              <a:graphicData uri="http://schemas.openxmlformats.org/drawingml/2006/picture">
                <pic:pic>
                  <pic:nvPicPr>
                    <pic:cNvPr descr="image/13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Отключение KDUMP</w:t>
      </w:r>
    </w:p>
    <w:p>
      <w:pPr>
        <w:pStyle w:val="BodyText"/>
      </w:pPr>
      <w:r>
        <w:t xml:space="preserve">Место установки ОС оставляем без изменения (рис. 13).</w:t>
      </w:r>
    </w:p>
    <w:p>
      <w:pPr>
        <w:pStyle w:val="CaptionedFigure"/>
      </w:pPr>
      <w:bookmarkStart w:id="73" w:name="fig:013"/>
      <w:r>
        <w:drawing>
          <wp:inline>
            <wp:extent cx="5334000" cy="3471949"/>
            <wp:effectExtent b="0" l="0" r="0" t="0"/>
            <wp:docPr descr="Рис. 13: Место установки ОС" title="" id="71" name="Picture"/>
            <a:graphic>
              <a:graphicData uri="http://schemas.openxmlformats.org/drawingml/2006/picture">
                <pic:pic>
                  <pic:nvPicPr>
                    <pic:cNvPr descr="image/14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Место установки ОС</w:t>
      </w:r>
    </w:p>
    <w:p>
      <w:pPr>
        <w:pStyle w:val="BodyText"/>
      </w:pPr>
      <w:r>
        <w:t xml:space="preserve">Включаем сетевое соединение и в качестве имени узла указываем user.localdomain, где вместо user указываем имя пользователя в соответствии с соглашением об именовании. (рис. 14).</w:t>
      </w:r>
    </w:p>
    <w:p>
      <w:pPr>
        <w:pStyle w:val="CaptionedFigure"/>
      </w:pPr>
      <w:bookmarkStart w:id="77" w:name="fig:014"/>
      <w:r>
        <w:drawing>
          <wp:inline>
            <wp:extent cx="5334000" cy="3367185"/>
            <wp:effectExtent b="0" l="0" r="0" t="0"/>
            <wp:docPr descr="Рис. 14: Включение сетевого соединения" title="" id="75" name="Picture"/>
            <a:graphic>
              <a:graphicData uri="http://schemas.openxmlformats.org/drawingml/2006/picture">
                <pic:pic>
                  <pic:nvPicPr>
                    <pic:cNvPr descr="image/15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Включение сетевого соединения</w:t>
      </w:r>
    </w:p>
    <w:p>
      <w:pPr>
        <w:pStyle w:val="BodyText"/>
      </w:pPr>
      <w:r>
        <w:t xml:space="preserve">Указываем пароль для root-пользователя (рис. 15).</w:t>
      </w:r>
    </w:p>
    <w:p>
      <w:pPr>
        <w:pStyle w:val="CaptionedFigure"/>
      </w:pPr>
      <w:bookmarkStart w:id="81" w:name="fig:015"/>
      <w:r>
        <w:drawing>
          <wp:inline>
            <wp:extent cx="5334000" cy="3210456"/>
            <wp:effectExtent b="0" l="0" r="0" t="0"/>
            <wp:docPr descr="Рис. 15: Пароль для root-пользователя" title="" id="79" name="Picture"/>
            <a:graphic>
              <a:graphicData uri="http://schemas.openxmlformats.org/drawingml/2006/picture">
                <pic:pic>
                  <pic:nvPicPr>
                    <pic:cNvPr descr="image/16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Пароль для root-пользователя</w:t>
      </w:r>
    </w:p>
    <w:p>
      <w:pPr>
        <w:pStyle w:val="BodyText"/>
      </w:pPr>
      <w:r>
        <w:t xml:space="preserve">Указываем пароль для обычного пользователя (рис.16).</w:t>
      </w:r>
    </w:p>
    <w:p>
      <w:pPr>
        <w:pStyle w:val="CaptionedFigure"/>
      </w:pPr>
      <w:bookmarkStart w:id="85" w:name="fig:016"/>
      <w:r>
        <w:drawing>
          <wp:inline>
            <wp:extent cx="5334000" cy="3288082"/>
            <wp:effectExtent b="0" l="0" r="0" t="0"/>
            <wp:docPr descr="Рис. 16: Пароль для обычного пользователя" title="" id="83" name="Picture"/>
            <a:graphic>
              <a:graphicData uri="http://schemas.openxmlformats.org/drawingml/2006/picture">
                <pic:pic>
                  <pic:nvPicPr>
                    <pic:cNvPr descr="image/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8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Пароль для обычного пользователя</w:t>
      </w:r>
    </w:p>
    <w:p>
      <w:pPr>
        <w:pStyle w:val="BodyText"/>
      </w:pPr>
      <w:r>
        <w:t xml:space="preserve">Далее запускаем установку операционной системы и после этого перезагружаем виртуальную машину (рис.17).</w:t>
      </w:r>
    </w:p>
    <w:p>
      <w:pPr>
        <w:pStyle w:val="CaptionedFigure"/>
      </w:pPr>
      <w:bookmarkStart w:id="89" w:name="fig:017"/>
      <w:r>
        <w:drawing>
          <wp:inline>
            <wp:extent cx="5334000" cy="3257144"/>
            <wp:effectExtent b="0" l="0" r="0" t="0"/>
            <wp:docPr descr="Рис. 17: Установка ОС" title="" id="87" name="Picture"/>
            <a:graphic>
              <a:graphicData uri="http://schemas.openxmlformats.org/drawingml/2006/picture">
                <pic:pic>
                  <pic:nvPicPr>
                    <pic:cNvPr descr="image/18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Установка ОС</w:t>
      </w:r>
    </w:p>
    <w:p>
      <w:pPr>
        <w:pStyle w:val="BodyText"/>
      </w:pPr>
      <w:r>
        <w:t xml:space="preserve">Далее нужно проверить, что в настройках в разделе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 контроллее IDE пусто (рис. 18).</w:t>
      </w:r>
    </w:p>
    <w:p>
      <w:pPr>
        <w:pStyle w:val="CaptionedFigure"/>
      </w:pPr>
      <w:bookmarkStart w:id="93" w:name="fig:018"/>
      <w:r>
        <w:drawing>
          <wp:inline>
            <wp:extent cx="5334000" cy="3830037"/>
            <wp:effectExtent b="0" l="0" r="0" t="0"/>
            <wp:docPr descr="Рис. 18: Установка ОС" title="" id="91" name="Picture"/>
            <a:graphic>
              <a:graphicData uri="http://schemas.openxmlformats.org/drawingml/2006/picture">
                <pic:pic>
                  <pic:nvPicPr>
                    <pic:cNvPr descr="image/20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Установка ОС</w:t>
      </w:r>
    </w:p>
    <w:p>
      <w:pPr>
        <w:pStyle w:val="BodyText"/>
      </w:pPr>
      <w:r>
        <w:t xml:space="preserve">Далее после входа в ОС в меню Устройства виртуальной машины подключаем образ диска дополнений гостевой ОС (рис.19 - -fig. 20).</w:t>
      </w:r>
    </w:p>
    <w:p>
      <w:pPr>
        <w:pStyle w:val="CaptionedFigure"/>
      </w:pPr>
      <w:bookmarkStart w:id="97" w:name="fig:019"/>
      <w:r>
        <w:drawing>
          <wp:inline>
            <wp:extent cx="5334000" cy="3235186"/>
            <wp:effectExtent b="0" l="0" r="0" t="0"/>
            <wp:docPr descr="Рис. 19: Подключение образа диска дополнений гостевой ОС" title="" id="95" name="Picture"/>
            <a:graphic>
              <a:graphicData uri="http://schemas.openxmlformats.org/drawingml/2006/picture">
                <pic:pic>
                  <pic:nvPicPr>
                    <pic:cNvPr descr="image/21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Подключение образа диска дополнений гостевой ОС</w:t>
      </w:r>
    </w:p>
    <w:p>
      <w:pPr>
        <w:pStyle w:val="CaptionedFigure"/>
      </w:pPr>
      <w:bookmarkStart w:id="101" w:name="fig:020"/>
      <w:r>
        <w:drawing>
          <wp:inline>
            <wp:extent cx="5334000" cy="3448604"/>
            <wp:effectExtent b="0" l="0" r="0" t="0"/>
            <wp:docPr descr="Рис. 20: Подключение образа диска дополнений гостевой ОС" title="" id="99" name="Picture"/>
            <a:graphic>
              <a:graphicData uri="http://schemas.openxmlformats.org/drawingml/2006/picture">
                <pic:pic>
                  <pic:nvPicPr>
                    <pic:cNvPr descr="image/22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Подключение образа диска дополнений гостевой ОС</w:t>
      </w:r>
    </w:p>
    <w:p>
      <w:pPr>
        <w:pStyle w:val="BodyText"/>
      </w:pPr>
      <w:r>
        <w:t xml:space="preserve">Далее проверяем, что имя хоста установлено верно (рис.21).</w:t>
      </w:r>
    </w:p>
    <w:p>
      <w:pPr>
        <w:pStyle w:val="CaptionedFigure"/>
      </w:pPr>
      <w:bookmarkStart w:id="105" w:name="fig:021"/>
      <w:r>
        <w:drawing>
          <wp:inline>
            <wp:extent cx="5334000" cy="3366438"/>
            <wp:effectExtent b="0" l="0" r="0" t="0"/>
            <wp:docPr descr="Рис. 21: Проверка имени хоста" title="" id="103" name="Picture"/>
            <a:graphic>
              <a:graphicData uri="http://schemas.openxmlformats.org/drawingml/2006/picture">
                <pic:pic>
                  <pic:nvPicPr>
                    <pic:cNvPr descr="image/23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Проверка имени хоста</w:t>
      </w:r>
    </w:p>
    <w:bookmarkStart w:id="134" w:name="домашнее-задани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После загрузки графического окружения открываем терминал. В окне терминала с помощью команды dmesg анализируем последовательность загрузки системы. (рис. 22).</w:t>
      </w:r>
    </w:p>
    <w:p>
      <w:pPr>
        <w:pStyle w:val="CaptionedFigure"/>
      </w:pPr>
      <w:bookmarkStart w:id="109" w:name="fig:022"/>
      <w:r>
        <w:drawing>
          <wp:inline>
            <wp:extent cx="5334000" cy="3442096"/>
            <wp:effectExtent b="0" l="0" r="0" t="0"/>
            <wp:docPr descr="Рис. 22: Анализ последовательности загрузки системы" title="" id="107" name="Picture"/>
            <a:graphic>
              <a:graphicData uri="http://schemas.openxmlformats.org/drawingml/2006/picture">
                <pic:pic>
                  <pic:nvPicPr>
                    <pic:cNvPr descr="image/24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Анализ последовательности загрузки системы</w:t>
      </w:r>
    </w:p>
    <w:p>
      <w:pPr>
        <w:pStyle w:val="BodyText"/>
      </w:pPr>
      <w:r>
        <w:t xml:space="preserve">Получите следующую информацию: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 (рис.23).</w:t>
      </w:r>
    </w:p>
    <w:p>
      <w:pPr>
        <w:pStyle w:val="CaptionedFigure"/>
      </w:pPr>
      <w:bookmarkStart w:id="113" w:name="fig:023"/>
      <w:r>
        <w:drawing>
          <wp:inline>
            <wp:extent cx="5334000" cy="345067"/>
            <wp:effectExtent b="0" l="0" r="0" t="0"/>
            <wp:docPr descr="Рис. 23: Версия ядра Linux" title="" id="111" name="Picture"/>
            <a:graphic>
              <a:graphicData uri="http://schemas.openxmlformats.org/drawingml/2006/picture">
                <pic:pic>
                  <pic:nvPicPr>
                    <pic:cNvPr descr="image/25.jp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Версия ядра Linux</w:t>
      </w:r>
    </w:p>
    <w:p>
      <w:pPr>
        <w:numPr>
          <w:ilvl w:val="0"/>
          <w:numId w:val="1002"/>
        </w:numPr>
        <w:pStyle w:val="Compact"/>
      </w:pPr>
      <w:r>
        <w:t xml:space="preserve">Частота процессора (Detected Mhz processor) (рис. 24).</w:t>
      </w:r>
    </w:p>
    <w:p>
      <w:pPr>
        <w:pStyle w:val="CaptionedFigure"/>
      </w:pPr>
      <w:bookmarkStart w:id="117" w:name="fig:024"/>
      <w:r>
        <w:drawing>
          <wp:inline>
            <wp:extent cx="5334000" cy="844878"/>
            <wp:effectExtent b="0" l="0" r="0" t="0"/>
            <wp:docPr descr="Рис. 24: Частота процессора" title="" id="115" name="Picture"/>
            <a:graphic>
              <a:graphicData uri="http://schemas.openxmlformats.org/drawingml/2006/picture">
                <pic:pic>
                  <pic:nvPicPr>
                    <pic:cNvPr descr="image/26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4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Частота процессора</w:t>
      </w:r>
    </w:p>
    <w:p>
      <w:pPr>
        <w:numPr>
          <w:ilvl w:val="0"/>
          <w:numId w:val="1003"/>
        </w:numPr>
        <w:pStyle w:val="Compact"/>
      </w:pPr>
      <w:r>
        <w:t xml:space="preserve">Модель процессора (CPU0) (рис.25).</w:t>
      </w:r>
    </w:p>
    <w:p>
      <w:pPr>
        <w:pStyle w:val="CaptionedFigure"/>
      </w:pPr>
      <w:bookmarkStart w:id="121" w:name="fig:025"/>
      <w:r>
        <w:drawing>
          <wp:inline>
            <wp:extent cx="5334000" cy="419266"/>
            <wp:effectExtent b="0" l="0" r="0" t="0"/>
            <wp:docPr descr="Рис. 25: Модель процессора" title="" id="119" name="Picture"/>
            <a:graphic>
              <a:graphicData uri="http://schemas.openxmlformats.org/drawingml/2006/picture">
                <pic:pic>
                  <pic:nvPicPr>
                    <pic:cNvPr descr="image/27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Модель процессора</w:t>
      </w:r>
    </w:p>
    <w:p>
      <w:pPr>
        <w:numPr>
          <w:ilvl w:val="0"/>
          <w:numId w:val="1004"/>
        </w:numPr>
        <w:pStyle w:val="Compact"/>
      </w:pPr>
      <w:r>
        <w:t xml:space="preserve">Объем доступной оперативной памяти (Memory available) (рис. 26).</w:t>
      </w:r>
    </w:p>
    <w:p>
      <w:pPr>
        <w:pStyle w:val="CaptionedFigure"/>
      </w:pPr>
      <w:bookmarkStart w:id="125" w:name="fig:026"/>
      <w:r>
        <w:drawing>
          <wp:inline>
            <wp:extent cx="5334000" cy="1762648"/>
            <wp:effectExtent b="0" l="0" r="0" t="0"/>
            <wp:docPr descr="Рис. 26: Объем доступной оперативной памяти" title="" id="123" name="Picture"/>
            <a:graphic>
              <a:graphicData uri="http://schemas.openxmlformats.org/drawingml/2006/picture">
                <pic:pic>
                  <pic:nvPicPr>
                    <pic:cNvPr descr="image/28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Объем доступной оперативной памяти</w:t>
      </w:r>
    </w:p>
    <w:p>
      <w:pPr>
        <w:numPr>
          <w:ilvl w:val="0"/>
          <w:numId w:val="1005"/>
        </w:numPr>
        <w:pStyle w:val="Compact"/>
      </w:pPr>
      <w:r>
        <w:t xml:space="preserve">Тип обнаруженного гипервизора (Hypervisor detected) (рис. 27).</w:t>
      </w:r>
    </w:p>
    <w:p>
      <w:pPr>
        <w:pStyle w:val="CaptionedFigure"/>
      </w:pPr>
      <w:bookmarkStart w:id="129" w:name="fig:027"/>
      <w:r>
        <w:drawing>
          <wp:inline>
            <wp:extent cx="5334000" cy="392687"/>
            <wp:effectExtent b="0" l="0" r="0" t="0"/>
            <wp:docPr descr="Рис. 27: Тип обнаруженного гипервизора" title="" id="127" name="Picture"/>
            <a:graphic>
              <a:graphicData uri="http://schemas.openxmlformats.org/drawingml/2006/picture">
                <pic:pic>
                  <pic:nvPicPr>
                    <pic:cNvPr descr="image/29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Тип обнаруженного гипервизора</w:t>
      </w:r>
    </w:p>
    <w:p>
      <w:pPr>
        <w:numPr>
          <w:ilvl w:val="0"/>
          <w:numId w:val="1006"/>
        </w:numPr>
        <w:pStyle w:val="Compact"/>
      </w:pPr>
      <w:r>
        <w:t xml:space="preserve">Тип файловой системы корневого раздела</w:t>
      </w:r>
    </w:p>
    <w:p>
      <w:pPr>
        <w:numPr>
          <w:ilvl w:val="0"/>
          <w:numId w:val="1006"/>
        </w:numPr>
        <w:pStyle w:val="Compact"/>
      </w:pPr>
      <w:r>
        <w:t xml:space="preserve">Последовательность монтирования файловых систем (рис. 28).</w:t>
      </w:r>
    </w:p>
    <w:p>
      <w:pPr>
        <w:pStyle w:val="CaptionedFigure"/>
      </w:pPr>
      <w:bookmarkStart w:id="133" w:name="fig:028"/>
      <w:r>
        <w:drawing>
          <wp:inline>
            <wp:extent cx="5334000" cy="3349255"/>
            <wp:effectExtent b="0" l="0" r="0" t="0"/>
            <wp:docPr descr="Рис. 28: Тип файловой системы и последовательность монтирования" title="" id="131" name="Picture"/>
            <a:graphic>
              <a:graphicData uri="http://schemas.openxmlformats.org/drawingml/2006/picture">
                <pic:pic>
                  <pic:nvPicPr>
                    <pic:cNvPr descr="image/30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Тип файловой системы и последовательность монтирования</w:t>
      </w:r>
    </w:p>
    <w:p>
      <w:pPr>
        <w:pStyle w:val="BodyText"/>
      </w:pPr>
      <w:r>
        <w:rPr>
          <w:bCs/>
          <w:b/>
        </w:rP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Ответ: имя пользователя, пароль (зашифрован), индефикационный номер пользоваеля и инфецикационный номер группы пользоваетеля, домашний каталог пользователя, команндный интерпретатор пользователя.</w:t>
      </w:r>
    </w:p>
    <w:p>
      <w:pPr>
        <w:numPr>
          <w:ilvl w:val="0"/>
          <w:numId w:val="1008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Ответ:</w:t>
      </w:r>
    </w:p>
    <w:p>
      <w:pPr>
        <w:pStyle w:val="BodyText"/>
      </w:pPr>
      <w:r>
        <w:t xml:space="preserve">для получения справки по команде - man</w:t>
      </w:r>
      <w:r>
        <w:t xml:space="preserve"> </w:t>
      </w:r>
    </w:p>
    <w:p>
      <w:pPr>
        <w:pStyle w:val="BodyText"/>
      </w:pPr>
      <w:r>
        <w:t xml:space="preserve">для перемещения по файловой системе - cd - переход в домашний каталог, cd</w:t>
      </w:r>
      <w:r>
        <w:t xml:space="preserve"> </w:t>
      </w:r>
      <w:r>
        <w:t xml:space="preserve"> </w:t>
      </w:r>
      <w:r>
        <w:t xml:space="preserve">- переход к определенному каталогу</w:t>
      </w:r>
    </w:p>
    <w:p>
      <w:pPr>
        <w:pStyle w:val="BodyText"/>
      </w:pPr>
      <w:r>
        <w:t xml:space="preserve">для просмотра содержимого каталога - ls</w:t>
      </w:r>
    </w:p>
    <w:p>
      <w:pPr>
        <w:pStyle w:val="BodyText"/>
      </w:pPr>
      <w:r>
        <w:t xml:space="preserve">для создания каталогов - mkdir</w:t>
      </w:r>
      <w:r>
        <w:t xml:space="preserve"> </w:t>
      </w:r>
    </w:p>
    <w:p>
      <w:pPr>
        <w:pStyle w:val="BodyText"/>
      </w:pPr>
      <w:r>
        <w:t xml:space="preserve">для создания файлов - touch</w:t>
      </w:r>
      <w:r>
        <w:t xml:space="preserve"> </w:t>
      </w:r>
    </w:p>
    <w:p>
      <w:pPr>
        <w:pStyle w:val="BodyText"/>
      </w:pPr>
      <w:r>
        <w:t xml:space="preserve">для удаления каталогов - rm</w:t>
      </w:r>
      <w:r>
        <w:t xml:space="preserve"> </w:t>
      </w:r>
    </w:p>
    <w:p>
      <w:pPr>
        <w:pStyle w:val="BodyText"/>
      </w:pPr>
      <w:r>
        <w:t xml:space="preserve">для удаления файлов - rm -r</w:t>
      </w:r>
      <w:r>
        <w:t xml:space="preserve"> </w:t>
      </w:r>
    </w:p>
    <w:p>
      <w:pPr>
        <w:pStyle w:val="BodyText"/>
      </w:pPr>
      <w:r>
        <w:t xml:space="preserve">для задания определённых прав на файл / каталог - chownn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для просмотра истории команд - history</w:t>
      </w:r>
    </w:p>
    <w:p>
      <w:pPr>
        <w:numPr>
          <w:ilvl w:val="0"/>
          <w:numId w:val="1009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(ФС) - часть операционной системы,представляющая собой совокупность организованных наборов данных,</w:t>
      </w:r>
      <w:r>
        <w:t xml:space="preserve"> </w:t>
      </w:r>
      <w:r>
        <w:t xml:space="preserve">хранящихся на внешних запоминающих устройствах и программных средств,гарантирующих именованный доступ к этим данным и их защиту. Данныеназываются файлами, их имена - именами файлов.</w:t>
      </w:r>
    </w:p>
    <w:p>
      <w:pPr>
        <w:pStyle w:val="BodyText"/>
      </w:pPr>
      <w:r>
        <w:t xml:space="preserve">Ext2, Ext3, Ext4 - является стандартом для Linux. Как следствие, это самые распространенные системы. Они редко обновляются, но зато стабильны. Ext2 создавалась специально под Linux</w:t>
      </w:r>
    </w:p>
    <w:p>
      <w:pPr>
        <w:pStyle w:val="BodyText"/>
      </w:pPr>
      <w:r>
        <w:t xml:space="preserve">JFS - Журналируемая ФС — первая альтернатива для ФС группы Ext. Ее разработали в IBM специально для операционной системы AIX UNIX. Главные плюсы этой системы: стабильность и минимальные требования для работы.</w:t>
      </w:r>
    </w:p>
    <w:p>
      <w:pPr>
        <w:pStyle w:val="BodyText"/>
      </w:pPr>
      <w:r>
        <w:t xml:space="preserve">ReiserFS - Подходит исключительно под Linux, чаще всего ее используют в качестве возможной замены Ext3. Главные особенности: увеличенная производительность и более широкие возможности.</w:t>
      </w:r>
    </w:p>
    <w:p>
      <w:pPr>
        <w:pStyle w:val="BodyText"/>
      </w:pPr>
      <w:r>
        <w:t xml:space="preserve">XFS - Еще одна журналируемая ФС. Однако, в отличие от аналогов, в логи записывает исключительно те изменения, которые претерпевают метаданные. Разработана для ОС в Silicon Graphics. Важные особенности: быстро работает с файлами сравнительно большого размера, умеет выделять место в отложенном режиме, а также менять размеры разделов в процессе работы.</w:t>
      </w:r>
    </w:p>
    <w:p>
      <w:pPr>
        <w:pStyle w:val="BodyText"/>
      </w:pPr>
      <w:r>
        <w:t xml:space="preserve">Btrfs - Современная ФС, главной особенностью которой является высокая отказоустойчивость. Из дополнительных «бонусов»: удобна для сисадминов и поддерживает сравнительно простой процесс восстановления данных.</w:t>
      </w:r>
    </w:p>
    <w:p>
      <w:pPr>
        <w:numPr>
          <w:ilvl w:val="0"/>
          <w:numId w:val="1010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Ввести комнаду mount</w:t>
      </w:r>
    </w:p>
    <w:p>
      <w:pPr>
        <w:numPr>
          <w:ilvl w:val="0"/>
          <w:numId w:val="1010"/>
        </w:numPr>
      </w:pPr>
      <w:r>
        <w:t xml:space="preserve">Как удалить зависший процесс?</w:t>
      </w:r>
      <w:r>
        <w:t xml:space="preserve"> </w:t>
      </w:r>
      <w:r>
        <w:t xml:space="preserve">Ввести команду kill</w:t>
      </w:r>
    </w:p>
    <w:bookmarkEnd w:id="134"/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раьоты я 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26" Target="media/rId2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106" Target="media/rId106.jpg" /><Relationship Type="http://schemas.openxmlformats.org/officeDocument/2006/relationships/image" Id="rId110" Target="media/rId110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30" Target="media/rId30.jpg" /><Relationship Type="http://schemas.openxmlformats.org/officeDocument/2006/relationships/image" Id="rId130" Target="media/rId1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Лаборатроная работа №1</dc:title>
  <dc:creator>Астраханцева А. А.</dc:creator>
  <dc:language>ru-RU</dc:language>
  <cp:keywords/>
  <dcterms:created xsi:type="dcterms:W3CDTF">2024-02-17T11:54:09Z</dcterms:created>
  <dcterms:modified xsi:type="dcterms:W3CDTF">2024-02-17T11:54:09Z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