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безопастности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задания из списка</w:t>
      </w:r>
    </w:p>
    <w:p>
      <w:pPr>
        <w:numPr>
          <w:ilvl w:val="0"/>
          <w:numId w:val="1001"/>
        </w:numPr>
        <w:pStyle w:val="Compact"/>
      </w:pPr>
      <w:r>
        <w:t xml:space="preserve">Составить 2 таблицы по правам доступа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[1]</w:t>
      </w:r>
      <w:r>
        <w:t xml:space="preserve"> </w:t>
      </w: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t xml:space="preserve">r 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t xml:space="preserve">w 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t xml:space="preserve">group 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t xml:space="preserve">others (другие) — все остальные пользователи, не относящиеся к группе и не являющиеся владельцами.</w:t>
      </w:r>
    </w:p>
    <w:p>
      <w:pPr>
        <w:pStyle w:val="FirstParagraph"/>
      </w:pPr>
      <w:r>
        <w:t xml:space="preserve">Инструкция по выполнению лабораторной работы была взята с портала ТУИС [2].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создаем учётную запись пользователя guest (рис. 1).</w:t>
      </w:r>
    </w:p>
    <w:p>
      <w:pPr>
        <w:pStyle w:val="CaptionedFigure"/>
      </w:pPr>
      <w:bookmarkStart w:id="26" w:name="fig:001"/>
      <w:r>
        <w:drawing>
          <wp:inline>
            <wp:extent cx="3225800" cy="2209800"/>
            <wp:effectExtent b="0" l="0" r="0" t="0"/>
            <wp:docPr descr="Рис. 1: Создание новой учетной записи и установка парол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новой учетной записи и установка пароля</w:t>
      </w:r>
    </w:p>
    <w:p>
      <w:pPr>
        <w:numPr>
          <w:ilvl w:val="0"/>
          <w:numId w:val="1005"/>
        </w:numPr>
        <w:pStyle w:val="Compact"/>
      </w:pPr>
      <w:r>
        <w:t xml:space="preserve">Входим в систему от имени пользователя guest (рис. 2).</w:t>
      </w:r>
    </w:p>
    <w:p>
      <w:pPr>
        <w:pStyle w:val="CaptionedFigure"/>
      </w:pPr>
      <w:bookmarkStart w:id="30" w:name="fig:002"/>
      <w:r>
        <w:drawing>
          <wp:inline>
            <wp:extent cx="5334000" cy="2631553"/>
            <wp:effectExtent b="0" l="0" r="0" t="0"/>
            <wp:docPr descr="Рис. 2: Вход в новую учетную запись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Вход в новую учетную запись</w:t>
      </w:r>
    </w:p>
    <w:p>
      <w:pPr>
        <w:numPr>
          <w:ilvl w:val="0"/>
          <w:numId w:val="1006"/>
        </w:numPr>
        <w:pStyle w:val="Compact"/>
      </w:pPr>
      <w:r>
        <w:t xml:space="preserve">Определяем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Срав-</w:t>
      </w:r>
      <w:r>
        <w:t xml:space="preserve"> </w:t>
      </w:r>
      <w:r>
        <w:t xml:space="preserve">ниваем её с приглашением командной строки. Определяем, является ли она домашней директорией с помощью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(переход в корневой каталог), и снова вводим</w:t>
      </w:r>
      <w:r>
        <w:t xml:space="preserve"> </w:t>
      </w:r>
      <w:r>
        <w:rPr>
          <w:rStyle w:val="VerbatimChar"/>
        </w:rPr>
        <w:t xml:space="preserve">pwd</w:t>
      </w:r>
      <w:r>
        <w:t xml:space="preserve">? Уточняем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4" w:name="fig:003"/>
      <w:r>
        <w:drawing>
          <wp:inline>
            <wp:extent cx="1828800" cy="933450"/>
            <wp:effectExtent b="0" l="0" r="0" t="0"/>
            <wp:docPr descr="Рис. 3: Перезод в домашний каталог, уточнение имени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Перезод в домашний каталог, уточнение имени пользователя</w:t>
      </w:r>
    </w:p>
    <w:p>
      <w:pPr>
        <w:numPr>
          <w:ilvl w:val="0"/>
          <w:numId w:val="1007"/>
        </w:numPr>
        <w:pStyle w:val="Compact"/>
      </w:pPr>
      <w:r>
        <w:t xml:space="preserve">Уточняем имя пользователя, его группу, а также группы, куда вхо-</w:t>
      </w:r>
      <w:r>
        <w:t xml:space="preserve"> </w:t>
      </w:r>
      <w:r>
        <w:t xml:space="preserve">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Сравниваем вывод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8" w:name="fig:004"/>
      <w:r>
        <w:drawing>
          <wp:inline>
            <wp:extent cx="4133850" cy="615950"/>
            <wp:effectExtent b="0" l="0" r="0" t="0"/>
            <wp:docPr descr="Рис. 4: Вывод имени пользователя, его группы и т. д.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Вывод имени пользователя, его группы и т. д.</w:t>
      </w:r>
    </w:p>
    <w:p>
      <w:pPr>
        <w:numPr>
          <w:ilvl w:val="0"/>
          <w:numId w:val="1008"/>
        </w:numPr>
        <w:pStyle w:val="Compact"/>
      </w:pPr>
      <w:r>
        <w:t xml:space="preserve">Просматриваем файл /etc/passwd командой</w:t>
      </w:r>
      <w:r>
        <w:t xml:space="preserve"> </w:t>
      </w:r>
      <w:r>
        <w:rPr>
          <w:rStyle w:val="VerbatimChar"/>
        </w:rPr>
        <w:t xml:space="preserve">cat /etc/passwd | grep guest</w:t>
      </w:r>
      <w:r>
        <w:t xml:space="preserve">. Находим в нём свою учётную запись. Сравниваем выводы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 содержимое данного файла. Видим, что uid и git пользователя везде совпадают (рис. 5).</w:t>
      </w:r>
    </w:p>
    <w:p>
      <w:pPr>
        <w:pStyle w:val="CaptionedFigure"/>
      </w:pPr>
      <w:bookmarkStart w:id="42" w:name="fig:005"/>
      <w:r>
        <w:drawing>
          <wp:inline>
            <wp:extent cx="3035300" cy="457200"/>
            <wp:effectExtent b="0" l="0" r="0" t="0"/>
            <wp:docPr descr="Рис. 5: Просмотр файла /etc/passwd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Просмотр файла /etc/passwd</w:t>
      </w:r>
    </w:p>
    <w:p>
      <w:pPr>
        <w:numPr>
          <w:ilvl w:val="0"/>
          <w:numId w:val="1009"/>
        </w:numPr>
        <w:pStyle w:val="Compact"/>
      </w:pPr>
      <w:r>
        <w:t xml:space="preserve">Определяем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.Нам удается получить список поддиректорий директории /home. В нем содержатся директории</w:t>
      </w:r>
      <w:r>
        <w:t xml:space="preserve"> </w:t>
      </w:r>
      <w:r>
        <w:t xml:space="preserve">‘</w:t>
      </w:r>
      <w:r>
        <w:t xml:space="preserve">guest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user</w:t>
      </w:r>
      <w:r>
        <w:t xml:space="preserve">’</w:t>
      </w:r>
      <w:r>
        <w:t xml:space="preserve">. Для обоих дирректорий установлены такие права:</w:t>
      </w:r>
      <w:r>
        <w:t xml:space="preserve"> </w:t>
      </w:r>
      <w:r>
        <w:t xml:space="preserve">‘</w:t>
      </w:r>
      <w:r>
        <w:t xml:space="preserve">drwx——</w:t>
      </w:r>
      <w:r>
        <w:t xml:space="preserve">’</w:t>
      </w:r>
      <w:r>
        <w:t xml:space="preserve">. Это говорит нам о том, что перед нами дирректории (первая буква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), и для этих директорий владлец (owner) единстенный имеет права на чтение, запить и выполнение данных диекторий (рис. 6).</w:t>
      </w:r>
    </w:p>
    <w:p>
      <w:pPr>
        <w:pStyle w:val="CaptionedFigure"/>
      </w:pPr>
      <w:bookmarkStart w:id="46" w:name="fig:006"/>
      <w:r>
        <w:drawing>
          <wp:inline>
            <wp:extent cx="2749550" cy="533400"/>
            <wp:effectExtent b="0" l="0" r="0" t="0"/>
            <wp:docPr descr="Рис. 6: Просмотр поддиректорий home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Просмотр поддиректорий home</w:t>
      </w:r>
    </w:p>
    <w:p>
      <w:pPr>
        <w:numPr>
          <w:ilvl w:val="0"/>
          <w:numId w:val="1010"/>
        </w:numPr>
        <w:pStyle w:val="Compact"/>
      </w:pPr>
      <w:r>
        <w:t xml:space="preserve">Проверяем,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Нам не удается ни увидеть расширенные атрибуты директории, ни расширенные атрибуты директорий других пользователей (рис. 7).</w:t>
      </w:r>
    </w:p>
    <w:p>
      <w:pPr>
        <w:pStyle w:val="CaptionedFigure"/>
      </w:pPr>
      <w:bookmarkStart w:id="50" w:name="fig:007"/>
      <w:r>
        <w:drawing>
          <wp:inline>
            <wp:extent cx="3327400" cy="488950"/>
            <wp:effectExtent b="0" l="0" r="0" t="0"/>
            <wp:docPr descr="Рис. 7: Просмотр атрибутов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атрибутов</w:t>
      </w:r>
    </w:p>
    <w:p>
      <w:pPr>
        <w:numPr>
          <w:ilvl w:val="0"/>
          <w:numId w:val="1011"/>
        </w:numPr>
        <w:pStyle w:val="Compact"/>
      </w:pPr>
      <w:r>
        <w:t xml:space="preserve">Создаем в домашней директории поддиректорию dir1 командой</w:t>
      </w:r>
      <w:r>
        <w:t xml:space="preserve"> </w:t>
      </w:r>
      <w:r>
        <w:t xml:space="preserve">mkdir dir1. С помощью команд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оперделяем, какие права доступа и расши-</w:t>
      </w:r>
      <w:r>
        <w:t xml:space="preserve"> </w:t>
      </w:r>
      <w:r>
        <w:t xml:space="preserve">ренные атрибуты были выставлены на директорию dir1. Можем видеть, что для данной диретории выставленные стандартные для данного каталога права 8).</w:t>
      </w:r>
    </w:p>
    <w:p>
      <w:pPr>
        <w:pStyle w:val="CaptionedFigure"/>
      </w:pPr>
      <w:bookmarkStart w:id="54" w:name="fig:008"/>
      <w:r>
        <w:drawing>
          <wp:inline>
            <wp:extent cx="2901950" cy="2311400"/>
            <wp:effectExtent b="0" l="0" r="0" t="0"/>
            <wp:docPr descr="Рис. 8: Создание новой дирректории и просмотр прав доступа на нее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новой дирректории и просмотр прав доступа на нее</w:t>
      </w:r>
    </w:p>
    <w:p>
      <w:pPr>
        <w:numPr>
          <w:ilvl w:val="0"/>
          <w:numId w:val="1012"/>
        </w:numPr>
        <w:pStyle w:val="Compact"/>
      </w:pPr>
      <w:r>
        <w:t xml:space="preserve">Снимаем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проверяем результат с помощью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(рис.9).</w:t>
      </w:r>
    </w:p>
    <w:p>
      <w:pPr>
        <w:pStyle w:val="CaptionedFigure"/>
      </w:pPr>
      <w:bookmarkStart w:id="58" w:name="fig:009"/>
      <w:r>
        <w:drawing>
          <wp:inline>
            <wp:extent cx="2743200" cy="1657350"/>
            <wp:effectExtent b="0" l="0" r="0" t="0"/>
            <wp:docPr descr="Рис. 9: Снятие всех атрибутов с созданной директории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Снятие всех атрибутов с созданной директории</w:t>
      </w:r>
    </w:p>
    <w:p>
      <w:pPr>
        <w:numPr>
          <w:ilvl w:val="0"/>
          <w:numId w:val="1013"/>
        </w:numPr>
        <w:pStyle w:val="Compact"/>
      </w:pPr>
      <w:r>
        <w:t xml:space="preserve">Попытаемся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 Получеам отказ в выполнении данной команды, так как на предыдущем шаге мы снали все атрибуты с данной директории, таким образом теперь никакой пользователь не может ни прочичтать файл, ни изменить его, ни запучтить на выполнение до тех пор, пока права доступа не будут снова изменены рис.10).</w:t>
      </w:r>
    </w:p>
    <w:p>
      <w:pPr>
        <w:pStyle w:val="CaptionedFigure"/>
      </w:pPr>
      <w:bookmarkStart w:id="62" w:name="fig:010"/>
      <w:r>
        <w:drawing>
          <wp:inline>
            <wp:extent cx="3683000" cy="546100"/>
            <wp:effectExtent b="0" l="0" r="0" t="0"/>
            <wp:docPr descr="Рис. 10: Попытка создать файл в директори со снятыми атрибутами парв доступ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Попытка создать файл в директори со снятыми атрибутами парв доступа</w:t>
      </w:r>
    </w:p>
    <w:bookmarkStart w:id="63" w:name="заполнение-таблицы-2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63"/>
    <w:bookmarkStart w:id="64" w:name="заполнение-таблицы-2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66"/>
    <w:bookmarkStart w:id="67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 в Linux: https://codechick.io/tutorials/unix-linux/unix-linux-permissions</w:t>
      </w:r>
      <w:r>
        <w:t xml:space="preserve"> </w:t>
      </w:r>
      <w:r>
        <w:t xml:space="preserve">[2] Курс</w:t>
      </w:r>
      <w:r>
        <w:t xml:space="preserve"> </w:t>
      </w:r>
      <w:r>
        <w:t xml:space="preserve">“</w:t>
      </w:r>
      <w:r>
        <w:t xml:space="preserve">Основы информационой бесопастности</w:t>
      </w:r>
      <w:r>
        <w:t xml:space="preserve">”</w:t>
      </w:r>
      <w:r>
        <w:t xml:space="preserve">: https://esystem.rudn.ru/course/view.php?id=21204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Астраханцева А. А.</dc:creator>
  <dc:language>ru-RU</dc:language>
  <cp:keywords/>
  <dcterms:created xsi:type="dcterms:W3CDTF">2024-03-01T10:31:17Z</dcterms:created>
  <dcterms:modified xsi:type="dcterms:W3CDTF">2024-03-01T10:31:17Z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безопастности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