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8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6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121.jpg" ContentType="image/jpeg"/>
  <Override PartName="/word/media/rId125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операционной системы Linux, дистрибутив Kali.</w:t>
      </w:r>
    </w:p>
    <w:bookmarkEnd w:id="21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Начимаем создание новой виртуальной машины, указываем тип и имя ОС. В моем случае имя ОС такое же как логин для работы в ДК. (рис. 1).</w:t>
      </w:r>
    </w:p>
    <w:p>
      <w:pPr>
        <w:pStyle w:val="CaptionedFigure"/>
      </w:pPr>
      <w:bookmarkStart w:id="25" w:name="fig:001"/>
      <w:r>
        <w:drawing>
          <wp:inline>
            <wp:extent cx="4184650" cy="3740150"/>
            <wp:effectExtent b="0" l="0" r="0" t="0"/>
            <wp:docPr descr="Рис. 1: Тип и имя ОС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74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Тип и имя ОС</w:t>
      </w:r>
    </w:p>
    <w:p>
      <w:pPr>
        <w:pStyle w:val="BodyText"/>
      </w:pPr>
      <w:r>
        <w:t xml:space="preserve">Указываем объем памяти. Указываем 2048 МБ. (рис. 2).</w:t>
      </w:r>
    </w:p>
    <w:p>
      <w:pPr>
        <w:pStyle w:val="CaptionedFigure"/>
      </w:pPr>
      <w:bookmarkStart w:id="29" w:name="fig:002"/>
      <w:r>
        <w:drawing>
          <wp:inline>
            <wp:extent cx="5334000" cy="3109655"/>
            <wp:effectExtent b="0" l="0" r="0" t="0"/>
            <wp:docPr descr="Рис. 2: Объем памяти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Объем памяти</w:t>
      </w:r>
    </w:p>
    <w:p>
      <w:pPr>
        <w:pStyle w:val="BodyText"/>
      </w:pPr>
      <w:r>
        <w:t xml:space="preserve">Создаем новый виртуальный жесткий диск (рис. 3).</w:t>
      </w:r>
    </w:p>
    <w:p>
      <w:pPr>
        <w:pStyle w:val="CaptionedFigure"/>
      </w:pPr>
      <w:bookmarkStart w:id="33" w:name="fig:003"/>
      <w:r>
        <w:drawing>
          <wp:inline>
            <wp:extent cx="5334000" cy="3166473"/>
            <wp:effectExtent b="0" l="0" r="0" t="0"/>
            <wp:docPr descr="Рис. 3: Жесткий диск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Жесткий диск</w:t>
      </w:r>
    </w:p>
    <w:p>
      <w:pPr>
        <w:pStyle w:val="BodyText"/>
      </w:pPr>
      <w:r>
        <w:t xml:space="preserve">Указываем тип виртуального жесткого диска (рис. 4).</w:t>
      </w:r>
    </w:p>
    <w:p>
      <w:pPr>
        <w:pStyle w:val="CaptionedFigure"/>
      </w:pPr>
      <w:bookmarkStart w:id="37" w:name="fig:004"/>
      <w:r>
        <w:drawing>
          <wp:inline>
            <wp:extent cx="5334000" cy="3413207"/>
            <wp:effectExtent b="0" l="0" r="0" t="0"/>
            <wp:docPr descr="Рис. 4: Тип жесткого диск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Тип жесткого диска</w:t>
      </w:r>
    </w:p>
    <w:p>
      <w:pPr>
        <w:pStyle w:val="BodyText"/>
      </w:pPr>
      <w:r>
        <w:t xml:space="preserve">Указываем формат хранения (рис. 5).</w:t>
      </w:r>
    </w:p>
    <w:p>
      <w:pPr>
        <w:pStyle w:val="CaptionedFigure"/>
      </w:pPr>
      <w:bookmarkStart w:id="41" w:name="fig:005"/>
      <w:r>
        <w:drawing>
          <wp:inline>
            <wp:extent cx="5334000" cy="3723174"/>
            <wp:effectExtent b="0" l="0" r="0" t="0"/>
            <wp:docPr descr="Рис. 5: Формат хранения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Формат хранения</w:t>
      </w:r>
    </w:p>
    <w:p>
      <w:pPr>
        <w:pStyle w:val="BodyText"/>
      </w:pPr>
      <w:r>
        <w:t xml:space="preserve">Указываем имя и размер нового виртуального жесткого диска. Выбираем 40 ГБ (рис. 6).</w:t>
      </w:r>
    </w:p>
    <w:p>
      <w:pPr>
        <w:pStyle w:val="CaptionedFigure"/>
      </w:pPr>
      <w:bookmarkStart w:id="45" w:name="fig:006"/>
      <w:r>
        <w:drawing>
          <wp:inline>
            <wp:extent cx="5334000" cy="3592735"/>
            <wp:effectExtent b="0" l="0" r="0" t="0"/>
            <wp:docPr descr="Рис. 6: Имя и размер жесткого диска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Имя и размер жесткого диска</w:t>
      </w:r>
    </w:p>
    <w:p>
      <w:pPr>
        <w:pStyle w:val="BodyText"/>
      </w:pPr>
      <w:r>
        <w:t xml:space="preserve">Далее необходимо было в настройках в разделе</w:t>
      </w:r>
      <w:r>
        <w:t xml:space="preserve"> </w:t>
      </w:r>
      <w:r>
        <w:t xml:space="preserve">“</w:t>
      </w:r>
      <w:r>
        <w:t xml:space="preserve">Ностители</w:t>
      </w:r>
      <w:r>
        <w:t xml:space="preserve">”</w:t>
      </w:r>
      <w:r>
        <w:t xml:space="preserve"> </w:t>
      </w:r>
      <w:r>
        <w:t xml:space="preserve">выбрать контроллер IDE. Для этого нужно было предварительно установить Kali с разрещением .iso. (рис. 7).</w:t>
      </w:r>
    </w:p>
    <w:p>
      <w:pPr>
        <w:pStyle w:val="CaptionedFigure"/>
      </w:pPr>
      <w:bookmarkStart w:id="49" w:name="fig:007"/>
      <w:r>
        <w:drawing>
          <wp:inline>
            <wp:extent cx="5334000" cy="3735418"/>
            <wp:effectExtent b="0" l="0" r="0" t="0"/>
            <wp:docPr descr="Рис. 7: Установка контроллера IDE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Установка контроллера IDE</w:t>
      </w:r>
    </w:p>
    <w:p>
      <w:pPr>
        <w:pStyle w:val="BodyText"/>
      </w:pPr>
      <w:r>
        <w:t xml:space="preserve">Заупскаем виртуальную машину. Выбираем</w:t>
      </w:r>
      <w:r>
        <w:t xml:space="preserve"> </w:t>
      </w:r>
      <w:r>
        <w:t xml:space="preserve">“</w:t>
      </w:r>
      <w:r>
        <w:t xml:space="preserve">Graphical install</w:t>
      </w:r>
      <w:r>
        <w:t xml:space="preserve">”</w:t>
      </w:r>
      <w:r>
        <w:t xml:space="preserve"> </w:t>
      </w:r>
      <w:r>
        <w:t xml:space="preserve">(рис. 8).</w:t>
      </w:r>
    </w:p>
    <w:p>
      <w:pPr>
        <w:pStyle w:val="CaptionedFigure"/>
      </w:pPr>
      <w:bookmarkStart w:id="53" w:name="fig:008"/>
      <w:r>
        <w:drawing>
          <wp:inline>
            <wp:extent cx="5200650" cy="3822700"/>
            <wp:effectExtent b="0" l="0" r="0" t="0"/>
            <wp:docPr descr="Рис. 8: Зпауск виртуальной машины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Зпауск виртуальной машины</w:t>
      </w:r>
    </w:p>
    <w:p>
      <w:pPr>
        <w:pStyle w:val="BodyText"/>
      </w:pPr>
      <w:r>
        <w:t xml:space="preserve">Выбираем русский язык для процесса установки (рис. 9).</w:t>
      </w:r>
    </w:p>
    <w:p>
      <w:pPr>
        <w:pStyle w:val="CaptionedFigure"/>
      </w:pPr>
      <w:bookmarkStart w:id="57" w:name="fig:009"/>
      <w:r>
        <w:drawing>
          <wp:inline>
            <wp:extent cx="5143500" cy="3930650"/>
            <wp:effectExtent b="0" l="0" r="0" t="0"/>
            <wp:docPr descr="Рис. 9: Выбор языка процесса установк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Выбор языка процесса установк</w:t>
      </w:r>
    </w:p>
    <w:p>
      <w:pPr>
        <w:pStyle w:val="BodyText"/>
      </w:pPr>
      <w:r>
        <w:t xml:space="preserve">Выбираем страну (рис. 10).</w:t>
      </w:r>
    </w:p>
    <w:p>
      <w:pPr>
        <w:pStyle w:val="CaptionedFigure"/>
      </w:pPr>
      <w:bookmarkStart w:id="61" w:name="fig:010"/>
      <w:r>
        <w:drawing>
          <wp:inline>
            <wp:extent cx="5238750" cy="4051300"/>
            <wp:effectExtent b="0" l="0" r="0" t="0"/>
            <wp:docPr descr="Рис. 10: Выбор страны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Выбор страны</w:t>
      </w:r>
    </w:p>
    <w:p>
      <w:pPr>
        <w:pStyle w:val="BodyText"/>
      </w:pPr>
      <w:r>
        <w:t xml:space="preserve">Выбираем раскладку клавиатуры (рис. 11).</w:t>
      </w:r>
    </w:p>
    <w:p>
      <w:pPr>
        <w:pStyle w:val="CaptionedFigure"/>
      </w:pPr>
      <w:bookmarkStart w:id="64" w:name="fig:011"/>
      <w:r>
        <w:drawing>
          <wp:inline>
            <wp:extent cx="5238750" cy="4051300"/>
            <wp:effectExtent b="0" l="0" r="0" t="0"/>
            <wp:docPr descr="Рис. 11: Расклавдка клваиатуры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Расклавдка клваиатуры</w:t>
      </w:r>
    </w:p>
    <w:p>
      <w:pPr>
        <w:pStyle w:val="BodyText"/>
      </w:pPr>
      <w:r>
        <w:t xml:space="preserve">Вводим имя компьютера и имя домена (рис. 12 - 13).</w:t>
      </w:r>
    </w:p>
    <w:p>
      <w:pPr>
        <w:pStyle w:val="CaptionedFigure"/>
      </w:pPr>
      <w:bookmarkStart w:id="68" w:name="fig:012"/>
      <w:r>
        <w:drawing>
          <wp:inline>
            <wp:extent cx="5327650" cy="4013200"/>
            <wp:effectExtent b="0" l="0" r="0" t="0"/>
            <wp:docPr descr="Рис. 12: Имя компьютера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Имя компьютера</w:t>
      </w:r>
    </w:p>
    <w:p>
      <w:pPr>
        <w:pStyle w:val="CaptionedFigure"/>
      </w:pPr>
      <w:bookmarkStart w:id="72" w:name="fig:013"/>
      <w:r>
        <w:drawing>
          <wp:inline>
            <wp:extent cx="5130800" cy="4000500"/>
            <wp:effectExtent b="0" l="0" r="0" t="0"/>
            <wp:docPr descr="Рис. 13: Имя домена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Имя домена</w:t>
      </w:r>
    </w:p>
    <w:p>
      <w:pPr>
        <w:pStyle w:val="BodyText"/>
      </w:pPr>
      <w:r>
        <w:t xml:space="preserve">Настройка пользователей системы (рис. 14 - 16).</w:t>
      </w:r>
    </w:p>
    <w:p>
      <w:pPr>
        <w:pStyle w:val="CaptionedFigure"/>
      </w:pPr>
      <w:bookmarkStart w:id="76" w:name="fig:014"/>
      <w:r>
        <w:drawing>
          <wp:inline>
            <wp:extent cx="5302250" cy="4025900"/>
            <wp:effectExtent b="0" l="0" r="0" t="0"/>
            <wp:docPr descr="Рис. 14: Имя суперпользователя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Имя суперпользователя</w:t>
      </w:r>
    </w:p>
    <w:p>
      <w:pPr>
        <w:pStyle w:val="CaptionedFigure"/>
      </w:pPr>
      <w:bookmarkStart w:id="80" w:name="fig:015"/>
      <w:r>
        <w:drawing>
          <wp:inline>
            <wp:extent cx="5207000" cy="3987800"/>
            <wp:effectExtent b="0" l="0" r="0" t="0"/>
            <wp:docPr descr="Рис. 15: Имя пользователя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Имя пользователя</w:t>
      </w:r>
    </w:p>
    <w:p>
      <w:pPr>
        <w:pStyle w:val="CaptionedFigure"/>
      </w:pPr>
      <w:bookmarkStart w:id="84" w:name="fig:016"/>
      <w:r>
        <w:drawing>
          <wp:inline>
            <wp:extent cx="5226050" cy="4095750"/>
            <wp:effectExtent b="0" l="0" r="0" t="0"/>
            <wp:docPr descr="Рис. 16: Пароль для обычного пользователя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Пароль для обычного пользователя</w:t>
      </w:r>
    </w:p>
    <w:p>
      <w:pPr>
        <w:pStyle w:val="BodyText"/>
      </w:pPr>
      <w:r>
        <w:t xml:space="preserve">Выбираем часовой пояс (рис.17).</w:t>
      </w:r>
    </w:p>
    <w:p>
      <w:pPr>
        <w:pStyle w:val="CaptionedFigure"/>
      </w:pPr>
      <w:bookmarkStart w:id="88" w:name="fig:017"/>
      <w:r>
        <w:drawing>
          <wp:inline>
            <wp:extent cx="5238750" cy="3994150"/>
            <wp:effectExtent b="0" l="0" r="0" t="0"/>
            <wp:docPr descr="Рис. 17: Выбор часового поса" title="" id="86" name="Picture"/>
            <a:graphic>
              <a:graphicData uri="http://schemas.openxmlformats.org/drawingml/2006/picture">
                <pic:pic>
                  <pic:nvPicPr>
                    <pic:cNvPr descr="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Выбор часового поса</w:t>
      </w:r>
    </w:p>
    <w:p>
      <w:pPr>
        <w:pStyle w:val="BodyText"/>
      </w:pPr>
      <w:r>
        <w:t xml:space="preserve">Далее необходимо настроить разметку дисков. Оставляем все значения без изменений. (рис. 18 - 22).</w:t>
      </w:r>
    </w:p>
    <w:p>
      <w:pPr>
        <w:pStyle w:val="CaptionedFigure"/>
      </w:pPr>
      <w:bookmarkStart w:id="92" w:name="fig:018"/>
      <w:r>
        <w:drawing>
          <wp:inline>
            <wp:extent cx="5257800" cy="4019550"/>
            <wp:effectExtent b="0" l="0" r="0" t="0"/>
            <wp:docPr descr="Рис. 18: Выбор метода разметки" title="" id="90" name="Picture"/>
            <a:graphic>
              <a:graphicData uri="http://schemas.openxmlformats.org/drawingml/2006/picture">
                <pic:pic>
                  <pic:nvPicPr>
                    <pic:cNvPr descr="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Выбор метода разметки</w:t>
      </w:r>
    </w:p>
    <w:p>
      <w:pPr>
        <w:pStyle w:val="CaptionedFigure"/>
      </w:pPr>
      <w:bookmarkStart w:id="96" w:name="fig:019"/>
      <w:r>
        <w:drawing>
          <wp:inline>
            <wp:extent cx="5226050" cy="3987800"/>
            <wp:effectExtent b="0" l="0" r="0" t="0"/>
            <wp:docPr descr="Рис. 19: Выбор диска для разметки" title="" id="94" name="Picture"/>
            <a:graphic>
              <a:graphicData uri="http://schemas.openxmlformats.org/drawingml/2006/picture">
                <pic:pic>
                  <pic:nvPicPr>
                    <pic:cNvPr descr="image/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Выбор диска для разметки</w:t>
      </w:r>
    </w:p>
    <w:p>
      <w:pPr>
        <w:pStyle w:val="CaptionedFigure"/>
      </w:pPr>
      <w:bookmarkStart w:id="100" w:name="fig:020"/>
      <w:r>
        <w:drawing>
          <wp:inline>
            <wp:extent cx="5245100" cy="3994150"/>
            <wp:effectExtent b="0" l="0" r="0" t="0"/>
            <wp:docPr descr="Рис. 20: Выбор схемы разметки" title="" id="98" name="Picture"/>
            <a:graphic>
              <a:graphicData uri="http://schemas.openxmlformats.org/drawingml/2006/picture">
                <pic:pic>
                  <pic:nvPicPr>
                    <pic:cNvPr descr="image/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Выбор схемы разметки</w:t>
      </w:r>
    </w:p>
    <w:p>
      <w:pPr>
        <w:pStyle w:val="CaptionedFigure"/>
      </w:pPr>
      <w:bookmarkStart w:id="104" w:name="fig:021"/>
      <w:r>
        <w:drawing>
          <wp:inline>
            <wp:extent cx="5194300" cy="3994150"/>
            <wp:effectExtent b="0" l="0" r="0" t="0"/>
            <wp:docPr descr="Рис. 21: Список настроенны разделов и их точки монтирования" title="" id="102" name="Picture"/>
            <a:graphic>
              <a:graphicData uri="http://schemas.openxmlformats.org/drawingml/2006/picture">
                <pic:pic>
                  <pic:nvPicPr>
                    <pic:cNvPr descr="image/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Список настроенны разделов и их точки монтирования</w:t>
      </w:r>
    </w:p>
    <w:p>
      <w:pPr>
        <w:pStyle w:val="CaptionedFigure"/>
      </w:pPr>
      <w:bookmarkStart w:id="108" w:name="fig:022"/>
      <w:r>
        <w:drawing>
          <wp:inline>
            <wp:extent cx="5238750" cy="4044950"/>
            <wp:effectExtent b="0" l="0" r="0" t="0"/>
            <wp:docPr descr="Рис. 22: Окончание разметки диска" title="" id="106" name="Picture"/>
            <a:graphic>
              <a:graphicData uri="http://schemas.openxmlformats.org/drawingml/2006/picture">
                <pic:pic>
                  <pic:nvPicPr>
                    <pic:cNvPr descr="image/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4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Окончание разметки диска</w:t>
      </w:r>
    </w:p>
    <w:p>
      <w:pPr>
        <w:pStyle w:val="BodyText"/>
      </w:pPr>
      <w:r>
        <w:t xml:space="preserve">Далее идет выбор дополнительных пакетов, необходимых для установки. Выбранные пункты позволят установить страндартную версию Кали (рис.23).</w:t>
      </w:r>
    </w:p>
    <w:p>
      <w:pPr>
        <w:pStyle w:val="CaptionedFigure"/>
      </w:pPr>
      <w:bookmarkStart w:id="112" w:name="fig:023"/>
      <w:r>
        <w:drawing>
          <wp:inline>
            <wp:extent cx="5264150" cy="4083050"/>
            <wp:effectExtent b="0" l="0" r="0" t="0"/>
            <wp:docPr descr="Рис. 23: Устоанвка стандартных инструментов Кали" title="" id="110" name="Picture"/>
            <a:graphic>
              <a:graphicData uri="http://schemas.openxmlformats.org/drawingml/2006/picture">
                <pic:pic>
                  <pic:nvPicPr>
                    <pic:cNvPr descr="image/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Устоанвка стандартных инструментов Кали</w:t>
      </w:r>
    </w:p>
    <w:p>
      <w:pPr>
        <w:pStyle w:val="BodyText"/>
      </w:pPr>
      <w:r>
        <w:t xml:space="preserve">Установка системного загрузчика. Устнавлваем его на первичный диск(рис. 24).</w:t>
      </w:r>
    </w:p>
    <w:p>
      <w:pPr>
        <w:pStyle w:val="CaptionedFigure"/>
      </w:pPr>
      <w:bookmarkStart w:id="116" w:name="fig:024"/>
      <w:r>
        <w:drawing>
          <wp:inline>
            <wp:extent cx="5334000" cy="3981540"/>
            <wp:effectExtent b="0" l="0" r="0" t="0"/>
            <wp:docPr descr="Рис. 24: Установка системного загрузчика" title="" id="114" name="Picture"/>
            <a:graphic>
              <a:graphicData uri="http://schemas.openxmlformats.org/drawingml/2006/picture">
                <pic:pic>
                  <pic:nvPicPr>
                    <pic:cNvPr descr="image/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Установка системного загрузчика</w:t>
      </w:r>
    </w:p>
    <w:p>
      <w:pPr>
        <w:pStyle w:val="BodyText"/>
      </w:pPr>
      <w:r>
        <w:t xml:space="preserve">Выбор устройства для установки системного загрузчика. (рис.25).</w:t>
      </w:r>
    </w:p>
    <w:p>
      <w:pPr>
        <w:pStyle w:val="CaptionedFigure"/>
      </w:pPr>
      <w:bookmarkStart w:id="120" w:name="fig:025"/>
      <w:r>
        <w:drawing>
          <wp:inline>
            <wp:extent cx="5334000" cy="4099685"/>
            <wp:effectExtent b="0" l="0" r="0" t="0"/>
            <wp:docPr descr="Рис. 25: Устройство для установки системного загрузчика" title="" id="118" name="Picture"/>
            <a:graphic>
              <a:graphicData uri="http://schemas.openxmlformats.org/drawingml/2006/picture">
                <pic:pic>
                  <pic:nvPicPr>
                    <pic:cNvPr descr="image/2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Устройство для установки системного загрузчика</w:t>
      </w:r>
    </w:p>
    <w:p>
      <w:pPr>
        <w:pStyle w:val="BodyText"/>
      </w:pPr>
      <w:r>
        <w:t xml:space="preserve">Перезагрузка машины и заверщение устновки (рис. 26).</w:t>
      </w:r>
    </w:p>
    <w:p>
      <w:pPr>
        <w:pStyle w:val="CaptionedFigure"/>
      </w:pPr>
      <w:bookmarkStart w:id="124" w:name="fig:026"/>
      <w:r>
        <w:drawing>
          <wp:inline>
            <wp:extent cx="5334000" cy="4094408"/>
            <wp:effectExtent b="0" l="0" r="0" t="0"/>
            <wp:docPr descr="Рис. 26: Перезагрузка машины и заверщение устновки" title="" id="122" name="Picture"/>
            <a:graphic>
              <a:graphicData uri="http://schemas.openxmlformats.org/drawingml/2006/picture">
                <pic:pic>
                  <pic:nvPicPr>
                    <pic:cNvPr descr="image/26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Перезагрузка машины и заверщение устновки</w:t>
      </w:r>
    </w:p>
    <w:p>
      <w:pPr>
        <w:pStyle w:val="BodyText"/>
      </w:pPr>
      <w:r>
        <w:t xml:space="preserve">Загрузка заверена. Можем запускать Кали (рис. 27).</w:t>
      </w:r>
    </w:p>
    <w:p>
      <w:pPr>
        <w:pStyle w:val="CaptionedFigure"/>
      </w:pPr>
      <w:bookmarkStart w:id="128" w:name="fig:027"/>
      <w:r>
        <w:drawing>
          <wp:inline>
            <wp:extent cx="5334000" cy="3000375"/>
            <wp:effectExtent b="0" l="0" r="0" t="0"/>
            <wp:docPr descr="Рис. 27: Главный экра Кали" title="" id="126" name="Picture"/>
            <a:graphic>
              <a:graphicData uri="http://schemas.openxmlformats.org/drawingml/2006/picture">
                <pic:pic>
                  <pic:nvPicPr>
                    <pic:cNvPr descr="image/27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Главный экра Кали</w:t>
      </w:r>
    </w:p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раьоты 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6" Target="media/rId26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125" Target="media/rId125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№1</dc:title>
  <dc:creator>Астраханцева А. А.</dc:creator>
  <dc:language>ru-RU</dc:language>
  <cp:keywords/>
  <dcterms:created xsi:type="dcterms:W3CDTF">2024-02-28T09:49:43Z</dcterms:created>
  <dcterms:modified xsi:type="dcterms:W3CDTF">2024-02-28T09:49:43Z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