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1D" w:rsidRPr="00673430" w:rsidRDefault="00C1131D" w:rsidP="00C1131D">
      <w:pPr>
        <w:jc w:val="center"/>
        <w:rPr>
          <w:sz w:val="40"/>
          <w:szCs w:val="40"/>
          <w:lang w:val="sr-Latn-RS"/>
        </w:rPr>
      </w:pPr>
      <w:r w:rsidRPr="00673430">
        <w:rPr>
          <w:sz w:val="40"/>
          <w:szCs w:val="40"/>
          <w:lang w:val="sr-Latn-RS"/>
        </w:rPr>
        <w:t>Državni Univerzitet u Novom Pazaru</w:t>
      </w:r>
    </w:p>
    <w:p w:rsidR="00C1131D" w:rsidRPr="00673430" w:rsidRDefault="00C1131D" w:rsidP="00C1131D">
      <w:pPr>
        <w:jc w:val="center"/>
        <w:rPr>
          <w:sz w:val="48"/>
          <w:szCs w:val="48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jc w:val="center"/>
        <w:rPr>
          <w:b/>
          <w:sz w:val="36"/>
          <w:szCs w:val="36"/>
          <w:lang w:val="sr-Latn-RS"/>
        </w:rPr>
      </w:pPr>
    </w:p>
    <w:p w:rsidR="00C1131D" w:rsidRPr="00673430" w:rsidRDefault="00C1131D" w:rsidP="00C1131D">
      <w:pPr>
        <w:rPr>
          <w:sz w:val="36"/>
          <w:szCs w:val="36"/>
          <w:lang w:val="sr-Latn-RS"/>
        </w:rPr>
      </w:pPr>
    </w:p>
    <w:p w:rsidR="00C1131D" w:rsidRPr="00673430" w:rsidRDefault="00C1131D" w:rsidP="00C1131D">
      <w:pPr>
        <w:rPr>
          <w:sz w:val="36"/>
          <w:szCs w:val="36"/>
          <w:lang w:val="sr-Latn-RS"/>
        </w:rPr>
      </w:pPr>
    </w:p>
    <w:p w:rsidR="00C1131D" w:rsidRPr="00673430" w:rsidRDefault="00C1131D" w:rsidP="00C1131D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73430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ChatGPTeam</w:t>
      </w:r>
    </w:p>
    <w:p w:rsidR="00C1131D" w:rsidRPr="00673430" w:rsidRDefault="00C1131D" w:rsidP="00C1131D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Novi Pazar, 2023</w:t>
      </w: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rPr>
          <w:lang w:val="sr-Latn-RS" w:eastAsia="en-US"/>
        </w:rPr>
      </w:pPr>
    </w:p>
    <w:p w:rsidR="00C1131D" w:rsidRPr="00673430" w:rsidRDefault="00C1131D" w:rsidP="00C1131D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73430">
        <w:rPr>
          <w:lang w:val="sr-Latn-RS"/>
        </w:rPr>
        <w:t>Doprinos učesnika grupe</w:t>
      </w:r>
      <w:bookmarkEnd w:id="5"/>
      <w:bookmarkEnd w:id="6"/>
    </w:p>
    <w:p w:rsidR="00C1131D" w:rsidRPr="00673430" w:rsidRDefault="00C1131D" w:rsidP="00C1131D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C1131D" w:rsidRPr="00673430" w:rsidTr="00C1131D">
        <w:trPr>
          <w:trHeight w:val="301"/>
        </w:trPr>
        <w:tc>
          <w:tcPr>
            <w:tcW w:w="9717" w:type="dxa"/>
          </w:tcPr>
          <w:p w:rsidR="00C1131D" w:rsidRPr="00673430" w:rsidRDefault="00C1131D" w:rsidP="00D15269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Verzija</w:t>
            </w:r>
          </w:p>
        </w:tc>
      </w:tr>
      <w:tr w:rsidR="00C1131D" w:rsidRPr="00673430" w:rsidTr="00C1131D">
        <w:trPr>
          <w:trHeight w:val="602"/>
        </w:trPr>
        <w:tc>
          <w:tcPr>
            <w:tcW w:w="9717" w:type="dxa"/>
          </w:tcPr>
          <w:p w:rsidR="00C1131D" w:rsidRPr="00673430" w:rsidRDefault="005234C2" w:rsidP="005234C2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 xml:space="preserve">Emir Mujezinović , </w:t>
            </w:r>
            <w:r w:rsidR="00C1131D" w:rsidRPr="00673430">
              <w:rPr>
                <w:lang w:val="sr-Latn-RS"/>
              </w:rPr>
              <w:t>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1.0</w:t>
            </w:r>
          </w:p>
        </w:tc>
      </w:tr>
      <w:tr w:rsidR="00C1131D" w:rsidRPr="00673430" w:rsidTr="00C1131D">
        <w:trPr>
          <w:trHeight w:val="345"/>
        </w:trPr>
        <w:tc>
          <w:tcPr>
            <w:tcW w:w="9717" w:type="dxa"/>
          </w:tcPr>
          <w:p w:rsidR="00C1131D" w:rsidRPr="00673430" w:rsidRDefault="006829A7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73430" w:rsidRDefault="00875D15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24</w:t>
            </w:r>
            <w:r w:rsidR="006829A7" w:rsidRPr="00673430">
              <w:rPr>
                <w:lang w:val="sr-Latn-RS"/>
              </w:rPr>
              <w:t>.5.2023</w:t>
            </w:r>
          </w:p>
        </w:tc>
        <w:tc>
          <w:tcPr>
            <w:tcW w:w="2347" w:type="dxa"/>
          </w:tcPr>
          <w:p w:rsidR="00C1131D" w:rsidRPr="00673430" w:rsidRDefault="006829A7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2.0</w:t>
            </w:r>
          </w:p>
        </w:tc>
      </w:tr>
      <w:tr w:rsidR="00C1131D" w:rsidRPr="00673430" w:rsidTr="00C1131D">
        <w:trPr>
          <w:trHeight w:val="255"/>
        </w:trPr>
        <w:tc>
          <w:tcPr>
            <w:tcW w:w="9717" w:type="dxa"/>
          </w:tcPr>
          <w:p w:rsidR="00C1131D" w:rsidRPr="00673430" w:rsidRDefault="00673430" w:rsidP="00D15269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C1131D" w:rsidRPr="00673430" w:rsidRDefault="00673430" w:rsidP="00D15269">
            <w:pPr>
              <w:rPr>
                <w:lang w:val="sr-Latn-RS"/>
              </w:rPr>
            </w:pPr>
            <w:r>
              <w:rPr>
                <w:lang w:val="sr-Latn-RS"/>
              </w:rPr>
              <w:t>27.5.2023</w:t>
            </w:r>
          </w:p>
        </w:tc>
        <w:tc>
          <w:tcPr>
            <w:tcW w:w="2347" w:type="dxa"/>
          </w:tcPr>
          <w:p w:rsidR="00C1131D" w:rsidRPr="00673430" w:rsidRDefault="00673430" w:rsidP="00D15269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C1131D" w:rsidRPr="00673430" w:rsidTr="00C1131D">
        <w:trPr>
          <w:trHeight w:val="301"/>
        </w:trPr>
        <w:tc>
          <w:tcPr>
            <w:tcW w:w="971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</w:tr>
      <w:tr w:rsidR="00C1131D" w:rsidRPr="00673430" w:rsidTr="00C1131D">
        <w:trPr>
          <w:trHeight w:val="317"/>
        </w:trPr>
        <w:tc>
          <w:tcPr>
            <w:tcW w:w="971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C1131D" w:rsidRPr="00673430" w:rsidRDefault="00C1131D" w:rsidP="00D15269">
            <w:pPr>
              <w:rPr>
                <w:lang w:val="sr-Latn-RS"/>
              </w:rPr>
            </w:pPr>
          </w:p>
        </w:tc>
      </w:tr>
    </w:tbl>
    <w:p w:rsidR="00C1131D" w:rsidRPr="00673430" w:rsidRDefault="00C1131D" w:rsidP="002A41D8">
      <w:pPr>
        <w:rPr>
          <w:lang w:val="sr-Latn-RS"/>
        </w:rPr>
      </w:pPr>
      <w:r w:rsidRPr="00673430">
        <w:rPr>
          <w:lang w:val="sr-Latn-RS"/>
        </w:rPr>
        <w:br w:type="page"/>
      </w:r>
    </w:p>
    <w:p w:rsidR="00C1131D" w:rsidRPr="00673430" w:rsidRDefault="00C1131D">
      <w:pPr>
        <w:rPr>
          <w:b/>
          <w:color w:val="000000"/>
          <w:lang w:val="sr-Latn-RS"/>
        </w:rPr>
      </w:pPr>
    </w:p>
    <w:p w:rsidR="00E17703" w:rsidRPr="00673430" w:rsidRDefault="00424E41" w:rsidP="00E17703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73430">
        <w:rPr>
          <w:b/>
          <w:color w:val="000000"/>
          <w:lang w:val="sr-Latn-RS"/>
        </w:rPr>
        <w:t>3+</w:t>
      </w:r>
      <w:r w:rsidR="00E17703" w:rsidRPr="00673430">
        <w:rPr>
          <w:b/>
          <w:color w:val="000000"/>
          <w:lang w:val="sr-Latn-RS"/>
        </w:rPr>
        <w:t>3. LOGICAL FRAMEWORK MATRIX – LFM</w:t>
      </w:r>
    </w:p>
    <w:p w:rsidR="00E17703" w:rsidRPr="00673430" w:rsidRDefault="00E17703" w:rsidP="00E17703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673430">
        <w:trPr>
          <w:trHeight w:val="1217"/>
        </w:trPr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E17703" w:rsidRPr="00673430" w:rsidRDefault="001B5118" w:rsidP="00351D8E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 w:rsidRPr="00673430">
              <w:rPr>
                <w:bCs/>
                <w:color w:val="000000"/>
                <w:szCs w:val="24"/>
                <w:lang w:val="sr-Latn-RS" w:eastAsia="en-GB"/>
              </w:rPr>
              <w:t>Podstaknuti mlade da organizuju i učestvuju u građanskim inicijativama; istovremeno stvarajući zajednicu koja doprinosi održivom razvoju i unapređenju uslova života u urbanim područjima, putem podsticanja inovacija u oblikovanju i sprovođenju obrazovnih programa, oblika poučavanja, okruženja za učenje i/ili razvoja novih veština</w:t>
            </w:r>
            <w:r w:rsidR="00351D8E" w:rsidRPr="00673430">
              <w:rPr>
                <w:bCs/>
                <w:color w:val="000000"/>
                <w:szCs w:val="24"/>
                <w:lang w:val="sr-Latn-RS" w:eastAsia="en-GB"/>
              </w:rPr>
              <w:t>.</w:t>
            </w:r>
          </w:p>
          <w:p w:rsidR="00351D8E" w:rsidRPr="00673430" w:rsidRDefault="00351D8E" w:rsidP="00351D8E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673430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1B5118" w:rsidRPr="00673430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Za </w:t>
            </w:r>
            <w:r w:rsidR="00351D8E" w:rsidRPr="00673430">
              <w:rPr>
                <w:noProof/>
                <w:sz w:val="20"/>
                <w:szCs w:val="20"/>
                <w:lang w:val="sr-Latn-RS"/>
              </w:rPr>
              <w:t>6</w:t>
            </w:r>
            <w:r w:rsidRPr="00673430">
              <w:rPr>
                <w:noProof/>
                <w:sz w:val="20"/>
                <w:szCs w:val="20"/>
                <w:lang w:val="sr-Latn-RS"/>
              </w:rPr>
              <w:t>0% ojačana svest o očuvanju životne sredine i tekučih voda.</w:t>
            </w:r>
          </w:p>
          <w:p w:rsidR="001B5118" w:rsidRPr="00673430" w:rsidRDefault="001B5118" w:rsidP="001B5118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673430" w:rsidRDefault="001B5118" w:rsidP="00351D8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 w:rsidR="00351D8E" w:rsidRPr="00673430">
              <w:rPr>
                <w:noProof/>
                <w:sz w:val="20"/>
                <w:szCs w:val="20"/>
                <w:lang w:val="sr-Latn-RS"/>
              </w:rPr>
              <w:t>Povećana uključenost osoba u dobi od 16-30 godina u ekološkim projektima za 30%.</w:t>
            </w:r>
          </w:p>
          <w:p w:rsidR="001B5118" w:rsidRPr="00673430" w:rsidRDefault="001B5118" w:rsidP="001B5118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B5118" w:rsidRPr="00673430" w:rsidRDefault="001B5118" w:rsidP="001B51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351D8E" w:rsidRPr="00673430" w:rsidRDefault="00351D8E" w:rsidP="00351D8E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1908C2" w:rsidRPr="00673430" w:rsidRDefault="001908C2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351D8E" w:rsidRPr="00673430" w:rsidRDefault="00351D8E" w:rsidP="00351D8E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C769B1" w:rsidRPr="00673430" w:rsidRDefault="00C769B1" w:rsidP="001908C2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673430" w:rsidRDefault="00E17703" w:rsidP="00E1770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73430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8C5B76" w:rsidRPr="00673430" w:rsidRDefault="00351D8E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351D8E" w:rsidRPr="00673430" w:rsidRDefault="00C87A42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 xml:space="preserve">Evropski </w:t>
            </w:r>
            <w:r w:rsidR="00BB2DC7" w:rsidRPr="00673430">
              <w:rPr>
                <w:color w:val="333333"/>
                <w:sz w:val="20"/>
                <w:szCs w:val="20"/>
                <w:lang w:val="sr-Latn-RS"/>
              </w:rPr>
              <w:t>nacionalni statistički institut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>.</w:t>
            </w:r>
          </w:p>
          <w:p w:rsidR="009811AE" w:rsidRPr="00673430" w:rsidRDefault="009811AE" w:rsidP="008C5B76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E17703" w:rsidRPr="00673430">
        <w:trPr>
          <w:trHeight w:val="1218"/>
        </w:trPr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BE747B" w:rsidRPr="00673430" w:rsidRDefault="00BE747B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A9319A" w:rsidRPr="00673430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A9319A" w:rsidRPr="00673430" w:rsidRDefault="00A9319A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Stvaranje zajednice koji će doprineti održivom razvoju i unapređenju uslovima života u urbanim područjima.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A9319A" w:rsidRPr="00673430" w:rsidRDefault="00152A6C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Razvijanje</w:t>
            </w:r>
            <w:r w:rsidR="00A9319A" w:rsidRPr="00673430">
              <w:rPr>
                <w:lang w:val="sr-Latn-RS"/>
              </w:rPr>
              <w:t xml:space="preserve"> inovacija u pogledu oblikovanja i sprovođenja obrazovnih programa, oblika poučavanja, okruženja za učenje i/ili razvoja novih veština.</w:t>
            </w:r>
          </w:p>
          <w:p w:rsidR="00B92255" w:rsidRPr="00673430" w:rsidRDefault="00B92255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Obezbeđivanje buradi za sakupljanje kišnice.</w:t>
            </w:r>
          </w:p>
          <w:p w:rsidR="00B92255" w:rsidRPr="00673430" w:rsidRDefault="00B92255" w:rsidP="002C3CD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Zaštićene zone.</w:t>
            </w:r>
          </w:p>
          <w:p w:rsidR="004B36B2" w:rsidRPr="00673430" w:rsidRDefault="004B36B2" w:rsidP="00A9319A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E17703" w:rsidRPr="00673430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A9319A" w:rsidRPr="00673430" w:rsidRDefault="00A9319A" w:rsidP="00E17703">
            <w:pPr>
              <w:rPr>
                <w:i/>
                <w:iCs/>
                <w:sz w:val="16"/>
                <w:lang w:val="sr-Latn-RS"/>
              </w:rPr>
            </w:pPr>
          </w:p>
          <w:p w:rsidR="002C3CD7" w:rsidRPr="00673430" w:rsidRDefault="002C3CD7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D61657" w:rsidRPr="00673430" w:rsidRDefault="00D61657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E17703" w:rsidRPr="00673430" w:rsidRDefault="00062B40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B92255" w:rsidRPr="00673430" w:rsidRDefault="00B92255" w:rsidP="00B9225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Upotreba čiste vode koja se koristi u bespotrebne svrhe se smanjila za 80% u centrima gde su postavljena burad.</w:t>
            </w:r>
          </w:p>
          <w:p w:rsidR="00B92255" w:rsidRPr="00673430" w:rsidRDefault="00B92255" w:rsidP="00D755F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Proglašavanje po jedne zaštićene zone u</w:t>
            </w:r>
            <w:r w:rsidR="00D755F7" w:rsidRPr="00673430">
              <w:rPr>
                <w:sz w:val="20"/>
                <w:lang w:val="sr-Latn-RS"/>
              </w:rPr>
              <w:t xml:space="preserve"> 3</w:t>
            </w:r>
            <w:r w:rsidRPr="00673430">
              <w:rPr>
                <w:sz w:val="20"/>
                <w:lang w:val="sr-Latn-RS"/>
              </w:rPr>
              <w:t xml:space="preserve"> partnersk</w:t>
            </w:r>
            <w:r w:rsidR="00D755F7" w:rsidRPr="00673430">
              <w:rPr>
                <w:sz w:val="20"/>
                <w:lang w:val="sr-Latn-RS"/>
              </w:rPr>
              <w:t>e države</w:t>
            </w:r>
          </w:p>
          <w:p w:rsidR="00062B40" w:rsidRPr="00673430" w:rsidRDefault="00062B40" w:rsidP="00D6165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A9319A" w:rsidRPr="00673430" w:rsidRDefault="00A9319A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062B40" w:rsidRPr="00673430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E17703" w:rsidRPr="00673430" w:rsidRDefault="00062B40" w:rsidP="00062B4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Procena uticaja okruženja za učenje na kval</w:t>
            </w:r>
            <w:r w:rsidR="002C1237" w:rsidRPr="00673430">
              <w:rPr>
                <w:iCs/>
                <w:color w:val="000000"/>
                <w:sz w:val="20"/>
                <w:lang w:val="sr-Latn-RS"/>
              </w:rPr>
              <w:t>itet života u urbanim područjima.</w:t>
            </w:r>
          </w:p>
          <w:p w:rsidR="002C1237" w:rsidRDefault="002C1237" w:rsidP="002C123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  <w:r w:rsidR="00DF4088">
              <w:rPr>
                <w:iCs/>
                <w:color w:val="000000"/>
                <w:sz w:val="20"/>
                <w:lang w:val="sr-Latn-RS"/>
              </w:rPr>
              <w:t>.</w:t>
            </w:r>
          </w:p>
          <w:p w:rsidR="00DF4088" w:rsidRDefault="00DF4088" w:rsidP="002C123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Status u Zavodu za zaštićena područja.</w:t>
            </w:r>
          </w:p>
          <w:p w:rsidR="00DF4088" w:rsidRPr="00673430" w:rsidRDefault="00DF4088" w:rsidP="00DF4088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  <w:bookmarkStart w:id="7" w:name="_GoBack"/>
            <w:bookmarkEnd w:id="7"/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673430" w:rsidRDefault="00E17703" w:rsidP="00E17703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73430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7C1C61" w:rsidRPr="00673430" w:rsidRDefault="007C1C61" w:rsidP="007C1C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752DA7" w:rsidRPr="00673430" w:rsidRDefault="00752DA7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Otkazivanje</w:t>
            </w:r>
            <w:r w:rsidR="00426649" w:rsidRPr="00673430">
              <w:rPr>
                <w:color w:val="000000"/>
                <w:sz w:val="20"/>
                <w:szCs w:val="20"/>
                <w:lang w:val="sr-Latn-RS"/>
              </w:rPr>
              <w:t xml:space="preserve"> termina, smeštaja ili prostora za održavanje aktivnosti.</w:t>
            </w:r>
          </w:p>
          <w:p w:rsidR="007D7D67" w:rsidRPr="00673430" w:rsidRDefault="00F86CEB" w:rsidP="002C1237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E60BF6" w:rsidRPr="00673430" w:rsidRDefault="00E60BF6" w:rsidP="00E60BF6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E17703" w:rsidRPr="00673430" w:rsidRDefault="00E17703" w:rsidP="002C1237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E17703" w:rsidRPr="00673430">
        <w:trPr>
          <w:trHeight w:val="2814"/>
        </w:trPr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E17703" w:rsidRPr="00673430" w:rsidRDefault="00E17703" w:rsidP="00E17703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</w:t>
            </w:r>
            <w:r w:rsidR="006203EF"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DELIVERABLES - 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outputs/outcomes </w:t>
            </w:r>
            <w:r w:rsidR="006203EF"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6203EF"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B92255" w:rsidRPr="00673430" w:rsidRDefault="00B92255" w:rsidP="00B92255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:rsidR="00B92255" w:rsidRPr="00673430" w:rsidRDefault="00B92255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F86CEB" w:rsidRPr="00673430" w:rsidRDefault="00F86CEB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 Provedena je analiza ciljnih grupa.</w:t>
            </w:r>
          </w:p>
          <w:p w:rsidR="00F86CEB" w:rsidRPr="00673430" w:rsidRDefault="00F86CEB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R.1.1. Ciljna grupa je ispunila</w:t>
            </w:r>
            <w:r w:rsidR="00E60BF6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elektronske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ankete.</w:t>
            </w:r>
          </w:p>
          <w:p w:rsidR="00F86CEB" w:rsidRPr="00673430" w:rsidRDefault="00F86CEB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</w:t>
            </w:r>
            <w:r w:rsidR="00E60BF6" w:rsidRPr="00673430">
              <w:rPr>
                <w:bCs/>
                <w:color w:val="000000"/>
                <w:sz w:val="20"/>
                <w:szCs w:val="20"/>
                <w:lang w:val="sr-Latn-RS"/>
              </w:rPr>
              <w:t>, na osnovu rez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ultata ankete, o trenutnom stanju u ciljnoj grupi.</w:t>
            </w:r>
          </w:p>
          <w:p w:rsidR="00F86CEB" w:rsidRPr="00673430" w:rsidRDefault="00F86CEB" w:rsidP="00D61657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D61657" w:rsidRPr="00673430" w:rsidRDefault="001D1FC0" w:rsidP="00D6165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analiza trenutnih kapaciteta partnerskih organizacija.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.1. Provedeni su intervjui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s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članovima partnerskih organizacija o njihovim organizacijskim kapacitetima.</w:t>
            </w:r>
          </w:p>
          <w:p w:rsidR="00D61657" w:rsidRPr="00673430" w:rsidRDefault="001D1FC0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D61657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F86CEB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Ispunjene su ankete o iskustvima partnera i njihovim </w:t>
            </w:r>
            <w:r w:rsidR="00F86CEB"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kapacitetima.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.3. Sastavljen je izvještaj o trenutnom stanju kapaciteta partnerskih organizacija.</w:t>
            </w:r>
          </w:p>
          <w:p w:rsidR="00D61657" w:rsidRPr="00673430" w:rsidRDefault="00D61657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analiza pristupa infrastrukturi u zemlji domaćina.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.1. Analizirano je trenutno stanje pristupa infrastrukturi.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.2. Ispunjene su ankete o iskustvima partnera i njihovom pristupu prostorijama za izvodjenje nastave.</w:t>
            </w:r>
          </w:p>
          <w:p w:rsidR="00D61657" w:rsidRPr="00673430" w:rsidRDefault="001D1FC0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D61657" w:rsidRPr="00673430">
              <w:rPr>
                <w:bCs/>
                <w:color w:val="000000"/>
                <w:sz w:val="20"/>
                <w:szCs w:val="20"/>
                <w:lang w:val="sr-Latn-RS"/>
              </w:rPr>
              <w:t>.3. Sastavljeni su izvještaji o analiziranom stanju infrastructure partnera.</w:t>
            </w:r>
          </w:p>
          <w:p w:rsidR="006833E9" w:rsidRPr="00673430" w:rsidRDefault="006833E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C4754" w:rsidRPr="00673430" w:rsidRDefault="002C4754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R.4. P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roglašene zaštićene zone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C4754" w:rsidRPr="00673430" w:rsidRDefault="002C4754" w:rsidP="002C4754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C4754" w:rsidRPr="00673430" w:rsidRDefault="002C4754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R.4.1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ovana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potencijalna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 xml:space="preserve"> područja i angažo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v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ni adekvatni upravljači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projekta.</w:t>
            </w:r>
          </w:p>
          <w:p w:rsidR="002C4754" w:rsidRPr="00673430" w:rsidRDefault="002C4754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R.4.2. Razv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ijena planska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 xml:space="preserve"> sadrže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pravila za zaštićena područja.</w:t>
            </w:r>
          </w:p>
          <w:p w:rsidR="002C4754" w:rsidRPr="00673430" w:rsidRDefault="002C4754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R.4.3.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irane zakonskie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regulativ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e.</w:t>
            </w: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R.4.4.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proglašenja.</w:t>
            </w: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R.4.5. Monitoring i evaluacija zaštićene zone.</w:t>
            </w: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0A3BA9" w:rsidRPr="00673430" w:rsidRDefault="000A3BA9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70566" w:rsidRPr="00673430" w:rsidRDefault="006833E9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 Postavlj</w:t>
            </w:r>
            <w:r w:rsidRPr="00673430">
              <w:rPr>
                <w:bCs/>
                <w:sz w:val="20"/>
                <w:szCs w:val="20"/>
                <w:lang w:val="sr-Latn-RS"/>
              </w:rPr>
              <w:t>ena burad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za sakupljanje kišnice.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="00670566"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gulativa vezanih za sakupljanje kišnice i upotrebu buradi.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="00670566"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.3.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1.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670566" w:rsidRPr="00673430" w:rsidRDefault="006833E9" w:rsidP="00670566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.3.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1.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tavljanje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D755F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.3.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1.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670566" w:rsidRPr="00673430" w:rsidRDefault="006833E9" w:rsidP="0067056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D755F7"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833E9" w:rsidP="00D755F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 xml:space="preserve">.5. </w:t>
            </w:r>
            <w:r w:rsidRPr="00673430">
              <w:rPr>
                <w:bCs/>
                <w:sz w:val="20"/>
                <w:szCs w:val="20"/>
                <w:lang w:val="sr-Latn-RS"/>
              </w:rPr>
              <w:t>Obuka osoblja centara gde su bu</w:t>
            </w:r>
            <w:r w:rsidR="00D755F7" w:rsidRPr="00673430">
              <w:rPr>
                <w:bCs/>
                <w:sz w:val="20"/>
                <w:szCs w:val="20"/>
                <w:lang w:val="sr-Latn-RS"/>
              </w:rPr>
              <w:t>rad postavljena</w:t>
            </w:r>
            <w:r w:rsidR="00670566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70566" w:rsidRPr="00673430" w:rsidRDefault="00670566" w:rsidP="00D755F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670566" w:rsidRPr="00673430" w:rsidRDefault="00670566" w:rsidP="00D6165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61657" w:rsidRPr="00673430" w:rsidRDefault="006833E9" w:rsidP="00D6165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 Razvijeno softversko rešenje za prijavljivanje i uvid u radionice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 xml:space="preserve"> i seminare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D61657" w:rsidRPr="00673430" w:rsidRDefault="006833E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R.6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t xml:space="preserve">.9. Formirano korisničko </w:t>
            </w:r>
            <w:r w:rsidR="00D61657" w:rsidRPr="00673430">
              <w:rPr>
                <w:bCs/>
                <w:sz w:val="20"/>
                <w:szCs w:val="20"/>
                <w:lang w:val="sr-Latn-RS"/>
              </w:rPr>
              <w:lastRenderedPageBreak/>
              <w:t>uputstvo.</w:t>
            </w:r>
          </w:p>
          <w:p w:rsidR="000A3BA9" w:rsidRPr="00673430" w:rsidRDefault="000A3BA9" w:rsidP="00BA2892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BA2892" w:rsidRPr="00673430" w:rsidRDefault="006833E9" w:rsidP="000A3B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BA2892" w:rsidRPr="00673430" w:rsidRDefault="00BA2892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</w:t>
            </w:r>
            <w:r w:rsidR="006833E9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Organizacija putovanja i logistika za odlazak osoblja.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D61657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BA2892" w:rsidRPr="00673430" w:rsidRDefault="006833E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R.7</w:t>
            </w:r>
            <w:r w:rsidR="00BA2892"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0A3BA9" w:rsidRPr="00673430" w:rsidRDefault="000A3BA9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CA59C1" w:rsidRPr="00673430" w:rsidRDefault="006833E9" w:rsidP="00CA59C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color w:val="000000" w:themeColor="text1"/>
                <w:sz w:val="20"/>
                <w:szCs w:val="20"/>
                <w:lang w:val="sr-Latn-RS"/>
              </w:rPr>
              <w:t>R.8</w:t>
            </w:r>
            <w:r w:rsidR="00CA59C1" w:rsidRPr="00673430">
              <w:rPr>
                <w:color w:val="000000" w:themeColor="text1"/>
                <w:sz w:val="20"/>
                <w:szCs w:val="20"/>
                <w:lang w:val="sr-Latn-RS"/>
              </w:rPr>
              <w:t>. Kreiran je promotivni materijal za potrebe celog projekta</w:t>
            </w:r>
          </w:p>
          <w:p w:rsidR="00CA59C1" w:rsidRPr="00673430" w:rsidRDefault="00CA59C1" w:rsidP="00CA59C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.1. Angažovani stručni grafički dizajneri.</w:t>
            </w:r>
          </w:p>
          <w:p w:rsidR="00CA59C1" w:rsidRPr="00673430" w:rsidRDefault="00CA59C1" w:rsidP="00CA59C1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.2. Izrađen je dizajn promo materijala.</w:t>
            </w:r>
          </w:p>
          <w:p w:rsidR="00CA59C1" w:rsidRPr="00673430" w:rsidRDefault="00CA59C1" w:rsidP="00CA59C1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R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.3. Izrađen je promo materijal</w:t>
            </w:r>
            <w:r w:rsidR="002C4754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u odgovarajućoj državi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</w:t>
            </w:r>
          </w:p>
          <w:p w:rsidR="003D548C" w:rsidRPr="00673430" w:rsidRDefault="00CA59C1" w:rsidP="002C4754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.4. Obezbeđen je adekvatan prostor za skladištenje promo materijala.</w:t>
            </w:r>
          </w:p>
          <w:p w:rsidR="00886BC8" w:rsidRPr="00673430" w:rsidRDefault="006833E9" w:rsidP="00886BC8">
            <w:pPr>
              <w:ind w:left="574"/>
              <w:rPr>
                <w:bCs/>
                <w:color w:val="000000" w:themeColor="text1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R.8.</w:t>
            </w:r>
            <w:r w:rsidR="002C4754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5</w:t>
            </w:r>
            <w:r w:rsidR="00886BC8" w:rsidRPr="00673430">
              <w:rPr>
                <w:bCs/>
                <w:color w:val="000000" w:themeColor="text1"/>
                <w:sz w:val="20"/>
                <w:szCs w:val="20"/>
                <w:lang w:val="sr-Latn-RS"/>
              </w:rPr>
              <w:t>. Promo materijal je postavljen u partnerskoj zemlji.</w:t>
            </w:r>
          </w:p>
          <w:p w:rsidR="00886BC8" w:rsidRPr="00673430" w:rsidRDefault="00886BC8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CA59C1" w:rsidRPr="00673430" w:rsidRDefault="00CA59C1" w:rsidP="00BA2892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31A58" w:rsidRPr="00673430" w:rsidRDefault="006833E9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R.9.</w:t>
            </w:r>
            <w:r w:rsidR="00431A58" w:rsidRPr="00673430">
              <w:rPr>
                <w:sz w:val="20"/>
                <w:szCs w:val="20"/>
                <w:lang w:val="sr-Latn-RS"/>
              </w:rPr>
              <w:t xml:space="preserve"> Organizovani seminari radi promocije ekolo</w:t>
            </w:r>
            <w:r w:rsidRPr="00673430">
              <w:rPr>
                <w:sz w:val="20"/>
                <w:szCs w:val="20"/>
                <w:lang w:val="sr-Latn-RS"/>
              </w:rPr>
              <w:t>ške održivosti i važnosti očuvaa</w:t>
            </w:r>
            <w:r w:rsidR="00431A58" w:rsidRPr="00673430">
              <w:rPr>
                <w:sz w:val="20"/>
                <w:szCs w:val="20"/>
                <w:lang w:val="sr-Latn-RS"/>
              </w:rPr>
              <w:t>ja životne sredine, kao i o organizaciji inicijativa.</w:t>
            </w:r>
          </w:p>
          <w:p w:rsidR="00431A58" w:rsidRPr="00673430" w:rsidRDefault="006829A7" w:rsidP="006829A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 xml:space="preserve">.1. Angažovani stručni 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lastRenderedPageBreak/>
              <w:t>govornici.</w:t>
            </w:r>
          </w:p>
          <w:p w:rsidR="00431A58" w:rsidRPr="00673430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431A58" w:rsidRPr="00673430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431A58" w:rsidRPr="00673430" w:rsidRDefault="006829A7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E60BF6" w:rsidRPr="00673430" w:rsidRDefault="006833E9" w:rsidP="00E60BF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R.9</w:t>
            </w:r>
            <w:r w:rsidR="00E60BF6" w:rsidRPr="00673430">
              <w:rPr>
                <w:bCs/>
                <w:sz w:val="20"/>
                <w:szCs w:val="20"/>
                <w:lang w:val="sr-Latn-RS"/>
              </w:rPr>
              <w:t>.5. Obezbeđen adekvatan prostor za izvođenje seminara.</w:t>
            </w:r>
          </w:p>
          <w:p w:rsidR="00E60BF6" w:rsidRPr="00673430" w:rsidRDefault="00E60BF6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431A58" w:rsidRPr="00673430" w:rsidRDefault="00431A58" w:rsidP="00431A58">
            <w:pPr>
              <w:rPr>
                <w:b/>
                <w:sz w:val="20"/>
                <w:szCs w:val="20"/>
                <w:lang w:val="sr-Latn-RS"/>
              </w:rPr>
            </w:pPr>
          </w:p>
          <w:p w:rsidR="000A3BA9" w:rsidRPr="00673430" w:rsidRDefault="006833E9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R.10</w:t>
            </w:r>
            <w:r w:rsidR="000A3BA9" w:rsidRPr="00673430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0A3BA9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6833E9" w:rsidRPr="00673430">
              <w:rPr>
                <w:sz w:val="20"/>
                <w:szCs w:val="20"/>
                <w:lang w:val="sr-Latn-RS"/>
              </w:rPr>
              <w:t>R.10</w:t>
            </w:r>
            <w:r w:rsidR="00431A58" w:rsidRPr="00673430">
              <w:rPr>
                <w:sz w:val="20"/>
                <w:szCs w:val="20"/>
                <w:lang w:val="sr-Latn-RS"/>
              </w:rPr>
              <w:t>.1</w:t>
            </w:r>
            <w:r w:rsidR="000A3BA9" w:rsidRPr="00673430">
              <w:rPr>
                <w:sz w:val="20"/>
                <w:szCs w:val="20"/>
                <w:lang w:val="sr-Latn-RS"/>
              </w:rPr>
              <w:t>. Ispraćene agende seminara.</w:t>
            </w:r>
          </w:p>
          <w:p w:rsidR="000A3BA9" w:rsidRPr="00673430" w:rsidRDefault="006829A7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6D15FB" w:rsidRPr="00673430">
              <w:rPr>
                <w:sz w:val="20"/>
                <w:szCs w:val="20"/>
                <w:lang w:val="sr-Latn-RS"/>
              </w:rPr>
              <w:t>R.10</w:t>
            </w:r>
            <w:r w:rsidR="000A3BA9" w:rsidRPr="00673430">
              <w:rPr>
                <w:sz w:val="20"/>
                <w:szCs w:val="20"/>
                <w:lang w:val="sr-Latn-RS"/>
              </w:rPr>
              <w:t>.</w:t>
            </w:r>
            <w:r w:rsidR="00431A58" w:rsidRPr="00673430">
              <w:rPr>
                <w:sz w:val="20"/>
                <w:szCs w:val="20"/>
                <w:lang w:val="sr-Latn-RS"/>
              </w:rPr>
              <w:t>2</w:t>
            </w:r>
            <w:r w:rsidR="000A3BA9" w:rsidRPr="00673430">
              <w:rPr>
                <w:sz w:val="20"/>
                <w:szCs w:val="20"/>
                <w:lang w:val="sr-Latn-RS"/>
              </w:rPr>
              <w:t>. Dodeljeni sertifikati za učesnike seminara.</w:t>
            </w:r>
          </w:p>
          <w:p w:rsidR="00915C94" w:rsidRPr="00673430" w:rsidRDefault="006D15FB" w:rsidP="000A3BA9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R.10</w:t>
            </w:r>
            <w:r w:rsidR="00915C94" w:rsidRPr="00673430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00315A" w:rsidRPr="00673430" w:rsidRDefault="006D15FB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R.10</w:t>
            </w:r>
            <w:r w:rsidR="0000315A"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431A58" w:rsidRPr="00673430" w:rsidRDefault="00431A58" w:rsidP="000A3BA9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431A58" w:rsidRPr="00673430" w:rsidRDefault="006D15FB" w:rsidP="00431A5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431A58" w:rsidRPr="00673430" w:rsidRDefault="006D15FB" w:rsidP="00431A5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431A58" w:rsidRPr="00673430" w:rsidRDefault="006D15FB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431A58" w:rsidRPr="00673430" w:rsidRDefault="006D15FB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431A58"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431A58" w:rsidRPr="00673430" w:rsidRDefault="00431A58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E60BF6" w:rsidRPr="00673430" w:rsidRDefault="006D15FB" w:rsidP="00E60BF6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R.11</w:t>
            </w:r>
            <w:r w:rsidR="00E60BF6" w:rsidRPr="00673430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E60BF6" w:rsidRPr="00673430" w:rsidRDefault="00E60BF6" w:rsidP="00431A58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0A3BA9" w:rsidRPr="00673430" w:rsidRDefault="000A3BA9" w:rsidP="00431A58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0A3BA9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12</w:t>
            </w:r>
            <w:r w:rsidRPr="00673430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6D15FB" w:rsidRPr="00673430">
              <w:rPr>
                <w:sz w:val="20"/>
                <w:szCs w:val="20"/>
                <w:lang w:val="sr-Latn-RS"/>
              </w:rPr>
              <w:t xml:space="preserve">  R.12</w:t>
            </w:r>
            <w:r w:rsidR="00431A58" w:rsidRPr="00673430">
              <w:rPr>
                <w:sz w:val="20"/>
                <w:szCs w:val="20"/>
                <w:lang w:val="sr-Latn-RS"/>
              </w:rPr>
              <w:t>.1</w:t>
            </w:r>
            <w:r w:rsidRPr="00673430">
              <w:rPr>
                <w:sz w:val="20"/>
                <w:szCs w:val="20"/>
                <w:lang w:val="sr-Latn-RS"/>
              </w:rPr>
              <w:t>. Ispraćene agende radionica.</w:t>
            </w:r>
          </w:p>
          <w:p w:rsidR="00542594" w:rsidRPr="00673430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 w:rsidR="006D15FB" w:rsidRPr="00673430">
              <w:rPr>
                <w:sz w:val="20"/>
                <w:szCs w:val="20"/>
                <w:lang w:val="sr-Latn-RS"/>
              </w:rPr>
              <w:t>R.12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431A58" w:rsidRPr="00673430">
              <w:rPr>
                <w:sz w:val="20"/>
                <w:szCs w:val="20"/>
                <w:lang w:val="sr-Latn-RS"/>
              </w:rPr>
              <w:t>2</w:t>
            </w:r>
            <w:r w:rsidRPr="00673430">
              <w:rPr>
                <w:sz w:val="20"/>
                <w:szCs w:val="20"/>
                <w:lang w:val="sr-Latn-RS"/>
              </w:rPr>
              <w:t>. Dodeljeni sertifikati za učesnike radionica.</w:t>
            </w:r>
          </w:p>
          <w:p w:rsidR="00915C94" w:rsidRPr="00673430" w:rsidRDefault="006D15FB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R.12</w:t>
            </w:r>
            <w:r w:rsidR="00915C94" w:rsidRPr="00673430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00315A" w:rsidRPr="00673430" w:rsidRDefault="006D15FB" w:rsidP="0000315A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R.12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.4.Napisan je izveštaj rezultata </w:t>
            </w:r>
            <w:r w:rsidR="0000315A" w:rsidRPr="00673430">
              <w:rPr>
                <w:sz w:val="20"/>
                <w:szCs w:val="20"/>
                <w:lang w:val="sr-Latn-RS"/>
              </w:rPr>
              <w:lastRenderedPageBreak/>
              <w:t>ankete.</w:t>
            </w:r>
          </w:p>
          <w:p w:rsidR="000A3BA9" w:rsidRPr="00673430" w:rsidRDefault="000A3BA9" w:rsidP="009C1941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R.13</w:t>
            </w:r>
            <w:r w:rsidR="000A3BA9" w:rsidRPr="00673430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0A3BA9" w:rsidRPr="00673430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431A58" w:rsidRPr="00673430">
              <w:rPr>
                <w:sz w:val="20"/>
                <w:szCs w:val="20"/>
                <w:lang w:val="sr-Latn-RS"/>
              </w:rPr>
              <w:t>1</w:t>
            </w:r>
            <w:r w:rsidRPr="00673430">
              <w:rPr>
                <w:sz w:val="20"/>
                <w:szCs w:val="20"/>
                <w:lang w:val="sr-Latn-RS"/>
              </w:rPr>
              <w:t>. Isplanirane kampanje.</w:t>
            </w:r>
          </w:p>
          <w:p w:rsidR="000A3BA9" w:rsidRPr="00673430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0A3BA9" w:rsidRPr="00673430" w:rsidRDefault="000A3BA9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.3. Izvedene kampanje.</w:t>
            </w:r>
          </w:p>
          <w:p w:rsidR="00915C94" w:rsidRPr="00673430" w:rsidRDefault="000A3BA9" w:rsidP="00915C94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.4. Evaluirane kampanje.</w:t>
            </w:r>
          </w:p>
          <w:p w:rsidR="000A3BA9" w:rsidRPr="00673430" w:rsidRDefault="000A3BA9" w:rsidP="00680991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R.14</w:t>
            </w:r>
            <w:r w:rsidR="000A3BA9" w:rsidRPr="00673430">
              <w:rPr>
                <w:sz w:val="20"/>
                <w:szCs w:val="20"/>
                <w:lang w:val="sr-Latn-RS"/>
              </w:rPr>
              <w:t>. Odrađen plan kvaliteta.</w:t>
            </w:r>
          </w:p>
          <w:p w:rsidR="000A3BA9" w:rsidRPr="00673430" w:rsidRDefault="006D15FB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R.14</w:t>
            </w:r>
            <w:r w:rsidR="000A3BA9" w:rsidRPr="00673430">
              <w:rPr>
                <w:sz w:val="20"/>
                <w:szCs w:val="20"/>
                <w:lang w:val="sr-Latn-RS"/>
              </w:rPr>
              <w:t>.1. Uspešno izrađen plan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R.14</w:t>
            </w:r>
            <w:r w:rsidR="000A3BA9" w:rsidRPr="00673430">
              <w:rPr>
                <w:sz w:val="20"/>
                <w:szCs w:val="20"/>
                <w:lang w:val="sr-Latn-RS"/>
              </w:rPr>
              <w:t>.2. Uspešno izvršena inte</w:t>
            </w:r>
            <w:r w:rsidR="00431A58" w:rsidRPr="00673430">
              <w:rPr>
                <w:sz w:val="20"/>
                <w:szCs w:val="20"/>
                <w:lang w:val="sr-Latn-RS"/>
              </w:rPr>
              <w:t>r</w:t>
            </w:r>
            <w:r w:rsidRPr="00673430">
              <w:rPr>
                <w:sz w:val="20"/>
                <w:szCs w:val="20"/>
                <w:lang w:val="sr-Latn-RS"/>
              </w:rPr>
              <w:t>na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R.14</w:t>
            </w:r>
            <w:r w:rsidR="000A3BA9" w:rsidRPr="00673430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0A3BA9" w:rsidRPr="00673430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R.15</w:t>
            </w:r>
            <w:r w:rsidR="000A3BA9" w:rsidRPr="00673430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0A3BA9" w:rsidRPr="00673430" w:rsidRDefault="00680991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6D15FB" w:rsidRPr="00673430">
              <w:rPr>
                <w:sz w:val="20"/>
                <w:szCs w:val="20"/>
                <w:lang w:val="sr-Latn-RS"/>
              </w:rPr>
              <w:t xml:space="preserve">  R.15</w:t>
            </w:r>
            <w:r w:rsidR="000A3BA9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0A3BA9" w:rsidRPr="00673430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0A3BA9" w:rsidRPr="00673430" w:rsidRDefault="006D15FB" w:rsidP="000A3BA9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R.15</w:t>
            </w:r>
            <w:r w:rsidR="000A3BA9" w:rsidRPr="00673430">
              <w:rPr>
                <w:sz w:val="20"/>
                <w:szCs w:val="20"/>
                <w:lang w:val="sr-Latn-RS"/>
              </w:rPr>
              <w:t xml:space="preserve">.2. </w:t>
            </w:r>
            <w:r w:rsidR="000A3BA9" w:rsidRPr="00673430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0A3BA9" w:rsidRPr="00673430" w:rsidRDefault="006D15FB" w:rsidP="000A3BA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R.15</w:t>
            </w:r>
            <w:r w:rsidR="000A3BA9" w:rsidRPr="00673430">
              <w:rPr>
                <w:sz w:val="20"/>
                <w:szCs w:val="20"/>
                <w:lang w:val="sr-Latn-RS"/>
              </w:rPr>
              <w:t>.3. Uspešna promocija putem internet reklama.</w:t>
            </w:r>
          </w:p>
          <w:p w:rsidR="000A3BA9" w:rsidRPr="00673430" w:rsidRDefault="000A3BA9" w:rsidP="000A3BA9">
            <w:pPr>
              <w:rPr>
                <w:sz w:val="20"/>
                <w:szCs w:val="20"/>
                <w:lang w:val="sr-Latn-RS"/>
              </w:rPr>
            </w:pPr>
          </w:p>
          <w:p w:rsidR="000A3BA9" w:rsidRPr="00673430" w:rsidRDefault="006D15FB" w:rsidP="000A3BA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R.16</w:t>
            </w:r>
            <w:r w:rsidR="000A3BA9" w:rsidRPr="00673430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0A3BA9" w:rsidRPr="00673430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0A3BA9" w:rsidRPr="00673430" w:rsidRDefault="000A3BA9" w:rsidP="000A3BA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D61657" w:rsidRPr="00673430" w:rsidRDefault="000A3BA9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6D15FB" w:rsidRPr="00673430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E60BF6" w:rsidRPr="00673430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je ispunila elektronske ankete.</w:t>
            </w:r>
          </w:p>
          <w:p w:rsidR="00E60BF6" w:rsidRPr="00673430" w:rsidRDefault="00E60BF6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R.1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Sastavljen je izvještaj, na osnovu rezultata ankete, o 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finalnom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stanju u ciljnoj grupi.</w:t>
            </w:r>
          </w:p>
          <w:p w:rsidR="00E60BF6" w:rsidRPr="00673430" w:rsidRDefault="00E60BF6" w:rsidP="00D15269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E60BF6" w:rsidRPr="00673430" w:rsidRDefault="00E60BF6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E60BF6" w:rsidRPr="00673430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 Uspešno je sprovedena analiza ciljnih grupa.</w:t>
            </w:r>
          </w:p>
          <w:p w:rsidR="00E60BF6" w:rsidRPr="00673430" w:rsidRDefault="00152A6C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I.1.1. 5</w:t>
            </w:r>
            <w:r w:rsidR="00E60BF6" w:rsidRPr="00673430">
              <w:rPr>
                <w:bCs/>
                <w:color w:val="000000"/>
                <w:sz w:val="20"/>
                <w:szCs w:val="20"/>
                <w:lang w:val="sr-Latn-RS"/>
              </w:rPr>
              <w:t>00 osoba iz ciljne grupe je popunilo 5 različitih anketa.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D15269" w:rsidRPr="00673430" w:rsidRDefault="00D15269" w:rsidP="006829A7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D15269" w:rsidRPr="00673430" w:rsidRDefault="001D1FC0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provedena analiza trenutnih kapaciteta partnerskih organizacija.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Uspešno je intervjuisano 10 članova partnerskih organizacija o organizacionim kapacitetima.</w:t>
            </w:r>
          </w:p>
          <w:p w:rsidR="00D15269" w:rsidRPr="00673430" w:rsidRDefault="001D1FC0" w:rsidP="00F86CE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15 osoba iz 6 partnerskih organizacija uspešno odradilo anketu o iskustvima i </w:t>
            </w:r>
            <w:r w:rsidR="00F86CEB" w:rsidRPr="00673430">
              <w:rPr>
                <w:sz w:val="20"/>
                <w:szCs w:val="20"/>
                <w:lang w:val="sr-Latn-RS"/>
              </w:rPr>
              <w:t>kapacitetima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D15269" w:rsidRPr="00673430">
              <w:rPr>
                <w:sz w:val="20"/>
                <w:szCs w:val="20"/>
                <w:lang w:val="sr-Latn-RS"/>
              </w:rPr>
              <w:lastRenderedPageBreak/>
              <w:t>partnerskih organizacija.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D15269" w:rsidRPr="00673430">
              <w:rPr>
                <w:b/>
                <w:sz w:val="20"/>
                <w:szCs w:val="20"/>
                <w:lang w:val="sr-Latn-RS"/>
              </w:rPr>
              <w:t>.</w:t>
            </w:r>
          </w:p>
          <w:p w:rsidR="00D15269" w:rsidRPr="00673430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673430" w:rsidRDefault="001D1FC0" w:rsidP="00F86CE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Uspešno je analiziran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infrastrukture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1B0B2E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15 osoba iz 6 partnerskih organizacija uspešno popunilo anketu o iskustvima partnera i njihovom pristupu sportskim terenima.</w:t>
            </w:r>
          </w:p>
          <w:p w:rsidR="00D15269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1B0B2E" w:rsidRPr="00673430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2C4754" w:rsidRPr="00673430" w:rsidRDefault="002C4754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C4754" w:rsidRPr="00673430" w:rsidRDefault="00687A18" w:rsidP="00687A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 Uspešno </w:t>
            </w:r>
            <w:r w:rsidRPr="00673430">
              <w:rPr>
                <w:bCs/>
                <w:sz w:val="20"/>
                <w:szCs w:val="20"/>
                <w:lang w:val="sr-Latn-RS"/>
              </w:rPr>
              <w:t>je proglašena 1 zaštićena zona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C4754" w:rsidRPr="00673430" w:rsidRDefault="002C4754" w:rsidP="002C4754">
            <w:pPr>
              <w:widowControl w:val="0"/>
              <w:tabs>
                <w:tab w:val="left" w:pos="228"/>
                <w:tab w:val="num" w:pos="100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C4754" w:rsidRPr="00673430" w:rsidRDefault="002C4754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687A18"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Pr="00673430">
              <w:rPr>
                <w:bCs/>
                <w:sz w:val="20"/>
                <w:szCs w:val="20"/>
                <w:lang w:val="sr-Latn-RS"/>
              </w:rPr>
              <w:t>.4.1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Identifikovano je po 3 potencijalna područja u 6 država 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>i angažo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v</w:t>
            </w:r>
            <w:r w:rsidR="00687A18" w:rsidRPr="00673430">
              <w:rPr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no je 12 adekvatnih upravljača projekta (2 u svakoj partnerskoj državi).</w:t>
            </w:r>
          </w:p>
          <w:p w:rsidR="002C4754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>.4.2. Razvijen</w:t>
            </w:r>
            <w:r w:rsidRPr="00673430">
              <w:rPr>
                <w:bCs/>
                <w:sz w:val="20"/>
                <w:szCs w:val="20"/>
                <w:lang w:val="sr-Latn-RS"/>
              </w:rPr>
              <w:t>o je 6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 set</w:t>
            </w:r>
            <w:r w:rsidRPr="00673430">
              <w:rPr>
                <w:bCs/>
                <w:sz w:val="20"/>
                <w:szCs w:val="20"/>
                <w:lang w:val="sr-Latn-RS"/>
              </w:rPr>
              <w:t>ova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 planskih dokumenata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za odabrana područja iz partnerskih država.</w:t>
            </w:r>
          </w:p>
          <w:p w:rsidR="002C4754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analizirane zakonske regulative 6 partnerskih država.</w:t>
            </w:r>
          </w:p>
          <w:p w:rsidR="002C4754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.4.4. </w:t>
            </w:r>
            <w:r w:rsidR="002C4754" w:rsidRPr="00673430">
              <w:rPr>
                <w:color w:val="000000"/>
                <w:sz w:val="20"/>
                <w:szCs w:val="20"/>
                <w:lang w:val="sr-Latn-RS"/>
              </w:rPr>
              <w:t>Zakonsk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 je proglašena 1 zaštićena zona</w:t>
            </w:r>
          </w:p>
          <w:p w:rsidR="001B0B2E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.4.5. </w:t>
            </w:r>
            <w:r w:rsidRPr="00673430">
              <w:rPr>
                <w:bCs/>
                <w:sz w:val="20"/>
                <w:szCs w:val="20"/>
                <w:lang w:val="sr-Latn-RS"/>
              </w:rPr>
              <w:t>Iz zaštićenih zona stiže 1 izveštaj na godišnjem kvartalu.</w:t>
            </w:r>
          </w:p>
          <w:p w:rsidR="00687A18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7A18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7A18" w:rsidRPr="00673430" w:rsidRDefault="00687A18" w:rsidP="00687A1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postavljanjo 600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buradi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za sakupljanje kišnice.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istražene lokacije za po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stavljanje buradi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u 6 partnerskih država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</w:t>
            </w:r>
            <w:r w:rsidRPr="00673430">
              <w:rPr>
                <w:bCs/>
                <w:sz w:val="20"/>
                <w:szCs w:val="20"/>
                <w:lang w:val="sr-Latn-RS"/>
              </w:rPr>
              <w:t>an je odgovarajući kapacitet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buradi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za svih 6 zemalja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Analizirani su zakonski propisi i regulative vezane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za sakupljanje kišnice i upotrebu buradi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u svih 6 partnerskih država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je nabavljeno 600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su specifikacije i kriterijumi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za odabir buradi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 zavisnosti od države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(veličina, materijal, kvaliteta).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đena su po 2 prodavač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 buradi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Burad su nabavljena i isporučena na prethodno obezbeđenu 1 lokaciju u svakoj državi.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o je po 10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majstora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 u svakoj državi.</w:t>
            </w:r>
          </w:p>
          <w:p w:rsidR="00687A18" w:rsidRPr="00673430" w:rsidRDefault="00687A18" w:rsidP="00687A18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>.3.1.</w:t>
            </w:r>
            <w:r w:rsidRPr="00673430">
              <w:rPr>
                <w:bCs/>
                <w:sz w:val="20"/>
                <w:szCs w:val="20"/>
                <w:lang w:val="sr-Latn-RS"/>
              </w:rPr>
              <w:t>Lo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kacije za postavljanje buradi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su uspešno pripremljene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a je odgovarajuća konstrukcija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za podršku buradi.</w:t>
            </w:r>
          </w:p>
          <w:p w:rsidR="00687A18" w:rsidRPr="00673430" w:rsidRDefault="00687A18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6833E9" w:rsidRPr="00673430">
              <w:rPr>
                <w:color w:val="000000"/>
                <w:sz w:val="20"/>
                <w:szCs w:val="20"/>
                <w:lang w:val="sr-Latn-RS"/>
              </w:rPr>
              <w:t>Uspešno je testirano 600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7A18" w:rsidRPr="00673430" w:rsidRDefault="00687A18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.5. </w:t>
            </w:r>
            <w:r w:rsidR="006833E9" w:rsidRPr="00673430">
              <w:rPr>
                <w:bCs/>
                <w:sz w:val="20"/>
                <w:szCs w:val="20"/>
                <w:lang w:val="sr-Latn-RS"/>
              </w:rPr>
              <w:t>Uspešno je obučena po 1 osoba iz centara gde su burad postavljena.</w:t>
            </w:r>
          </w:p>
          <w:p w:rsidR="00687A18" w:rsidRPr="00673430" w:rsidRDefault="00687A18" w:rsidP="00687A1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687A18" w:rsidRPr="00673430" w:rsidRDefault="00687A18" w:rsidP="00687A1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D15269" w:rsidRPr="00673430" w:rsidRDefault="001B0B2E" w:rsidP="00D1526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.6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sz w:val="20"/>
                <w:szCs w:val="20"/>
                <w:lang w:val="sr-Latn-RS"/>
              </w:rPr>
              <w:t>Uspešno je r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azvijeno softversko 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lastRenderedPageBreak/>
              <w:t>rešenje za prijavljivanje i uvid u radionice i seminare.</w:t>
            </w:r>
          </w:p>
          <w:p w:rsidR="001B0B2E" w:rsidRPr="00673430" w:rsidRDefault="00D15269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1B0B2E" w:rsidRPr="00673430" w:rsidRDefault="006D15FB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1B0B2E" w:rsidRPr="00673430" w:rsidRDefault="001B0B2E" w:rsidP="001B0B2E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1B0B2E" w:rsidRPr="00673430" w:rsidRDefault="001B0B2E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</w:p>
          <w:p w:rsidR="001B0B2E" w:rsidRPr="00673430" w:rsidRDefault="006D15FB" w:rsidP="001B0B2E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I.6</w:t>
            </w:r>
            <w:r w:rsidR="001B0B2E" w:rsidRPr="00673430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D15269" w:rsidRPr="00673430" w:rsidRDefault="00D1526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673430" w:rsidRDefault="005A2A89" w:rsidP="00D1526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>. Uspešan o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dlazak u partnerske države radi treninga osoblja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(Turska, Hrvatska, Grčka i Nemačka)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D15269" w:rsidRPr="00673430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>Uspešna i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dentifikacija potrebnih treninga i kompetencija osoblja.</w:t>
            </w:r>
          </w:p>
          <w:p w:rsidR="00D15269" w:rsidRPr="00673430" w:rsidRDefault="005A2A89" w:rsidP="0067056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>.2. Uspešna o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rganizacija putovanja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za 15</w:t>
            </w:r>
            <w:r w:rsidR="001B0B2E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va osoblja u 4 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odlazak osoblja.</w:t>
            </w:r>
          </w:p>
          <w:p w:rsidR="00D15269" w:rsidRPr="00673430" w:rsidRDefault="005A2A8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za 9 članova </w:t>
            </w:r>
            <w:r w:rsidR="00670566"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 xml:space="preserve">partnerske zemlje i logistika za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osoblja u 4 partnerskih zemalja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obuka osoblja.</w:t>
            </w:r>
          </w:p>
          <w:p w:rsidR="00D15269" w:rsidRPr="00673430" w:rsidRDefault="006D15FB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I.7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>.4. Uspešno p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raćenje i evaluacija provedenih treninga.</w:t>
            </w:r>
          </w:p>
          <w:p w:rsidR="00D15269" w:rsidRPr="00673430" w:rsidRDefault="006D15FB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I.7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>.5. Uspešno s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astavljanje izvještaja o rezultatima treninga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gde je 90% osoblja završilo trening 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njihovoj primjenjivosti.</w:t>
            </w:r>
          </w:p>
          <w:p w:rsidR="00D15269" w:rsidRPr="00673430" w:rsidRDefault="006D15FB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I.7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>.6. Uspešna o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rganizacija povratnog putovanja </w:t>
            </w:r>
            <w:r w:rsidR="005A2A89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za 15 članova osoblja iz 4 partnerske zemalje </w:t>
            </w:r>
            <w:r w:rsidR="00D15269" w:rsidRPr="00673430">
              <w:rPr>
                <w:bCs/>
                <w:color w:val="000000"/>
                <w:sz w:val="20"/>
                <w:szCs w:val="20"/>
                <w:lang w:val="sr-Latn-RS"/>
              </w:rPr>
              <w:t>i logistika za povratak osoblja.</w:t>
            </w:r>
          </w:p>
          <w:p w:rsidR="001D1FC0" w:rsidRPr="00673430" w:rsidRDefault="001D1FC0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A21750" w:rsidRPr="00673430" w:rsidRDefault="00A21750" w:rsidP="00A21750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.8</w:t>
            </w:r>
            <w:r w:rsidRPr="00673430">
              <w:rPr>
                <w:sz w:val="20"/>
                <w:szCs w:val="20"/>
                <w:lang w:val="sr-Latn-RS"/>
              </w:rPr>
              <w:t>. Uspešno je kreiran promotivni materijal za potrebe celog projekta</w:t>
            </w:r>
          </w:p>
          <w:p w:rsidR="00A21750" w:rsidRPr="00673430" w:rsidRDefault="00A21750" w:rsidP="00A21750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.1. Uspešno je angažovao 6 stručnih grafičkih dizajnera.</w:t>
            </w:r>
          </w:p>
          <w:p w:rsidR="00A21750" w:rsidRPr="00673430" w:rsidRDefault="00A21750" w:rsidP="00A2175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.2. Uspešno je izrađen dizajn sledećeg promo materijala: 2 logo-a, 2 vizit karte, 15 brošura , 10 plakata, 4 promo videa, 1 info kartica učesnika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 xml:space="preserve">, 1 info kartica za zaposlenog 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i 3 bilborda. Urađen je po jedan mockup za sav promo materijal na raziličitim jezicima partnerskih zemalja.  </w:t>
            </w:r>
          </w:p>
          <w:p w:rsidR="00A21750" w:rsidRPr="00673430" w:rsidRDefault="00A21750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Uspešno je izrađen promo materijal koji uključuje: 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250 majci sa logom, 400 vizit karti, 1000 brošura, 200 plakata,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 xml:space="preserve"> 100 info kartica zaposlenih, 40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0 info kartica učesnika i 30 bilborda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 xml:space="preserve"> U vakoj državi je izrađena šestina brojeva koji su navedeni iznad.</w:t>
            </w:r>
          </w:p>
          <w:p w:rsidR="003D548C" w:rsidRPr="00673430" w:rsidRDefault="00A21750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Uspešno je o</w:t>
            </w:r>
            <w:r w:rsidRPr="00673430">
              <w:rPr>
                <w:bCs/>
                <w:sz w:val="20"/>
                <w:szCs w:val="20"/>
                <w:lang w:val="sr-Latn-RS"/>
              </w:rPr>
              <w:t>bezbeđ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>en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o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po 2</w:t>
            </w:r>
            <w:r w:rsidR="003D548C"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adekvatan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prostor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za skladištenje promo materijala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 xml:space="preserve">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886BC8" w:rsidRPr="00673430" w:rsidRDefault="006D15FB" w:rsidP="003D548C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I.8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.6. Uspešno su okačena 3 bilborda, zakačeno 20 plakata i podeljeno 100 brošura.</w:t>
            </w:r>
          </w:p>
          <w:p w:rsidR="00D15269" w:rsidRPr="00673430" w:rsidRDefault="00D15269" w:rsidP="00D1526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A2A89" w:rsidRPr="00673430" w:rsidRDefault="005A2A89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.9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sz w:val="20"/>
                <w:szCs w:val="20"/>
                <w:lang w:val="sr-Latn-RS"/>
              </w:rPr>
              <w:t>Uspešno je organizovano 6 seminara (u Crnoj Gori, Severnoj Makedoniji, Albanijii, Bugarskoj, Švedskoj i Portugalu)</w:t>
            </w:r>
          </w:p>
          <w:p w:rsidR="00D15269" w:rsidRPr="00673430" w:rsidRDefault="00D15269" w:rsidP="005A2A89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inicijativa.</w:t>
            </w:r>
          </w:p>
          <w:p w:rsidR="00D15269" w:rsidRPr="00673430" w:rsidRDefault="005A2A89" w:rsidP="00D15269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 xml:space="preserve">.1. Angažovano je 6 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stručni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h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govor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nika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D15269" w:rsidRPr="00673430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D15269" w:rsidRPr="00673430" w:rsidRDefault="005A2A89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.3. Obezbeđeno je 6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prevod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laca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.</w:t>
            </w:r>
          </w:p>
          <w:p w:rsidR="00D15269" w:rsidRPr="00673430" w:rsidRDefault="005A2A89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.9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.4. Kreirano je 5 agendi</w:t>
            </w:r>
            <w:r w:rsidR="00D15269" w:rsidRPr="00673430">
              <w:rPr>
                <w:bCs/>
                <w:sz w:val="20"/>
                <w:szCs w:val="20"/>
                <w:lang w:val="sr-Latn-RS"/>
              </w:rPr>
              <w:t xml:space="preserve"> seminara.</w:t>
            </w:r>
          </w:p>
          <w:p w:rsidR="001D1FC0" w:rsidRPr="00673430" w:rsidRDefault="006D15FB" w:rsidP="001D1FC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I.19</w:t>
            </w:r>
            <w:r w:rsidR="001D1FC0" w:rsidRPr="00673430">
              <w:rPr>
                <w:bCs/>
                <w:sz w:val="20"/>
                <w:szCs w:val="20"/>
                <w:lang w:val="sr-Latn-RS"/>
              </w:rPr>
              <w:t>.5. Obezbeđeno je po 2   adekvatana prostora za izvođenje seminara u svih 6 zemalja.</w:t>
            </w:r>
          </w:p>
          <w:p w:rsidR="001D1FC0" w:rsidRPr="00673430" w:rsidRDefault="001D1FC0" w:rsidP="00D15269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D15269" w:rsidRPr="00673430" w:rsidRDefault="00D15269" w:rsidP="00D15269">
            <w:pPr>
              <w:rPr>
                <w:b/>
                <w:sz w:val="20"/>
                <w:szCs w:val="20"/>
                <w:lang w:val="sr-Latn-RS"/>
              </w:rPr>
            </w:pPr>
          </w:p>
          <w:p w:rsidR="005A2A89" w:rsidRPr="00673430" w:rsidRDefault="007709DE" w:rsidP="005A2A8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.10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5A2A89" w:rsidRPr="00673430">
              <w:rPr>
                <w:sz w:val="20"/>
                <w:szCs w:val="20"/>
                <w:lang w:val="sr-Latn-RS"/>
              </w:rPr>
              <w:t>Uspešno je održano 6 seminara (u Crnoj Gori, Severnoj Makedoniji, Albanijii, Bugarskoj, Švedskoj i Portugalu)</w:t>
            </w:r>
          </w:p>
          <w:p w:rsidR="005A2A89" w:rsidRPr="00673430" w:rsidRDefault="005A2A89" w:rsidP="009C406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 na kojima je učestovalo po </w:t>
            </w:r>
            <w:r w:rsidR="009C4068" w:rsidRPr="00673430">
              <w:rPr>
                <w:sz w:val="20"/>
                <w:szCs w:val="20"/>
                <w:lang w:val="sr-Latn-RS"/>
              </w:rPr>
              <w:t>6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 učesnika iz 6 zemalja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D15269" w:rsidP="00D15269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6D15FB" w:rsidRPr="00673430">
              <w:rPr>
                <w:sz w:val="20"/>
                <w:szCs w:val="20"/>
                <w:lang w:val="sr-Latn-RS"/>
              </w:rPr>
              <w:t>I.10</w:t>
            </w:r>
            <w:r w:rsidR="007709DE" w:rsidRPr="00673430">
              <w:rPr>
                <w:sz w:val="20"/>
                <w:szCs w:val="20"/>
                <w:lang w:val="sr-Latn-RS"/>
              </w:rPr>
              <w:t>.1. Ispraćeno je 5 agendi</w:t>
            </w:r>
            <w:r w:rsidRPr="00673430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D15269" w:rsidRPr="00673430" w:rsidRDefault="0000315A" w:rsidP="009C4068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7709DE"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.10</w:t>
            </w:r>
            <w:r w:rsidR="00D15269" w:rsidRPr="00673430">
              <w:rPr>
                <w:sz w:val="20"/>
                <w:szCs w:val="20"/>
                <w:lang w:val="sr-Latn-RS"/>
              </w:rPr>
              <w:t>.2. Dodeljeni sertifikati za</w:t>
            </w:r>
            <w:r w:rsidR="009C4068" w:rsidRPr="00673430">
              <w:rPr>
                <w:sz w:val="20"/>
                <w:szCs w:val="20"/>
                <w:lang w:val="sr-Latn-RS"/>
              </w:rPr>
              <w:t xml:space="preserve"> 36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učesnike seminara.</w:t>
            </w:r>
          </w:p>
          <w:p w:rsidR="00D15269" w:rsidRPr="00673430" w:rsidRDefault="006D15FB" w:rsidP="00D15269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I.10</w:t>
            </w:r>
            <w:r w:rsidR="009C4068" w:rsidRPr="00673430">
              <w:rPr>
                <w:sz w:val="20"/>
                <w:szCs w:val="20"/>
                <w:lang w:val="sr-Latn-RS"/>
              </w:rPr>
              <w:t>.3.Anketirano je 36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 učesnika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seminara.</w:t>
            </w:r>
          </w:p>
          <w:p w:rsidR="0000315A" w:rsidRPr="00673430" w:rsidRDefault="006D15FB" w:rsidP="0000315A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I.10</w:t>
            </w:r>
            <w:r w:rsidR="0000315A"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seminara.</w:t>
            </w:r>
          </w:p>
          <w:p w:rsidR="00D15269" w:rsidRPr="00673430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7709DE" w:rsidRPr="00673430" w:rsidRDefault="006D15FB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I.11</w:t>
            </w:r>
            <w:r w:rsidR="007709DE" w:rsidRPr="00673430">
              <w:rPr>
                <w:sz w:val="20"/>
                <w:szCs w:val="20"/>
                <w:lang w:val="sr-Latn-RS"/>
              </w:rPr>
              <w:t xml:space="preserve">. Uspešno je organizovano 6 debatnih </w:t>
            </w:r>
            <w:r w:rsidR="007709DE" w:rsidRPr="00673430">
              <w:rPr>
                <w:sz w:val="20"/>
                <w:szCs w:val="20"/>
                <w:lang w:val="sr-Latn-RS"/>
              </w:rPr>
              <w:lastRenderedPageBreak/>
              <w:t>radionica (u Crnoj Gori, Severnoj Makedoniji, Albanijii, Bugarskoj, Švedskoj i Portugalu)</w:t>
            </w:r>
          </w:p>
          <w:p w:rsidR="007709DE" w:rsidRPr="00673430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7709DE" w:rsidRPr="00673430" w:rsidRDefault="006D15FB" w:rsidP="009C4068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 xml:space="preserve">.1. Angažovano je 6 </w:t>
            </w:r>
            <w:r w:rsidR="009C4068" w:rsidRPr="00673430">
              <w:rPr>
                <w:bCs/>
                <w:sz w:val="20"/>
                <w:szCs w:val="20"/>
                <w:lang w:val="sr-Latn-RS"/>
              </w:rPr>
              <w:t>moderatora.</w:t>
            </w:r>
          </w:p>
          <w:p w:rsidR="007709DE" w:rsidRPr="00673430" w:rsidRDefault="006D15FB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7709DE" w:rsidRPr="00673430" w:rsidRDefault="006D15FB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7709DE" w:rsidRPr="00673430" w:rsidRDefault="006D15FB" w:rsidP="007709DE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="007709DE" w:rsidRPr="00673430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1D1FC0" w:rsidRPr="00673430" w:rsidRDefault="001D1FC0" w:rsidP="001D1FC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.11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 po 2 adekvatana prostora za izvođenje radionice u svih 6 država.</w:t>
            </w:r>
          </w:p>
          <w:p w:rsidR="00D15269" w:rsidRPr="00673430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7709DE" w:rsidRPr="00673430" w:rsidRDefault="006D15FB" w:rsidP="007709D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I.12</w:t>
            </w:r>
            <w:r w:rsidR="007709DE" w:rsidRPr="00673430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7709DE" w:rsidRPr="00673430" w:rsidRDefault="007709DE" w:rsidP="007709DE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 na kojima je učestovalo po 6 učesnika iz 6 zemalja.</w:t>
            </w:r>
          </w:p>
          <w:p w:rsidR="007709DE" w:rsidRPr="00673430" w:rsidRDefault="007709DE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6D15FB" w:rsidRPr="00673430">
              <w:rPr>
                <w:sz w:val="20"/>
                <w:szCs w:val="20"/>
                <w:lang w:val="sr-Latn-RS"/>
              </w:rPr>
              <w:t>I.12</w:t>
            </w:r>
            <w:r w:rsidRPr="00673430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7709DE" w:rsidRPr="00673430" w:rsidRDefault="006D15FB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I.12</w:t>
            </w:r>
            <w:r w:rsidR="007709DE" w:rsidRPr="00673430">
              <w:rPr>
                <w:sz w:val="20"/>
                <w:szCs w:val="20"/>
                <w:lang w:val="sr-Latn-RS"/>
              </w:rPr>
              <w:t>.2. Dodeljeni sertifikati za 36 učesnike radionice.</w:t>
            </w:r>
          </w:p>
          <w:p w:rsidR="007709DE" w:rsidRPr="00673430" w:rsidRDefault="006D15FB" w:rsidP="007709DE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I.12</w:t>
            </w:r>
            <w:r w:rsidR="007709DE" w:rsidRPr="00673430">
              <w:rPr>
                <w:sz w:val="20"/>
                <w:szCs w:val="20"/>
                <w:lang w:val="sr-Latn-RS"/>
              </w:rPr>
              <w:t>.3.Anketirano je 36 učesnika radionice sa 5 razlicitih anketa.</w:t>
            </w:r>
          </w:p>
          <w:p w:rsidR="0000315A" w:rsidRPr="00673430" w:rsidRDefault="006D15FB" w:rsidP="0000315A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I.12</w:t>
            </w:r>
            <w:r w:rsidR="0000315A"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D15269" w:rsidRPr="00673430" w:rsidRDefault="00D15269" w:rsidP="007709DE">
            <w:pPr>
              <w:rPr>
                <w:sz w:val="20"/>
                <w:szCs w:val="20"/>
                <w:lang w:val="sr-Latn-RS"/>
              </w:rPr>
            </w:pPr>
          </w:p>
          <w:p w:rsidR="00D15269" w:rsidRPr="00673430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7709DE" w:rsidRPr="00673430">
              <w:rPr>
                <w:sz w:val="20"/>
                <w:szCs w:val="20"/>
                <w:lang w:val="sr-Latn-RS"/>
              </w:rPr>
              <w:t>. Uspešno su o</w:t>
            </w:r>
            <w:r w:rsidR="00D15269" w:rsidRPr="00673430">
              <w:rPr>
                <w:sz w:val="20"/>
                <w:szCs w:val="20"/>
                <w:lang w:val="sr-Latn-RS"/>
              </w:rPr>
              <w:t>rganizovane i sprovedene kampanje za povećanje ekološke svesti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u 6 partnerskih država (Crnoj Gori, Severnoj Makedoniji, Albanijii, Bugarskoj, Švedskoj i Portugalu)</w:t>
            </w:r>
          </w:p>
          <w:p w:rsidR="00D15269" w:rsidRPr="00673430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.1. Isplanirane 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su  3 </w:t>
            </w:r>
            <w:r w:rsidR="00D15269" w:rsidRPr="00673430">
              <w:rPr>
                <w:sz w:val="20"/>
                <w:szCs w:val="20"/>
                <w:lang w:val="sr-Latn-RS"/>
              </w:rPr>
              <w:t>kampanje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(Čišćenje okoline, Reciklažne kampanje i Kampanje javne svesti)koje se sprovode u 6 </w:t>
            </w:r>
            <w:r w:rsidR="0000315A" w:rsidRPr="00673430">
              <w:rPr>
                <w:sz w:val="20"/>
                <w:szCs w:val="20"/>
                <w:lang w:val="sr-Latn-RS"/>
              </w:rPr>
              <w:lastRenderedPageBreak/>
              <w:t>partnerskih zemalja i na kojima učestvuje po 5 učesnika iz 6 partnerskih zemalja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00315A" w:rsidRPr="00673430">
              <w:rPr>
                <w:sz w:val="20"/>
                <w:szCs w:val="20"/>
                <w:lang w:val="sr-Latn-RS"/>
              </w:rPr>
              <w:t>.2. Uspešno p</w:t>
            </w:r>
            <w:r w:rsidR="00D15269" w:rsidRPr="00673430">
              <w:rPr>
                <w:sz w:val="20"/>
                <w:szCs w:val="20"/>
                <w:lang w:val="sr-Latn-RS"/>
              </w:rPr>
              <w:t>ripremljen materijal i resursi</w:t>
            </w:r>
            <w:r w:rsidR="0000315A" w:rsidRPr="00673430">
              <w:rPr>
                <w:sz w:val="20"/>
                <w:szCs w:val="20"/>
                <w:lang w:val="sr-Latn-RS"/>
              </w:rPr>
              <w:t xml:space="preserve"> po</w:t>
            </w:r>
            <w:r w:rsidRPr="00673430">
              <w:rPr>
                <w:sz w:val="20"/>
                <w:szCs w:val="20"/>
                <w:lang w:val="sr-Latn-RS"/>
              </w:rPr>
              <w:t>trebni za izvođenje kampanja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  <w:r w:rsidR="001D1FC0" w:rsidRPr="00673430">
              <w:rPr>
                <w:sz w:val="20"/>
                <w:szCs w:val="20"/>
                <w:lang w:val="sr-Latn-RS"/>
              </w:rPr>
              <w:t xml:space="preserve"> Obezbeđen i po 1 adekvatan prostor za sprovođenje kampanje u slućaju vremenskih nepogoda.</w:t>
            </w:r>
          </w:p>
          <w:p w:rsidR="00D15269" w:rsidRPr="00673430" w:rsidRDefault="006D15FB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I.13</w:t>
            </w:r>
            <w:r w:rsidR="00680991" w:rsidRPr="00673430">
              <w:rPr>
                <w:sz w:val="20"/>
                <w:szCs w:val="20"/>
                <w:lang w:val="sr-Latn-RS"/>
              </w:rPr>
              <w:t>.3. Uspešno izvedene 2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 kam</w:t>
            </w:r>
            <w:r w:rsidR="00680991" w:rsidRPr="00673430">
              <w:rPr>
                <w:sz w:val="20"/>
                <w:szCs w:val="20"/>
                <w:lang w:val="sr-Latn-RS"/>
              </w:rPr>
              <w:t>panje u 6 partnerskih zemalja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680991" w:rsidP="00D15269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.13</w:t>
            </w:r>
            <w:r w:rsidR="00D15269" w:rsidRPr="00673430">
              <w:rPr>
                <w:sz w:val="20"/>
                <w:szCs w:val="20"/>
                <w:lang w:val="sr-Latn-RS"/>
              </w:rPr>
              <w:t>.4. Evaluirane kampanje</w:t>
            </w:r>
            <w:r w:rsidRPr="00673430">
              <w:rPr>
                <w:sz w:val="20"/>
                <w:szCs w:val="20"/>
                <w:lang w:val="sr-Latn-RS"/>
              </w:rPr>
              <w:t xml:space="preserve"> anketiranjem 36 učesnika sa 3 različite ankete i sastavljanje izveštaja o uspešnosti kampanje</w:t>
            </w:r>
            <w:r w:rsidR="00D15269" w:rsidRPr="00673430">
              <w:rPr>
                <w:sz w:val="20"/>
                <w:szCs w:val="20"/>
                <w:lang w:val="sr-Latn-RS"/>
              </w:rPr>
              <w:t>.</w:t>
            </w:r>
          </w:p>
          <w:p w:rsidR="00D15269" w:rsidRPr="00673430" w:rsidRDefault="00D15269" w:rsidP="00680991">
            <w:pPr>
              <w:rPr>
                <w:sz w:val="20"/>
                <w:szCs w:val="20"/>
                <w:lang w:val="sr-Latn-RS"/>
              </w:rPr>
            </w:pPr>
          </w:p>
          <w:p w:rsidR="00680991" w:rsidRPr="00673430" w:rsidRDefault="00680991" w:rsidP="0068099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D15269" w:rsidRPr="00673430">
              <w:rPr>
                <w:sz w:val="20"/>
                <w:szCs w:val="20"/>
                <w:lang w:val="sr-Latn-RS"/>
              </w:rPr>
              <w:t>.1</w:t>
            </w:r>
            <w:r w:rsidR="006D15FB" w:rsidRPr="00673430">
              <w:rPr>
                <w:sz w:val="20"/>
                <w:szCs w:val="20"/>
                <w:lang w:val="sr-Latn-RS"/>
              </w:rPr>
              <w:t>4</w:t>
            </w:r>
            <w:r w:rsidRPr="00673430">
              <w:rPr>
                <w:sz w:val="20"/>
                <w:szCs w:val="20"/>
                <w:lang w:val="sr-Latn-RS"/>
              </w:rPr>
              <w:t>.Uspešno je odrađen 1 plan kvaliteta..</w:t>
            </w:r>
          </w:p>
          <w:p w:rsidR="00680991" w:rsidRPr="00673430" w:rsidRDefault="006D15FB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I.14</w:t>
            </w:r>
            <w:r w:rsidR="00680991" w:rsidRPr="00673430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680991" w:rsidRPr="00673430" w:rsidRDefault="006D15FB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I.14</w:t>
            </w:r>
            <w:r w:rsidR="00680991" w:rsidRPr="00673430">
              <w:rPr>
                <w:sz w:val="20"/>
                <w:szCs w:val="20"/>
                <w:lang w:val="sr-Latn-RS"/>
              </w:rPr>
              <w:t>.2. Uspešno je izvršena 1 interna evaluacija kvaliteta projekta od strane 4 stručnjaka za kontrolu kvaliteta.</w:t>
            </w:r>
          </w:p>
          <w:p w:rsidR="00680991" w:rsidRPr="00673430" w:rsidRDefault="006D15FB" w:rsidP="0068099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I.14</w:t>
            </w:r>
            <w:r w:rsidR="00680991" w:rsidRPr="00673430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D15269" w:rsidRPr="00673430" w:rsidRDefault="00D15269" w:rsidP="00D15269">
            <w:pPr>
              <w:rPr>
                <w:sz w:val="20"/>
                <w:szCs w:val="20"/>
                <w:lang w:val="sr-Latn-RS"/>
              </w:rPr>
            </w:pPr>
          </w:p>
          <w:p w:rsidR="006829A7" w:rsidRPr="00673430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80991" w:rsidRPr="00673430">
              <w:rPr>
                <w:sz w:val="20"/>
                <w:szCs w:val="20"/>
                <w:lang w:val="sr-Latn-RS"/>
              </w:rPr>
              <w:t>.1</w:t>
            </w:r>
            <w:r w:rsidR="006D15FB" w:rsidRPr="00673430"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I.15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t>.1. Uspešna reklama putem 5 medija.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I.15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t>.2. Uspešna promocija putem 5 društvenih mreža(Instagram, Facebook, YouTube, Twitter, TikTok).</w:t>
            </w:r>
            <w:r w:rsidR="009C4068" w:rsidRPr="00673430">
              <w:rPr>
                <w:noProof/>
                <w:sz w:val="20"/>
                <w:szCs w:val="20"/>
                <w:lang w:val="sr-Latn-RS"/>
              </w:rPr>
              <w:t>Upotrbljeni su svi kreirani promo videi.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 I.15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t>.3. Uspešna promocija putem internet reklama.</w:t>
            </w:r>
            <w:r w:rsidR="006829A7" w:rsidRPr="00673430">
              <w:rPr>
                <w:noProof/>
                <w:sz w:val="20"/>
                <w:szCs w:val="20"/>
                <w:lang w:val="sr-Latn-RS"/>
              </w:rPr>
              <w:br/>
            </w:r>
          </w:p>
          <w:p w:rsidR="006829A7" w:rsidRPr="00673430" w:rsidRDefault="006829A7" w:rsidP="006829A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6D15FB" w:rsidRPr="00673430">
              <w:rPr>
                <w:sz w:val="20"/>
                <w:szCs w:val="20"/>
                <w:lang w:val="sr-Latn-RS"/>
              </w:rPr>
              <w:t>.16</w:t>
            </w:r>
            <w:r w:rsidR="00D15269"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sz w:val="20"/>
                <w:szCs w:val="20"/>
                <w:lang w:val="sr-Latn-RS"/>
              </w:rPr>
              <w:t>Uspešno je izvršeno jedno upravljanje projektom.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I.16</w:t>
            </w:r>
            <w:r w:rsidR="006829A7" w:rsidRPr="00673430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I.16</w:t>
            </w:r>
            <w:r w:rsidR="006829A7" w:rsidRPr="00673430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6829A7" w:rsidRPr="00673430" w:rsidRDefault="006D15FB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I.16</w:t>
            </w:r>
            <w:r w:rsidR="006829A7" w:rsidRPr="00673430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E60BF6" w:rsidRPr="00673430" w:rsidRDefault="00E60BF6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E60BF6" w:rsidRPr="00673430" w:rsidRDefault="00E60BF6" w:rsidP="00E60BF6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="00152A6C" w:rsidRPr="00673430">
              <w:rPr>
                <w:bCs/>
                <w:color w:val="000000"/>
                <w:sz w:val="20"/>
                <w:szCs w:val="20"/>
                <w:lang w:val="sr-Latn-RS"/>
              </w:rPr>
              <w:t>.1. 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00 osoba iz ciljne grupe je popunilo 5 različitih anketa.</w:t>
            </w:r>
          </w:p>
          <w:p w:rsidR="00E60BF6" w:rsidRPr="00673430" w:rsidRDefault="00E60BF6" w:rsidP="00E60BF6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E60BF6" w:rsidRPr="00673430" w:rsidRDefault="00E60BF6" w:rsidP="006829A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D15269" w:rsidRPr="00673430" w:rsidRDefault="00D15269" w:rsidP="00D15269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6829A7" w:rsidRPr="00673430" w:rsidRDefault="006829A7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915C94" w:rsidRPr="00673430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915C94" w:rsidRPr="00673430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915C94" w:rsidRPr="00673430" w:rsidRDefault="00915C94" w:rsidP="00915C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670566" w:rsidRPr="00673430" w:rsidRDefault="00915C94" w:rsidP="006B2BE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670566" w:rsidRPr="00673430" w:rsidRDefault="00670566" w:rsidP="00670566">
            <w:pPr>
              <w:rPr>
                <w:sz w:val="20"/>
                <w:lang w:val="sr-Latn-RS"/>
              </w:rPr>
            </w:pPr>
          </w:p>
          <w:p w:rsidR="00A60D80" w:rsidRPr="00673430" w:rsidRDefault="00A60D80" w:rsidP="00670566">
            <w:pPr>
              <w:rPr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490380" w:rsidRPr="00673430" w:rsidRDefault="00490380" w:rsidP="00490380">
            <w:pPr>
              <w:rPr>
                <w:noProof/>
                <w:sz w:val="18"/>
                <w:szCs w:val="18"/>
                <w:lang w:val="sr-Latn-RS"/>
              </w:rPr>
            </w:pPr>
          </w:p>
          <w:p w:rsidR="002C1237" w:rsidRPr="00673430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C1237" w:rsidRPr="00673430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673430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673430" w:rsidRDefault="002C1237" w:rsidP="002C123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C1237" w:rsidRPr="00673430" w:rsidRDefault="002C1237" w:rsidP="002C1237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3D548C" w:rsidRPr="00673430" w:rsidRDefault="002C1237" w:rsidP="002C4754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3D548C" w:rsidRPr="00673430" w:rsidRDefault="003D548C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</w:t>
            </w:r>
            <w:r w:rsidR="001D1FC0" w:rsidRPr="00673430">
              <w:rPr>
                <w:color w:val="000000"/>
                <w:sz w:val="20"/>
                <w:szCs w:val="20"/>
                <w:lang w:val="sr-Latn-RS"/>
              </w:rPr>
              <w:t xml:space="preserve"> ciljne grupe.</w:t>
            </w:r>
          </w:p>
          <w:p w:rsidR="00D755F7" w:rsidRPr="00673430" w:rsidRDefault="00D755F7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nabavke ili kašnjenje nabavke buradi.</w:t>
            </w:r>
          </w:p>
          <w:p w:rsidR="002C4754" w:rsidRPr="00673430" w:rsidRDefault="002C4754" w:rsidP="003D548C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proglašenja zaštićenih zona.</w:t>
            </w:r>
          </w:p>
          <w:p w:rsidR="00E17703" w:rsidRPr="00673430" w:rsidRDefault="00E17703" w:rsidP="00687A18">
            <w:pPr>
              <w:pStyle w:val="NormalWeb"/>
              <w:spacing w:after="240"/>
              <w:rPr>
                <w:lang w:val="sr-Latn-RS"/>
              </w:rPr>
            </w:pPr>
          </w:p>
        </w:tc>
      </w:tr>
      <w:tr w:rsidR="00E17703" w:rsidRPr="006833E9">
        <w:trPr>
          <w:trHeight w:val="2815"/>
        </w:trPr>
        <w:tc>
          <w:tcPr>
            <w:tcW w:w="3685" w:type="dxa"/>
          </w:tcPr>
          <w:p w:rsidR="00E17703" w:rsidRPr="00673430" w:rsidRDefault="00E17703" w:rsidP="00E17703">
            <w:p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E17703" w:rsidRPr="00673430" w:rsidRDefault="00E17703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 are the key activities to be carried out</w:t>
            </w:r>
            <w:r w:rsidR="00AA4A4B"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AA4A4B"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="00AA4A4B"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="00AA4A4B"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9C4068" w:rsidRPr="00673430" w:rsidRDefault="009C4068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9C4068" w:rsidRPr="00673430" w:rsidRDefault="009C4068" w:rsidP="00886B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 Sprovođenje analize ciljnih grupa.</w:t>
            </w:r>
          </w:p>
          <w:p w:rsidR="009C4068" w:rsidRPr="00673430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A.1.1. 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Ciljna grupa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ispunjava elektronske ankete.</w:t>
            </w:r>
          </w:p>
          <w:p w:rsidR="009C4068" w:rsidRPr="00673430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9C4068" w:rsidRPr="00673430" w:rsidRDefault="009C4068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542594" w:rsidRPr="00673430" w:rsidRDefault="00886BC8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="00542594" w:rsidRPr="00673430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Intervjui o organizacionim kapacitetima partnerskih </w:t>
            </w:r>
            <w:r w:rsidR="00542594" w:rsidRPr="00673430">
              <w:rPr>
                <w:sz w:val="20"/>
                <w:szCs w:val="20"/>
                <w:lang w:val="sr-Latn-RS"/>
              </w:rPr>
              <w:lastRenderedPageBreak/>
              <w:t>organizacija.</w:t>
            </w: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542594" w:rsidRPr="00673430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542594" w:rsidRPr="00673430">
              <w:rPr>
                <w:b/>
                <w:sz w:val="22"/>
                <w:szCs w:val="22"/>
                <w:lang w:val="sr-Latn-RS"/>
              </w:rPr>
              <w:t>.</w:t>
            </w:r>
          </w:p>
          <w:p w:rsidR="00542594" w:rsidRPr="00673430" w:rsidRDefault="00542594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673430" w:rsidRDefault="00886BC8" w:rsidP="00542594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="00542594"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.1. Analiz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 postojećeg stanja 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pristupa infrastrukturi.</w:t>
            </w:r>
          </w:p>
          <w:p w:rsidR="00542594" w:rsidRPr="00673430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4D06A5" w:rsidRPr="00673430">
              <w:rPr>
                <w:bCs/>
                <w:color w:val="000000"/>
                <w:sz w:val="20"/>
                <w:szCs w:val="20"/>
                <w:lang w:val="sr-Latn-RS"/>
              </w:rPr>
              <w:t>Popunjavanje anketa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o iskustvima partnera i njihovom pristupu prostorijama za izvodjenje nastave.</w:t>
            </w:r>
          </w:p>
          <w:p w:rsidR="00542594" w:rsidRPr="00673430" w:rsidRDefault="00680991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.3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4D06A5"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zvještaji o analiziranom stanju </w:t>
            </w:r>
            <w:r w:rsidR="004D06A5" w:rsidRPr="00673430">
              <w:rPr>
                <w:bCs/>
                <w:color w:val="000000"/>
                <w:sz w:val="20"/>
                <w:szCs w:val="20"/>
                <w:lang w:val="sr-Latn-RS"/>
              </w:rPr>
              <w:t>infrastruk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ture partnera.</w:t>
            </w:r>
          </w:p>
          <w:p w:rsidR="006833E9" w:rsidRPr="00673430" w:rsidRDefault="006833E9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33E9" w:rsidRPr="00673430" w:rsidRDefault="006833E9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>.4. Proglašavanje zaštićenih zona.</w:t>
            </w:r>
          </w:p>
          <w:p w:rsidR="006833E9" w:rsidRPr="00673430" w:rsidRDefault="006833E9" w:rsidP="006833E9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>.4.1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ovanje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potencijalnih područja i angažovanje adekvatnih upravljača projekta.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A.4.2. Razvijanje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planskih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Analiziranje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zakonskih regulativa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avanja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sz w:val="20"/>
                <w:szCs w:val="20"/>
                <w:lang w:val="sr-Latn-RS"/>
              </w:rPr>
              <w:t>.4.5. Monitoring i evaluacija zaštićene zone.</w:t>
            </w:r>
          </w:p>
          <w:p w:rsidR="006833E9" w:rsidRPr="00673430" w:rsidRDefault="006833E9" w:rsidP="006833E9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6833E9" w:rsidRPr="00673430" w:rsidRDefault="006833E9" w:rsidP="006833E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Postavljanje buradi za sakupljanje kišnice.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.1.1. Odabir odgovarajućeg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kapaciteta buradi.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onstrukcije ili postolja za podršku buradi.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A.5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6833E9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A.5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542594" w:rsidRPr="00673430" w:rsidRDefault="006833E9" w:rsidP="006833E9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4D06A5" w:rsidRPr="00673430" w:rsidRDefault="006D15FB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4D06A5" w:rsidRPr="00673430" w:rsidRDefault="00886BC8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4D06A5" w:rsidRPr="00673430" w:rsidRDefault="006D15FB" w:rsidP="004D06A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A.6</w:t>
            </w:r>
            <w:r w:rsidR="004D06A5" w:rsidRPr="00673430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542594" w:rsidRPr="00673430" w:rsidRDefault="00542594" w:rsidP="00542594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542594" w:rsidRPr="00673430" w:rsidRDefault="004D06A5" w:rsidP="0054259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Odlaženje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u partnerske države radi treninga osoblja.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ovanje 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potrebnih treninga i kompetencija osoblja.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ovanje putovanja i logistike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za odlazak osoblja.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avanje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treninga i obuka osoblja.</w:t>
            </w:r>
          </w:p>
          <w:p w:rsidR="00542594" w:rsidRPr="00673430" w:rsidRDefault="004D06A5" w:rsidP="00542594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.5.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Pisanje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izvještaja o rezultatima treninga i njihovoj primjenjivosti.</w:t>
            </w:r>
          </w:p>
          <w:p w:rsidR="00542594" w:rsidRPr="00673430" w:rsidRDefault="004D06A5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color w:val="000000"/>
                <w:sz w:val="20"/>
                <w:szCs w:val="20"/>
                <w:lang w:val="sr-Latn-RS"/>
              </w:rPr>
              <w:t>.7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ovanje</w:t>
            </w:r>
            <w:r w:rsidR="00542594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povratnog putovanja i logistika za povratak osoblja.</w:t>
            </w:r>
          </w:p>
          <w:p w:rsidR="009C4068" w:rsidRPr="00673430" w:rsidRDefault="009C4068" w:rsidP="004D06A5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9C4068" w:rsidRPr="00673430" w:rsidRDefault="006D15FB" w:rsidP="009C4068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A.8</w:t>
            </w:r>
            <w:r w:rsidR="009C4068" w:rsidRPr="00673430">
              <w:rPr>
                <w:sz w:val="20"/>
                <w:szCs w:val="20"/>
                <w:lang w:val="sr-Latn-RS"/>
              </w:rPr>
              <w:t>. Kreiranje promotivnog materijala za potrebe celog projekta</w:t>
            </w:r>
          </w:p>
          <w:p w:rsidR="009C4068" w:rsidRPr="00673430" w:rsidRDefault="009C4068" w:rsidP="009C4068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Angažovanje stručnih grafičkih dizajnera.</w:t>
            </w:r>
          </w:p>
          <w:p w:rsidR="009C4068" w:rsidRPr="00673430" w:rsidRDefault="009C406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.2. Izrađivanje dizajna promo materijala.</w:t>
            </w:r>
          </w:p>
          <w:p w:rsidR="009C4068" w:rsidRPr="00673430" w:rsidRDefault="00886BC8" w:rsidP="009C406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="009C4068" w:rsidRPr="00673430">
              <w:rPr>
                <w:bCs/>
                <w:sz w:val="20"/>
                <w:szCs w:val="20"/>
                <w:lang w:val="sr-Latn-RS"/>
              </w:rPr>
              <w:t>.3. Izrađivanje promo materijala.</w:t>
            </w:r>
          </w:p>
          <w:p w:rsidR="009C4068" w:rsidRPr="00673430" w:rsidRDefault="009C4068" w:rsidP="002C4754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A</w:t>
            </w:r>
            <w:r w:rsidR="006D15FB" w:rsidRPr="00673430"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.4. Obezbeđivanje adekvatanog prostora za skladištenje promo materijala.</w:t>
            </w:r>
          </w:p>
          <w:p w:rsidR="00886BC8" w:rsidRPr="00673430" w:rsidRDefault="006D15FB" w:rsidP="00875D15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A.8</w:t>
            </w:r>
            <w:r w:rsidR="002C4754" w:rsidRPr="00673430">
              <w:rPr>
                <w:bCs/>
                <w:sz w:val="20"/>
                <w:szCs w:val="20"/>
                <w:lang w:val="sr-Latn-RS"/>
              </w:rPr>
              <w:t>.5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875D15" w:rsidRPr="00673430">
              <w:rPr>
                <w:bCs/>
                <w:sz w:val="20"/>
                <w:szCs w:val="20"/>
                <w:lang w:val="sr-Latn-RS"/>
              </w:rPr>
              <w:t>Deljenje i postavljanje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 xml:space="preserve"> promo materijal</w:t>
            </w:r>
            <w:r w:rsidR="00875D15" w:rsidRPr="00673430">
              <w:rPr>
                <w:bCs/>
                <w:sz w:val="20"/>
                <w:szCs w:val="20"/>
                <w:lang w:val="sr-Latn-RS"/>
              </w:rPr>
              <w:t>a u odgovarajućim partnerskim zemljama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4D06A5" w:rsidRPr="00673430" w:rsidRDefault="004D06A5" w:rsidP="00673430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4D06A5" w:rsidRPr="00673430" w:rsidRDefault="006D15FB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A.9</w:t>
            </w:r>
            <w:r w:rsidR="004D06A5" w:rsidRPr="00673430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 xml:space="preserve">.2. Organizovanje prevoza i </w:t>
            </w:r>
            <w:r w:rsidR="004D06A5" w:rsidRPr="00673430">
              <w:rPr>
                <w:sz w:val="20"/>
                <w:szCs w:val="20"/>
                <w:lang w:val="sr-Latn-RS"/>
              </w:rPr>
              <w:lastRenderedPageBreak/>
              <w:t>smeštaja     za učesnike i govornike.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4D06A5" w:rsidRPr="00673430" w:rsidRDefault="006D15FB" w:rsidP="004D06A5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A.9</w:t>
            </w:r>
            <w:r w:rsidR="004D06A5" w:rsidRPr="00673430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886BC8" w:rsidRPr="00673430" w:rsidRDefault="006D15FB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A.9</w:t>
            </w:r>
            <w:r w:rsidR="00886BC8"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seminara.</w:t>
            </w:r>
          </w:p>
          <w:p w:rsidR="004D06A5" w:rsidRPr="00673430" w:rsidRDefault="004D06A5" w:rsidP="004D06A5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542594" w:rsidRPr="00673430" w:rsidRDefault="006D15FB" w:rsidP="004D06A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A.10</w:t>
            </w:r>
            <w:r w:rsidR="00542594" w:rsidRPr="00673430">
              <w:rPr>
                <w:sz w:val="20"/>
                <w:szCs w:val="20"/>
                <w:lang w:val="sr-Latn-RS"/>
              </w:rPr>
              <w:t>. Održa</w:t>
            </w:r>
            <w:r w:rsidR="004D06A5" w:rsidRPr="00673430">
              <w:rPr>
                <w:sz w:val="20"/>
                <w:szCs w:val="20"/>
                <w:lang w:val="sr-Latn-RS"/>
              </w:rPr>
              <w:t>vanje seminara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radi promocije ekološke održivosti i važnosti očuvanja</w:t>
            </w:r>
            <w:r w:rsidR="004D06A5" w:rsidRPr="00673430">
              <w:rPr>
                <w:sz w:val="20"/>
                <w:szCs w:val="20"/>
                <w:lang w:val="sr-Latn-RS"/>
              </w:rPr>
              <w:t xml:space="preserve"> životne sredine, kao i seminara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o organizaciji inicijativa.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886BC8" w:rsidRPr="00673430">
              <w:rPr>
                <w:sz w:val="20"/>
                <w:szCs w:val="20"/>
                <w:lang w:val="sr-Latn-RS"/>
              </w:rPr>
              <w:t xml:space="preserve">  A.</w:t>
            </w:r>
            <w:r w:rsidR="00673430" w:rsidRPr="00673430">
              <w:rPr>
                <w:sz w:val="20"/>
                <w:szCs w:val="20"/>
                <w:lang w:val="sr-Latn-RS"/>
              </w:rPr>
              <w:t>10</w:t>
            </w:r>
            <w:r w:rsidR="004D06A5" w:rsidRPr="00673430">
              <w:rPr>
                <w:sz w:val="20"/>
                <w:szCs w:val="20"/>
                <w:lang w:val="sr-Latn-RS"/>
              </w:rPr>
              <w:t>.1</w:t>
            </w:r>
            <w:r w:rsidR="0089123E" w:rsidRPr="00673430">
              <w:rPr>
                <w:sz w:val="20"/>
                <w:szCs w:val="20"/>
                <w:lang w:val="sr-Latn-RS"/>
              </w:rPr>
              <w:t>. P</w:t>
            </w:r>
            <w:r w:rsidRPr="00673430">
              <w:rPr>
                <w:sz w:val="20"/>
                <w:szCs w:val="20"/>
                <w:lang w:val="sr-Latn-RS"/>
              </w:rPr>
              <w:t>raćen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Pr="00673430">
              <w:rPr>
                <w:sz w:val="20"/>
                <w:szCs w:val="20"/>
                <w:lang w:val="sr-Latn-RS"/>
              </w:rPr>
              <w:t>e agende seminara.</w:t>
            </w:r>
          </w:p>
          <w:p w:rsidR="00542594" w:rsidRPr="00673430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 w:rsidR="004D06A5" w:rsidRPr="00673430">
              <w:rPr>
                <w:sz w:val="20"/>
                <w:szCs w:val="20"/>
                <w:lang w:val="sr-Latn-RS"/>
              </w:rPr>
              <w:t>A</w:t>
            </w:r>
            <w:r w:rsidR="00886BC8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4D06A5" w:rsidRPr="00673430">
              <w:rPr>
                <w:sz w:val="20"/>
                <w:szCs w:val="20"/>
                <w:lang w:val="sr-Latn-RS"/>
              </w:rPr>
              <w:t>2</w:t>
            </w:r>
            <w:r w:rsidRPr="00673430">
              <w:rPr>
                <w:sz w:val="20"/>
                <w:szCs w:val="20"/>
                <w:lang w:val="sr-Latn-RS"/>
              </w:rPr>
              <w:t>. Dodeljen</w:t>
            </w:r>
            <w:r w:rsidR="0089123E" w:rsidRPr="00673430">
              <w:rPr>
                <w:sz w:val="20"/>
                <w:szCs w:val="20"/>
                <w:lang w:val="sr-Latn-RS"/>
              </w:rPr>
              <w:t>vanje sertifikata</w:t>
            </w:r>
            <w:r w:rsidRPr="00673430">
              <w:rPr>
                <w:sz w:val="20"/>
                <w:szCs w:val="20"/>
                <w:lang w:val="sr-Latn-RS"/>
              </w:rPr>
              <w:t xml:space="preserve"> za učesnike seminara.</w:t>
            </w:r>
          </w:p>
          <w:p w:rsidR="00915C94" w:rsidRPr="00673430" w:rsidRDefault="00886BC8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A.</w:t>
            </w:r>
            <w:r w:rsidR="00673430" w:rsidRPr="00673430">
              <w:rPr>
                <w:sz w:val="20"/>
                <w:szCs w:val="20"/>
                <w:lang w:val="sr-Latn-RS"/>
              </w:rPr>
              <w:t>10</w:t>
            </w:r>
            <w:r w:rsidR="00915C94" w:rsidRPr="00673430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542594" w:rsidRPr="00673430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89123E" w:rsidRPr="00673430" w:rsidRDefault="00886BC8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 xml:space="preserve">. Organizovanje </w:t>
            </w:r>
            <w:r w:rsidR="00431A58" w:rsidRPr="00673430">
              <w:rPr>
                <w:sz w:val="20"/>
                <w:szCs w:val="20"/>
                <w:lang w:val="sr-Latn-RS"/>
              </w:rPr>
              <w:t xml:space="preserve">debatnih </w:t>
            </w:r>
            <w:r w:rsidR="0089123E" w:rsidRPr="00673430">
              <w:rPr>
                <w:sz w:val="20"/>
                <w:szCs w:val="20"/>
                <w:lang w:val="sr-Latn-RS"/>
              </w:rPr>
              <w:t xml:space="preserve">radionca </w:t>
            </w:r>
            <w:r w:rsidR="00431A58" w:rsidRPr="00673430">
              <w:rPr>
                <w:sz w:val="20"/>
                <w:szCs w:val="20"/>
                <w:lang w:val="sr-Latn-RS"/>
              </w:rPr>
              <w:t>o akt</w:t>
            </w:r>
            <w:r w:rsidR="0089123E" w:rsidRPr="00673430">
              <w:rPr>
                <w:sz w:val="20"/>
                <w:szCs w:val="20"/>
                <w:lang w:val="sr-Latn-RS"/>
              </w:rPr>
              <w:t>uelnim ekološkim pitanjima.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89123E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11</w:t>
            </w:r>
            <w:r w:rsidR="0089123E" w:rsidRPr="00673430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886BC8" w:rsidRPr="00673430" w:rsidRDefault="00886BC8" w:rsidP="00886BC8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radionice.</w:t>
            </w:r>
          </w:p>
          <w:p w:rsidR="0089123E" w:rsidRPr="00673430" w:rsidRDefault="0089123E" w:rsidP="00673430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:rsidR="00542594" w:rsidRPr="00673430" w:rsidRDefault="0089123E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Pr="00673430">
              <w:rPr>
                <w:sz w:val="20"/>
                <w:szCs w:val="20"/>
                <w:lang w:val="sr-Latn-RS"/>
              </w:rPr>
              <w:t>. Održavanje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debatne radionice o aktuelnim ekološim pitanjima.</w:t>
            </w:r>
          </w:p>
          <w:p w:rsidR="00915C94" w:rsidRPr="00673430" w:rsidRDefault="00542594" w:rsidP="00915C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</w:t>
            </w:r>
            <w:r w:rsidR="00915C94" w:rsidRPr="00673430">
              <w:rPr>
                <w:sz w:val="20"/>
                <w:szCs w:val="20"/>
                <w:lang w:val="sr-Latn-RS"/>
              </w:rPr>
              <w:t xml:space="preserve">         </w:t>
            </w: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886BC8" w:rsidRPr="00673430">
              <w:rPr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="00915C94" w:rsidRPr="00673430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915C94" w:rsidRPr="00673430" w:rsidRDefault="00886BC8" w:rsidP="00915C94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="00915C94" w:rsidRPr="00673430">
              <w:rPr>
                <w:sz w:val="20"/>
                <w:szCs w:val="20"/>
                <w:lang w:val="sr-Latn-RS"/>
              </w:rPr>
              <w:t>.2. Dodeljenvanje sertifikata za učesnike radionice.</w:t>
            </w:r>
          </w:p>
          <w:p w:rsidR="00542594" w:rsidRPr="00673430" w:rsidRDefault="00886BC8" w:rsidP="00915C94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A.</w:t>
            </w:r>
            <w:r w:rsidR="00673430" w:rsidRPr="00673430">
              <w:rPr>
                <w:sz w:val="20"/>
                <w:szCs w:val="20"/>
                <w:lang w:val="sr-Latn-RS"/>
              </w:rPr>
              <w:t>12</w:t>
            </w:r>
            <w:r w:rsidR="00915C94" w:rsidRPr="00673430">
              <w:rPr>
                <w:sz w:val="20"/>
                <w:szCs w:val="20"/>
                <w:lang w:val="sr-Latn-RS"/>
              </w:rPr>
              <w:t>.3.Anketiranje učesnika radionice.</w:t>
            </w:r>
            <w:r w:rsidR="00542594"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542594" w:rsidRPr="00673430" w:rsidRDefault="00542594" w:rsidP="00542594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542594" w:rsidRPr="00673430" w:rsidRDefault="00886BC8" w:rsidP="00542594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 Organizovan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 i sproved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en</w:t>
            </w:r>
            <w:r w:rsidR="0089123E"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 kampanje za povećanje ekološke svesti.</w:t>
            </w:r>
          </w:p>
          <w:p w:rsidR="00542594" w:rsidRPr="00673430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sz w:val="20"/>
                <w:szCs w:val="20"/>
                <w:lang w:val="sr-Latn-RS"/>
              </w:rPr>
              <w:t>P</w:t>
            </w:r>
            <w:r w:rsidR="00542594" w:rsidRPr="00673430">
              <w:rPr>
                <w:sz w:val="20"/>
                <w:szCs w:val="20"/>
                <w:lang w:val="sr-Latn-RS"/>
              </w:rPr>
              <w:t>laniran</w:t>
            </w:r>
            <w:r w:rsidRPr="00673430">
              <w:rPr>
                <w:sz w:val="20"/>
                <w:szCs w:val="20"/>
                <w:lang w:val="sr-Latn-RS"/>
              </w:rPr>
              <w:t>j</w:t>
            </w:r>
            <w:r w:rsidR="00542594" w:rsidRPr="00673430">
              <w:rPr>
                <w:sz w:val="20"/>
                <w:szCs w:val="20"/>
                <w:lang w:val="sr-Latn-RS"/>
              </w:rPr>
              <w:t>e kampanje.</w:t>
            </w:r>
          </w:p>
          <w:p w:rsidR="00542594" w:rsidRPr="00673430" w:rsidRDefault="0089123E" w:rsidP="00542594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lastRenderedPageBreak/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Pr="00673430">
              <w:rPr>
                <w:sz w:val="20"/>
                <w:szCs w:val="20"/>
                <w:lang w:val="sr-Latn-RS"/>
              </w:rPr>
              <w:t>2. Pripremanje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materijal</w:t>
            </w:r>
            <w:r w:rsidRPr="00673430">
              <w:rPr>
                <w:sz w:val="20"/>
                <w:szCs w:val="20"/>
                <w:lang w:val="sr-Latn-RS"/>
              </w:rPr>
              <w:t>a i resursa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</w:p>
          <w:p w:rsidR="00542594" w:rsidRPr="00673430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.3. Izv</w:t>
            </w:r>
            <w:r w:rsidRPr="00673430">
              <w:rPr>
                <w:sz w:val="20"/>
                <w:szCs w:val="20"/>
                <w:lang w:val="sr-Latn-RS"/>
              </w:rPr>
              <w:t>ođenje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673430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13</w:t>
            </w:r>
            <w:r w:rsidR="00542594" w:rsidRPr="00673430">
              <w:rPr>
                <w:sz w:val="20"/>
                <w:szCs w:val="20"/>
                <w:lang w:val="sr-Latn-RS"/>
              </w:rPr>
              <w:t>.4. Evalu</w:t>
            </w:r>
            <w:r w:rsidRPr="00673430">
              <w:rPr>
                <w:sz w:val="20"/>
                <w:szCs w:val="20"/>
                <w:lang w:val="sr-Latn-RS"/>
              </w:rPr>
              <w:t>acija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kampanje.</w:t>
            </w:r>
          </w:p>
          <w:p w:rsidR="00542594" w:rsidRPr="00673430" w:rsidRDefault="00542594" w:rsidP="00680991">
            <w:pPr>
              <w:rPr>
                <w:sz w:val="20"/>
                <w:szCs w:val="20"/>
                <w:lang w:val="sr-Latn-RS"/>
              </w:rPr>
            </w:pPr>
          </w:p>
          <w:p w:rsidR="00542594" w:rsidRPr="00673430" w:rsidRDefault="00673430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673430">
              <w:rPr>
                <w:sz w:val="20"/>
                <w:szCs w:val="20"/>
                <w:lang w:val="sr-Latn-RS"/>
              </w:rPr>
              <w:t>P</w:t>
            </w:r>
            <w:r w:rsidR="00542594" w:rsidRPr="00673430">
              <w:rPr>
                <w:sz w:val="20"/>
                <w:szCs w:val="20"/>
                <w:lang w:val="sr-Latn-RS"/>
              </w:rPr>
              <w:t>lan kvaliteta.</w:t>
            </w:r>
          </w:p>
          <w:p w:rsidR="00542594" w:rsidRPr="00673430" w:rsidRDefault="00886BC8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673430">
              <w:rPr>
                <w:sz w:val="20"/>
                <w:szCs w:val="20"/>
                <w:lang w:val="sr-Latn-RS"/>
              </w:rPr>
              <w:t>Izrada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plan</w:t>
            </w:r>
            <w:r w:rsidR="0089123E"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kvaliteta.</w:t>
            </w:r>
            <w:r w:rsidR="00680991"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673430">
              <w:rPr>
                <w:sz w:val="20"/>
                <w:szCs w:val="20"/>
                <w:lang w:val="sr-Latn-RS"/>
              </w:rPr>
              <w:t>Izvršavanje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in</w:t>
            </w:r>
            <w:r w:rsidR="0089123E" w:rsidRPr="00673430">
              <w:rPr>
                <w:sz w:val="20"/>
                <w:szCs w:val="20"/>
                <w:lang w:val="sr-Latn-RS"/>
              </w:rPr>
              <w:t>ter</w:t>
            </w:r>
            <w:r w:rsidRPr="00673430">
              <w:rPr>
                <w:sz w:val="20"/>
                <w:szCs w:val="20"/>
                <w:lang w:val="sr-Latn-RS"/>
              </w:rPr>
              <w:t>ne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673430" w:rsidRPr="00673430">
              <w:rPr>
                <w:sz w:val="20"/>
                <w:szCs w:val="20"/>
                <w:lang w:val="sr-Latn-RS"/>
              </w:rPr>
              <w:t>14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.3. </w:t>
            </w:r>
            <w:r w:rsidR="0089123E" w:rsidRPr="00673430">
              <w:rPr>
                <w:sz w:val="20"/>
                <w:szCs w:val="20"/>
                <w:lang w:val="sr-Latn-RS"/>
              </w:rPr>
              <w:t>Izvršavanje eksterne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evaluacija kvaliteta.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673430" w:rsidRDefault="00673430" w:rsidP="0089123E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A.15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89123E" w:rsidRPr="00673430">
              <w:rPr>
                <w:sz w:val="20"/>
                <w:szCs w:val="20"/>
                <w:lang w:val="sr-Latn-RS"/>
              </w:rPr>
              <w:t>R</w:t>
            </w:r>
            <w:r w:rsidR="00542594" w:rsidRPr="00673430">
              <w:rPr>
                <w:sz w:val="20"/>
                <w:szCs w:val="20"/>
                <w:lang w:val="sr-Latn-RS"/>
              </w:rPr>
              <w:t>eklamiranje putem kanala promocije.</w:t>
            </w:r>
          </w:p>
          <w:p w:rsidR="00542594" w:rsidRPr="00673430" w:rsidRDefault="00673430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A.15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89123E" w:rsidRPr="00673430">
              <w:rPr>
                <w:iCs/>
                <w:sz w:val="20"/>
                <w:szCs w:val="20"/>
                <w:lang w:val="sr-Latn-RS"/>
              </w:rPr>
              <w:t>Reklamiranje</w:t>
            </w:r>
            <w:r w:rsidR="00542594" w:rsidRPr="00673430">
              <w:rPr>
                <w:iCs/>
                <w:sz w:val="20"/>
                <w:szCs w:val="20"/>
                <w:lang w:val="sr-Latn-RS"/>
              </w:rPr>
              <w:t xml:space="preserve"> </w:t>
            </w:r>
            <w:r w:rsidR="0089123E" w:rsidRPr="00673430">
              <w:rPr>
                <w:iCs/>
                <w:sz w:val="20"/>
                <w:szCs w:val="20"/>
                <w:lang w:val="sr-Latn-RS"/>
              </w:rPr>
              <w:t>i delje</w:t>
            </w:r>
            <w:r w:rsidR="00542594" w:rsidRPr="00673430">
              <w:rPr>
                <w:iCs/>
                <w:sz w:val="20"/>
                <w:szCs w:val="20"/>
                <w:lang w:val="sr-Latn-RS"/>
              </w:rPr>
              <w:t>nje podataka putem medija.</w:t>
            </w:r>
          </w:p>
          <w:p w:rsidR="00542594" w:rsidRPr="00673430" w:rsidRDefault="00673430" w:rsidP="0089123E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A.15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.2. </w:t>
            </w:r>
            <w:r w:rsidR="0089123E" w:rsidRPr="00673430">
              <w:rPr>
                <w:iCs/>
                <w:sz w:val="20"/>
                <w:szCs w:val="20"/>
                <w:lang w:val="sr-Latn-RS"/>
              </w:rPr>
              <w:t>Promovisanje</w:t>
            </w:r>
            <w:r w:rsidR="00542594" w:rsidRPr="00673430">
              <w:rPr>
                <w:iCs/>
                <w:sz w:val="20"/>
                <w:szCs w:val="20"/>
                <w:lang w:val="sr-Latn-RS"/>
              </w:rPr>
              <w:t xml:space="preserve"> i deljenje podataka o projektu putem društvenih mreža.</w:t>
            </w:r>
          </w:p>
          <w:p w:rsidR="00542594" w:rsidRPr="00673430" w:rsidRDefault="0089123E" w:rsidP="0089123E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15</w:t>
            </w:r>
            <w:r w:rsidR="00680991" w:rsidRPr="00673430">
              <w:rPr>
                <w:sz w:val="20"/>
                <w:szCs w:val="20"/>
                <w:lang w:val="sr-Latn-RS"/>
              </w:rPr>
              <w:t>.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3. </w:t>
            </w:r>
            <w:r w:rsidRPr="00673430">
              <w:rPr>
                <w:sz w:val="20"/>
                <w:szCs w:val="20"/>
                <w:lang w:val="sr-Latn-RS"/>
              </w:rPr>
              <w:t>Promovisanje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putem internet reklama.</w:t>
            </w:r>
          </w:p>
          <w:p w:rsidR="00542594" w:rsidRPr="00673430" w:rsidRDefault="00542594" w:rsidP="00542594">
            <w:pPr>
              <w:rPr>
                <w:sz w:val="20"/>
                <w:szCs w:val="20"/>
                <w:lang w:val="sr-Latn-RS"/>
              </w:rPr>
            </w:pPr>
          </w:p>
          <w:p w:rsidR="00542594" w:rsidRPr="00673430" w:rsidRDefault="00673430" w:rsidP="0054259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A.16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89123E" w:rsidRPr="00673430">
              <w:rPr>
                <w:sz w:val="20"/>
                <w:szCs w:val="20"/>
                <w:lang w:val="sr-Latn-RS"/>
              </w:rPr>
              <w:t xml:space="preserve"> U</w:t>
            </w:r>
            <w:r w:rsidR="00542594" w:rsidRPr="00673430">
              <w:rPr>
                <w:sz w:val="20"/>
                <w:szCs w:val="20"/>
                <w:lang w:val="sr-Latn-RS"/>
              </w:rPr>
              <w:t>pravljanje projektom.</w:t>
            </w:r>
          </w:p>
          <w:p w:rsidR="00542594" w:rsidRPr="00673430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673430" w:rsidRPr="00673430">
              <w:rPr>
                <w:sz w:val="20"/>
                <w:szCs w:val="20"/>
                <w:lang w:val="sr-Latn-RS"/>
              </w:rPr>
              <w:t>.16</w:t>
            </w:r>
            <w:r w:rsidRPr="00673430">
              <w:rPr>
                <w:sz w:val="20"/>
                <w:szCs w:val="20"/>
                <w:lang w:val="sr-Latn-RS"/>
              </w:rPr>
              <w:t>.1. Održavanje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sastanak</w:t>
            </w: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 xml:space="preserve"> sa upravnim odborom.</w:t>
            </w:r>
          </w:p>
          <w:p w:rsidR="00542594" w:rsidRPr="00673430" w:rsidRDefault="0089123E" w:rsidP="00431A58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16</w:t>
            </w:r>
            <w:r w:rsidR="00431A58" w:rsidRPr="00673430">
              <w:rPr>
                <w:sz w:val="20"/>
                <w:szCs w:val="20"/>
                <w:lang w:val="sr-Latn-RS"/>
              </w:rPr>
              <w:t>.2. S</w:t>
            </w:r>
            <w:r w:rsidR="00542594" w:rsidRPr="00673430">
              <w:rPr>
                <w:sz w:val="20"/>
                <w:szCs w:val="20"/>
                <w:lang w:val="sr-Latn-RS"/>
              </w:rPr>
              <w:t>veukupno upravljanje projekotm.</w:t>
            </w:r>
          </w:p>
          <w:p w:rsidR="00542594" w:rsidRPr="00673430" w:rsidRDefault="0089123E" w:rsidP="00542594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542594" w:rsidRPr="00673430">
              <w:rPr>
                <w:sz w:val="20"/>
                <w:szCs w:val="20"/>
                <w:lang w:val="sr-Latn-RS"/>
              </w:rPr>
              <w:t>.</w:t>
            </w:r>
            <w:r w:rsidR="00673430" w:rsidRPr="00673430">
              <w:rPr>
                <w:sz w:val="20"/>
                <w:szCs w:val="20"/>
                <w:lang w:val="sr-Latn-RS"/>
              </w:rPr>
              <w:t>16</w:t>
            </w:r>
            <w:r w:rsidR="00431A58" w:rsidRPr="00673430">
              <w:rPr>
                <w:sz w:val="20"/>
                <w:szCs w:val="20"/>
                <w:lang w:val="sr-Latn-RS"/>
              </w:rPr>
              <w:t>.3. L</w:t>
            </w:r>
            <w:r w:rsidR="00542594" w:rsidRPr="00673430">
              <w:rPr>
                <w:sz w:val="20"/>
                <w:szCs w:val="20"/>
                <w:lang w:val="sr-Latn-RS"/>
              </w:rPr>
              <w:t>okalno upravljanje projektom.</w:t>
            </w:r>
          </w:p>
          <w:p w:rsidR="007E5772" w:rsidRPr="00673430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886BC8" w:rsidRPr="00673430" w:rsidRDefault="00673430" w:rsidP="00886B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 ciljnih grupa.</w:t>
            </w:r>
          </w:p>
          <w:p w:rsidR="00886BC8" w:rsidRPr="00673430" w:rsidRDefault="00673430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ispunjava elektronske ankete.</w:t>
            </w:r>
          </w:p>
          <w:p w:rsidR="00886BC8" w:rsidRPr="00673430" w:rsidRDefault="00673430" w:rsidP="00886BC8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886BC8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886BC8"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7E5772" w:rsidRPr="00673430" w:rsidRDefault="007E5772" w:rsidP="007E5772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E17703" w:rsidRPr="00673430" w:rsidRDefault="00E17703" w:rsidP="00673430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E17703" w:rsidRPr="00673430" w:rsidRDefault="00E17703" w:rsidP="00E17703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96D09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6C4A34" w:rsidRPr="00673430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717B2" w:rsidRPr="00673430" w:rsidRDefault="002717B2" w:rsidP="006C4A34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E17703" w:rsidRPr="00673430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C1237" w:rsidRPr="00673430" w:rsidRDefault="002C123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Obezbeđivanje potrebne tehnologije.</w:t>
            </w:r>
          </w:p>
          <w:p w:rsidR="006829A7" w:rsidRPr="00673430" w:rsidRDefault="006829A7" w:rsidP="002C1237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E17703" w:rsidRPr="006833E9" w:rsidRDefault="00E17703">
      <w:pPr>
        <w:rPr>
          <w:lang w:val="sr-Latn-RS"/>
        </w:rPr>
      </w:pPr>
    </w:p>
    <w:sectPr w:rsidR="00E17703" w:rsidRPr="006833E9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391" w:rsidRDefault="00F45391">
      <w:r>
        <w:separator/>
      </w:r>
    </w:p>
  </w:endnote>
  <w:endnote w:type="continuationSeparator" w:id="0">
    <w:p w:rsidR="00F45391" w:rsidRDefault="00F4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391" w:rsidRDefault="00F45391">
      <w:r>
        <w:separator/>
      </w:r>
    </w:p>
  </w:footnote>
  <w:footnote w:type="continuationSeparator" w:id="0">
    <w:p w:rsidR="00F45391" w:rsidRDefault="00F4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45F6203A"/>
    <w:multiLevelType w:val="multilevel"/>
    <w:tmpl w:val="004266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>
    <w:nsid w:val="67F02AC9"/>
    <w:multiLevelType w:val="multilevel"/>
    <w:tmpl w:val="2BD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52A6C"/>
    <w:rsid w:val="001721FB"/>
    <w:rsid w:val="0017385F"/>
    <w:rsid w:val="001908C2"/>
    <w:rsid w:val="001B0B2E"/>
    <w:rsid w:val="001B5118"/>
    <w:rsid w:val="001D1FC0"/>
    <w:rsid w:val="001D5D70"/>
    <w:rsid w:val="00220327"/>
    <w:rsid w:val="0027003F"/>
    <w:rsid w:val="002717B2"/>
    <w:rsid w:val="002806F6"/>
    <w:rsid w:val="00296D09"/>
    <w:rsid w:val="002A41D8"/>
    <w:rsid w:val="002B1B97"/>
    <w:rsid w:val="002C1237"/>
    <w:rsid w:val="002C3CD7"/>
    <w:rsid w:val="002C4754"/>
    <w:rsid w:val="002F2456"/>
    <w:rsid w:val="00335798"/>
    <w:rsid w:val="003508F8"/>
    <w:rsid w:val="00351D8E"/>
    <w:rsid w:val="00377795"/>
    <w:rsid w:val="00385661"/>
    <w:rsid w:val="003921B3"/>
    <w:rsid w:val="00395F42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70566"/>
    <w:rsid w:val="00673430"/>
    <w:rsid w:val="00680991"/>
    <w:rsid w:val="006829A7"/>
    <w:rsid w:val="006833E9"/>
    <w:rsid w:val="00687A18"/>
    <w:rsid w:val="006B2BE6"/>
    <w:rsid w:val="006B6AD8"/>
    <w:rsid w:val="006C4A34"/>
    <w:rsid w:val="006D0AE1"/>
    <w:rsid w:val="006D15FB"/>
    <w:rsid w:val="006E3897"/>
    <w:rsid w:val="006E76FE"/>
    <w:rsid w:val="00707A73"/>
    <w:rsid w:val="007201A4"/>
    <w:rsid w:val="00724C3A"/>
    <w:rsid w:val="00733DC5"/>
    <w:rsid w:val="007361DA"/>
    <w:rsid w:val="00752DA7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92255"/>
    <w:rsid w:val="00BA2892"/>
    <w:rsid w:val="00BB2660"/>
    <w:rsid w:val="00BB2DC7"/>
    <w:rsid w:val="00BD1315"/>
    <w:rsid w:val="00BE16ED"/>
    <w:rsid w:val="00BE747B"/>
    <w:rsid w:val="00BF1DF0"/>
    <w:rsid w:val="00C1131D"/>
    <w:rsid w:val="00C3305C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4F34"/>
    <w:rsid w:val="00D56243"/>
    <w:rsid w:val="00D61657"/>
    <w:rsid w:val="00D755F7"/>
    <w:rsid w:val="00D84D56"/>
    <w:rsid w:val="00DC1896"/>
    <w:rsid w:val="00DE3D22"/>
    <w:rsid w:val="00DF4088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45391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18</Pages>
  <Words>3835</Words>
  <Characters>21863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41</cp:revision>
  <cp:lastPrinted>2013-02-26T09:08:00Z</cp:lastPrinted>
  <dcterms:created xsi:type="dcterms:W3CDTF">2023-05-16T16:39:00Z</dcterms:created>
  <dcterms:modified xsi:type="dcterms:W3CDTF">2023-05-27T17:07:00Z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