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1D" w:rsidRPr="006829A7" w:rsidRDefault="00C1131D" w:rsidP="00C1131D">
      <w:pPr>
        <w:jc w:val="center"/>
        <w:rPr>
          <w:sz w:val="40"/>
          <w:szCs w:val="40"/>
          <w:lang w:val="sr-Latn-RS"/>
        </w:rPr>
      </w:pPr>
      <w:r w:rsidRPr="006829A7">
        <w:rPr>
          <w:sz w:val="40"/>
          <w:szCs w:val="40"/>
          <w:lang w:val="sr-Latn-RS"/>
        </w:rPr>
        <w:t>Državni Univerzitet u Novom Pazaru</w:t>
      </w:r>
    </w:p>
    <w:p w:rsidR="00C1131D" w:rsidRPr="006829A7" w:rsidRDefault="00C1131D" w:rsidP="00C1131D">
      <w:pPr>
        <w:jc w:val="center"/>
        <w:rPr>
          <w:sz w:val="48"/>
          <w:szCs w:val="48"/>
          <w:lang w:val="sr-Latn-RS"/>
        </w:rPr>
      </w:pPr>
    </w:p>
    <w:p w:rsidR="00C1131D" w:rsidRPr="006829A7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829A7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829A7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829A7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829A7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829A7" w:rsidRDefault="00C1131D" w:rsidP="00C1131D">
      <w:pPr>
        <w:rPr>
          <w:sz w:val="36"/>
          <w:szCs w:val="36"/>
          <w:lang w:val="sr-Latn-RS"/>
        </w:rPr>
      </w:pPr>
    </w:p>
    <w:p w:rsidR="00C1131D" w:rsidRPr="006829A7" w:rsidRDefault="00C1131D" w:rsidP="00C1131D">
      <w:pPr>
        <w:rPr>
          <w:sz w:val="36"/>
          <w:szCs w:val="36"/>
          <w:lang w:val="sr-Latn-RS"/>
        </w:rPr>
      </w:pPr>
    </w:p>
    <w:p w:rsidR="00C1131D" w:rsidRPr="006829A7" w:rsidRDefault="00C1131D" w:rsidP="00C1131D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6829A7">
        <w:rPr>
          <w:rFonts w:ascii="Times New Roman" w:eastAsia="SimSun" w:hAnsi="Times New Roman"/>
          <w:sz w:val="40"/>
          <w:szCs w:val="40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spacing w:line="276" w:lineRule="auto"/>
        <w:jc w:val="center"/>
        <w:rPr>
          <w:lang w:val="sr-Latn-RS"/>
        </w:rPr>
      </w:pPr>
      <w:r w:rsidRPr="006829A7">
        <w:rPr>
          <w:lang w:val="sr-Latn-RS"/>
        </w:rPr>
        <w:t>ChatGPTeam</w:t>
      </w:r>
    </w:p>
    <w:p w:rsidR="00C1131D" w:rsidRPr="006829A7" w:rsidRDefault="00C1131D" w:rsidP="00C1131D">
      <w:pPr>
        <w:spacing w:line="276" w:lineRule="auto"/>
        <w:jc w:val="center"/>
        <w:rPr>
          <w:lang w:val="sr-Latn-RS"/>
        </w:rPr>
      </w:pPr>
      <w:r w:rsidRPr="006829A7">
        <w:rPr>
          <w:lang w:val="sr-Latn-RS"/>
        </w:rPr>
        <w:t>Novi Pazar, 2023</w:t>
      </w: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rPr>
          <w:lang w:val="sr-Latn-RS" w:eastAsia="en-US"/>
        </w:rPr>
      </w:pPr>
    </w:p>
    <w:p w:rsidR="00C1131D" w:rsidRPr="006829A7" w:rsidRDefault="00C1131D" w:rsidP="00C1131D">
      <w:pPr>
        <w:pStyle w:val="Heading1"/>
        <w:rPr>
          <w:lang w:val="sr-Latn-RS"/>
        </w:rPr>
      </w:pPr>
      <w:bookmarkStart w:id="5" w:name="_Toc132292247"/>
      <w:bookmarkStart w:id="6" w:name="_Toc135151460"/>
      <w:r w:rsidRPr="006829A7">
        <w:rPr>
          <w:lang w:val="sr-Latn-RS"/>
        </w:rPr>
        <w:t>Doprinos učesnika grupe</w:t>
      </w:r>
      <w:bookmarkEnd w:id="5"/>
      <w:bookmarkEnd w:id="6"/>
    </w:p>
    <w:p w:rsidR="00C1131D" w:rsidRPr="006829A7" w:rsidRDefault="00C1131D" w:rsidP="00C1131D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C1131D" w:rsidRPr="006829A7" w:rsidTr="00C1131D">
        <w:trPr>
          <w:trHeight w:val="301"/>
        </w:trPr>
        <w:tc>
          <w:tcPr>
            <w:tcW w:w="9717" w:type="dxa"/>
          </w:tcPr>
          <w:p w:rsidR="00C1131D" w:rsidRPr="006829A7" w:rsidRDefault="00C1131D" w:rsidP="00D15269">
            <w:pPr>
              <w:rPr>
                <w:b/>
                <w:lang w:val="sr-Latn-RS"/>
              </w:rPr>
            </w:pPr>
            <w:r w:rsidRPr="006829A7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C1131D" w:rsidRPr="006829A7" w:rsidRDefault="00C1131D" w:rsidP="00D15269">
            <w:pPr>
              <w:rPr>
                <w:b/>
                <w:lang w:val="sr-Latn-RS"/>
              </w:rPr>
            </w:pPr>
            <w:r w:rsidRPr="006829A7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C1131D" w:rsidRPr="006829A7" w:rsidRDefault="00C1131D" w:rsidP="00D15269">
            <w:pPr>
              <w:rPr>
                <w:b/>
                <w:lang w:val="sr-Latn-RS"/>
              </w:rPr>
            </w:pPr>
            <w:r w:rsidRPr="006829A7">
              <w:rPr>
                <w:b/>
                <w:lang w:val="sr-Latn-RS"/>
              </w:rPr>
              <w:t>Verzija</w:t>
            </w:r>
          </w:p>
        </w:tc>
      </w:tr>
      <w:tr w:rsidR="00C1131D" w:rsidRPr="006829A7" w:rsidTr="00C1131D">
        <w:trPr>
          <w:trHeight w:val="602"/>
        </w:trPr>
        <w:tc>
          <w:tcPr>
            <w:tcW w:w="9717" w:type="dxa"/>
          </w:tcPr>
          <w:p w:rsidR="00C1131D" w:rsidRPr="006829A7" w:rsidRDefault="005234C2" w:rsidP="005234C2">
            <w:pPr>
              <w:rPr>
                <w:lang w:val="sr-Latn-RS"/>
              </w:rPr>
            </w:pPr>
            <w:r w:rsidRPr="006829A7">
              <w:rPr>
                <w:lang w:val="sr-Latn-RS"/>
              </w:rPr>
              <w:t xml:space="preserve">Emir Mujezinović , </w:t>
            </w:r>
            <w:r w:rsidR="00C1131D" w:rsidRPr="006829A7">
              <w:rPr>
                <w:lang w:val="sr-Latn-RS"/>
              </w:rPr>
              <w:t>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  <w:r w:rsidRPr="006829A7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  <w:r w:rsidRPr="006829A7">
              <w:rPr>
                <w:lang w:val="sr-Latn-RS"/>
              </w:rPr>
              <w:t>1.0</w:t>
            </w:r>
          </w:p>
        </w:tc>
      </w:tr>
      <w:tr w:rsidR="00C1131D" w:rsidRPr="006829A7" w:rsidTr="00C1131D">
        <w:trPr>
          <w:trHeight w:val="345"/>
        </w:trPr>
        <w:tc>
          <w:tcPr>
            <w:tcW w:w="9717" w:type="dxa"/>
          </w:tcPr>
          <w:p w:rsidR="00C1131D" w:rsidRPr="006829A7" w:rsidRDefault="006829A7" w:rsidP="00D15269">
            <w:pPr>
              <w:rPr>
                <w:lang w:val="sr-Latn-RS"/>
              </w:rPr>
            </w:pPr>
            <w:r w:rsidRPr="006829A7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829A7" w:rsidRDefault="006829A7" w:rsidP="00D15269">
            <w:pPr>
              <w:rPr>
                <w:lang w:val="sr-Latn-RS"/>
              </w:rPr>
            </w:pPr>
            <w:r w:rsidRPr="006829A7">
              <w:rPr>
                <w:lang w:val="sr-Latn-RS"/>
              </w:rPr>
              <w:t>21.5.2023</w:t>
            </w:r>
          </w:p>
        </w:tc>
        <w:tc>
          <w:tcPr>
            <w:tcW w:w="2347" w:type="dxa"/>
          </w:tcPr>
          <w:p w:rsidR="00C1131D" w:rsidRPr="006829A7" w:rsidRDefault="006829A7" w:rsidP="00D15269">
            <w:pPr>
              <w:rPr>
                <w:lang w:val="sr-Latn-RS"/>
              </w:rPr>
            </w:pPr>
            <w:r w:rsidRPr="006829A7">
              <w:rPr>
                <w:lang w:val="sr-Latn-RS"/>
              </w:rPr>
              <w:t>2.0</w:t>
            </w:r>
          </w:p>
        </w:tc>
      </w:tr>
      <w:tr w:rsidR="00C1131D" w:rsidRPr="006829A7" w:rsidTr="00C1131D">
        <w:trPr>
          <w:trHeight w:val="255"/>
        </w:trPr>
        <w:tc>
          <w:tcPr>
            <w:tcW w:w="971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</w:tr>
      <w:tr w:rsidR="00C1131D" w:rsidRPr="006829A7" w:rsidTr="00C1131D">
        <w:trPr>
          <w:trHeight w:val="301"/>
        </w:trPr>
        <w:tc>
          <w:tcPr>
            <w:tcW w:w="971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</w:tr>
      <w:tr w:rsidR="00C1131D" w:rsidRPr="006829A7" w:rsidTr="00C1131D">
        <w:trPr>
          <w:trHeight w:val="317"/>
        </w:trPr>
        <w:tc>
          <w:tcPr>
            <w:tcW w:w="971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6829A7" w:rsidRDefault="00C1131D" w:rsidP="00D15269">
            <w:pPr>
              <w:rPr>
                <w:lang w:val="sr-Latn-RS"/>
              </w:rPr>
            </w:pPr>
          </w:p>
        </w:tc>
      </w:tr>
    </w:tbl>
    <w:p w:rsidR="00C1131D" w:rsidRPr="006829A7" w:rsidRDefault="00C1131D" w:rsidP="002A41D8">
      <w:pPr>
        <w:rPr>
          <w:lang w:val="sr-Latn-RS"/>
        </w:rPr>
      </w:pPr>
      <w:r w:rsidRPr="006829A7">
        <w:rPr>
          <w:lang w:val="sr-Latn-RS"/>
        </w:rPr>
        <w:br w:type="page"/>
      </w:r>
    </w:p>
    <w:p w:rsidR="00C1131D" w:rsidRPr="006829A7" w:rsidRDefault="00C1131D">
      <w:pPr>
        <w:rPr>
          <w:b/>
          <w:color w:val="000000"/>
          <w:lang w:val="sr-Latn-RS"/>
        </w:rPr>
      </w:pPr>
    </w:p>
    <w:p w:rsidR="00E17703" w:rsidRPr="006829A7" w:rsidRDefault="00424E41" w:rsidP="00E17703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6829A7">
        <w:rPr>
          <w:b/>
          <w:color w:val="000000"/>
          <w:lang w:val="sr-Latn-RS"/>
        </w:rPr>
        <w:t>3+</w:t>
      </w:r>
      <w:r w:rsidR="00E17703" w:rsidRPr="006829A7">
        <w:rPr>
          <w:b/>
          <w:color w:val="000000"/>
          <w:lang w:val="sr-Latn-RS"/>
        </w:rPr>
        <w:t>3. LOGICAL FRAMEWORK MATRIX – LFM</w:t>
      </w:r>
    </w:p>
    <w:p w:rsidR="00E17703" w:rsidRPr="006829A7" w:rsidRDefault="00E17703" w:rsidP="00E17703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6829A7">
        <w:trPr>
          <w:trHeight w:val="1217"/>
        </w:trPr>
        <w:tc>
          <w:tcPr>
            <w:tcW w:w="3685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829A7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E17703" w:rsidRPr="006829A7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829A7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E17703" w:rsidRPr="006829A7" w:rsidRDefault="001B5118" w:rsidP="00351D8E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 w:rsidRPr="006829A7">
              <w:rPr>
                <w:bCs/>
                <w:color w:val="000000"/>
                <w:szCs w:val="24"/>
                <w:lang w:val="sr-Latn-RS" w:eastAsia="en-GB"/>
              </w:rPr>
              <w:t>Podstaknuti mlade da organizuju i učestvuju u građanskim inicijativama; istovremeno stvarajući zajednicu koja doprinosi održivom razvoju i unapređenju uslova života u urbanim područjima, putem podsticanja inovacija u oblikovanju i sprovođenju obrazovnih programa, oblika poučavanja, okruženja za učenje i/ili razvoja novih veština</w:t>
            </w:r>
            <w:r w:rsidR="00351D8E" w:rsidRPr="006829A7">
              <w:rPr>
                <w:bCs/>
                <w:color w:val="000000"/>
                <w:szCs w:val="24"/>
                <w:lang w:val="sr-Latn-RS" w:eastAsia="en-GB"/>
              </w:rPr>
              <w:t>.</w:t>
            </w:r>
          </w:p>
          <w:p w:rsidR="00351D8E" w:rsidRPr="006829A7" w:rsidRDefault="00351D8E" w:rsidP="00351D8E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E17703" w:rsidRPr="006829A7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6829A7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6829A7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829A7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1B5118" w:rsidRPr="006829A7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 xml:space="preserve">Za </w:t>
            </w:r>
            <w:r w:rsidR="00351D8E" w:rsidRPr="006829A7">
              <w:rPr>
                <w:noProof/>
                <w:sz w:val="20"/>
                <w:szCs w:val="20"/>
                <w:lang w:val="sr-Latn-RS"/>
              </w:rPr>
              <w:t>6</w:t>
            </w:r>
            <w:r w:rsidRPr="006829A7">
              <w:rPr>
                <w:noProof/>
                <w:sz w:val="20"/>
                <w:szCs w:val="20"/>
                <w:lang w:val="sr-Latn-RS"/>
              </w:rPr>
              <w:t>0% ojačana svest o očuvanju životne sredine i tekučih voda.</w:t>
            </w:r>
          </w:p>
          <w:p w:rsidR="001B5118" w:rsidRPr="006829A7" w:rsidRDefault="001B5118" w:rsidP="001B5118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6829A7" w:rsidRDefault="001B5118" w:rsidP="00351D8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 xml:space="preserve"> </w:t>
            </w:r>
            <w:r w:rsidR="00351D8E" w:rsidRPr="006829A7">
              <w:rPr>
                <w:noProof/>
                <w:sz w:val="20"/>
                <w:szCs w:val="20"/>
                <w:lang w:val="sr-Latn-RS"/>
              </w:rPr>
              <w:t>Povećana uključenost osoba u dobi od 16-30 godina u ekološkim projektima za 30%.</w:t>
            </w:r>
          </w:p>
          <w:p w:rsidR="001B5118" w:rsidRPr="006829A7" w:rsidRDefault="001B5118" w:rsidP="001B5118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6829A7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351D8E" w:rsidRPr="006829A7" w:rsidRDefault="00351D8E" w:rsidP="00351D8E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908C2" w:rsidRPr="006829A7" w:rsidRDefault="001908C2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351D8E" w:rsidRPr="006829A7" w:rsidRDefault="00351D8E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C769B1" w:rsidRPr="006829A7" w:rsidRDefault="00C769B1" w:rsidP="001908C2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829A7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6829A7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6829A7" w:rsidRDefault="00E17703" w:rsidP="00E1770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6829A7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8C5B76" w:rsidRPr="006829A7" w:rsidRDefault="00351D8E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351D8E" w:rsidRPr="006829A7" w:rsidRDefault="00C87A42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6829A7">
              <w:rPr>
                <w:color w:val="333333"/>
                <w:sz w:val="20"/>
                <w:szCs w:val="20"/>
                <w:lang w:val="sr-Latn-RS"/>
              </w:rPr>
              <w:t>Evropski nacionalni statistički institute.</w:t>
            </w:r>
          </w:p>
          <w:p w:rsidR="009811AE" w:rsidRPr="006829A7" w:rsidRDefault="009811AE" w:rsidP="008C5B76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E17703" w:rsidRPr="006829A7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E17703" w:rsidRPr="006829A7">
        <w:trPr>
          <w:trHeight w:val="1218"/>
        </w:trPr>
        <w:tc>
          <w:tcPr>
            <w:tcW w:w="3685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829A7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E17703" w:rsidRPr="006829A7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829A7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BE747B" w:rsidRPr="006829A7" w:rsidRDefault="00BE747B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A9319A" w:rsidRPr="006829A7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829A7">
              <w:rPr>
                <w:lang w:val="sr-Latn-RS"/>
              </w:rPr>
              <w:t>Podstaknuti mlade da organizuju i učestvuju u građanskim inicijativama i promovisanju vrednosti Evropske unije i njene kulture, kako bi postali aktivni evropski građani.</w:t>
            </w:r>
            <w:r w:rsidRPr="006829A7">
              <w:rPr>
                <w:rStyle w:val="FootnoteReference"/>
                <w:lang w:val="sr-Latn-RS"/>
              </w:rPr>
              <w:t xml:space="preserve"> </w:t>
            </w:r>
          </w:p>
          <w:p w:rsidR="00A9319A" w:rsidRPr="006829A7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829A7">
              <w:rPr>
                <w:lang w:val="sr-Latn-RS"/>
              </w:rPr>
              <w:t>Stvaranje zajednice koji će doprineti održiv</w:t>
            </w:r>
            <w:bookmarkStart w:id="7" w:name="_GoBack"/>
            <w:bookmarkEnd w:id="7"/>
            <w:r w:rsidRPr="006829A7">
              <w:rPr>
                <w:lang w:val="sr-Latn-RS"/>
              </w:rPr>
              <w:t>om razvoju i unapređenju uslovima života u urbanim područjima.</w:t>
            </w:r>
            <w:r w:rsidRPr="006829A7">
              <w:rPr>
                <w:rStyle w:val="FootnoteReference"/>
                <w:lang w:val="sr-Latn-RS"/>
              </w:rPr>
              <w:t xml:space="preserve"> </w:t>
            </w:r>
          </w:p>
          <w:p w:rsidR="00A9319A" w:rsidRPr="006829A7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829A7">
              <w:rPr>
                <w:lang w:val="sr-Latn-RS"/>
              </w:rPr>
              <w:t>Podsticanje inovacija u pogledu oblikovanja i sprovođenja obrazovnih programa, oblika poučavanja, okruženja za učenje i/ili razvoja novih veština.</w:t>
            </w:r>
          </w:p>
          <w:p w:rsidR="004B36B2" w:rsidRPr="006829A7" w:rsidRDefault="004B36B2" w:rsidP="00A9319A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E17703" w:rsidRPr="006829A7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6829A7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6829A7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829A7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A9319A" w:rsidRPr="006829A7" w:rsidRDefault="00A9319A" w:rsidP="00E17703">
            <w:pPr>
              <w:rPr>
                <w:i/>
                <w:iCs/>
                <w:sz w:val="16"/>
                <w:lang w:val="sr-Latn-RS"/>
              </w:rPr>
            </w:pPr>
          </w:p>
          <w:p w:rsidR="002C3CD7" w:rsidRPr="006829A7" w:rsidRDefault="002C3CD7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829A7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D61657" w:rsidRPr="006829A7" w:rsidRDefault="00D61657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829A7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E17703" w:rsidRPr="006829A7" w:rsidRDefault="00062B40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829A7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062B40" w:rsidRPr="006829A7" w:rsidRDefault="00062B40" w:rsidP="00D61657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829A7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829A7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A9319A" w:rsidRPr="006829A7" w:rsidRDefault="00A9319A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062B40" w:rsidRPr="006829A7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829A7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E17703" w:rsidRPr="006829A7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829A7">
              <w:rPr>
                <w:iCs/>
                <w:color w:val="000000"/>
                <w:sz w:val="20"/>
                <w:lang w:val="sr-Latn-RS"/>
              </w:rPr>
              <w:t>Procena uticaja okruženja za učenje na kval</w:t>
            </w:r>
            <w:r w:rsidR="002C1237" w:rsidRPr="006829A7">
              <w:rPr>
                <w:iCs/>
                <w:color w:val="000000"/>
                <w:sz w:val="20"/>
                <w:lang w:val="sr-Latn-RS"/>
              </w:rPr>
              <w:t>itet života u urbanim područjima.</w:t>
            </w:r>
          </w:p>
          <w:p w:rsidR="002C1237" w:rsidRPr="006829A7" w:rsidRDefault="002C1237" w:rsidP="002C123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829A7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</w:p>
        </w:tc>
        <w:tc>
          <w:tcPr>
            <w:tcW w:w="3686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829A7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6829A7" w:rsidRDefault="00E17703" w:rsidP="00E17703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6829A7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6829A7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7C1C61" w:rsidRPr="006829A7" w:rsidRDefault="007C1C61" w:rsidP="007C1C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C1237" w:rsidRPr="006829A7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6829A7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E17703" w:rsidRPr="006829A7" w:rsidRDefault="00E17703" w:rsidP="002C1237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E17703" w:rsidRPr="006829A7">
        <w:trPr>
          <w:trHeight w:val="2814"/>
        </w:trPr>
        <w:tc>
          <w:tcPr>
            <w:tcW w:w="3685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829A7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E17703" w:rsidRPr="006829A7" w:rsidRDefault="00E17703" w:rsidP="00E17703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6829A7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</w:t>
            </w:r>
            <w:r w:rsidR="006203EF" w:rsidRPr="006829A7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DELIVERABLES - </w:t>
            </w:r>
            <w:r w:rsidRPr="006829A7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outputs/outcomes </w:t>
            </w:r>
            <w:r w:rsidR="006203EF" w:rsidRPr="006829A7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829A7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6203EF" w:rsidRPr="006829A7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829A7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6829A7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E17703" w:rsidRPr="006829A7" w:rsidRDefault="00E17703" w:rsidP="00D61657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D61657" w:rsidRPr="006829A7" w:rsidRDefault="00D61657" w:rsidP="00D6165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R.1. Provedena je analiza trenutnih kapaciteta partnerskih organizacija.</w:t>
            </w:r>
          </w:p>
          <w:p w:rsidR="00D61657" w:rsidRPr="006829A7" w:rsidRDefault="00D15269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R.1.1. Provedeni su intervjui</w:t>
            </w:r>
            <w:r w:rsidR="00D61657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s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D61657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članovima partnerskih organizacija o njihovim organizacijskim kapacitetima.</w:t>
            </w:r>
          </w:p>
          <w:p w:rsidR="00D61657" w:rsidRPr="006829A7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R.1.2. Ispunjena je anketa o iskustvima i primjenjivim praksama partnerskih organizacija.</w:t>
            </w:r>
          </w:p>
          <w:p w:rsidR="00D61657" w:rsidRPr="006829A7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R.1.3. Sastavljen je izvještaj o trenutnom stanju kapaciteta partnerskih organizacija.</w:t>
            </w:r>
          </w:p>
          <w:p w:rsidR="00D61657" w:rsidRPr="006829A7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6829A7" w:rsidRDefault="00D61657" w:rsidP="00D61657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R.2. Provedena je analiza pristupa infrastrukturi u zemlji domaćina.</w:t>
            </w:r>
          </w:p>
          <w:p w:rsidR="00D61657" w:rsidRPr="006829A7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R.2.1. Analizirano je trenutno stanje pristupa infrastrukturi.</w:t>
            </w:r>
          </w:p>
          <w:p w:rsidR="00D61657" w:rsidRPr="006829A7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R.2.2. Ispunjene su ankete o iskustvima partnera i njihovom pristupu prostorijama za izvodjenje nastave.</w:t>
            </w:r>
          </w:p>
          <w:p w:rsidR="00D61657" w:rsidRPr="006829A7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R.2.3. Sastavljeni su izvještaji o analiziranom stanju infrastructure partnera.</w:t>
            </w:r>
          </w:p>
          <w:p w:rsidR="000A3BA9" w:rsidRPr="006829A7" w:rsidRDefault="000A3BA9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6829A7" w:rsidRDefault="00D61657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R.3. Razvijeno softversko rešenje za prijavljivanje i uvid u radionice</w:t>
            </w:r>
            <w:r w:rsidR="00542594" w:rsidRPr="006829A7">
              <w:rPr>
                <w:bCs/>
                <w:sz w:val="20"/>
                <w:szCs w:val="20"/>
                <w:lang w:val="sr-Latn-RS"/>
              </w:rPr>
              <w:t xml:space="preserve"> i seminare</w:t>
            </w:r>
            <w:r w:rsidRPr="006829A7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R.3.1. Definisan opšti cilj projekta.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R.3.2. Definisan plan realizacije projekta.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R.3.3. Definisan raspored aktivnosti.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R.3.4. Definisana vizija sistema.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R.3.5. Definisana specifikacija zahteva.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R.3.6. Odrađen detaljni arhitekturni projekat.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R.3.7. Definisan plan testiranja.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R.3.8. Odrađen test specifikacija.</w:t>
            </w:r>
          </w:p>
          <w:p w:rsidR="00D61657" w:rsidRPr="006829A7" w:rsidRDefault="00D61657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R.3.9. Formirano korisničko uputstvo.</w:t>
            </w:r>
          </w:p>
          <w:p w:rsidR="000A3BA9" w:rsidRPr="006829A7" w:rsidRDefault="000A3BA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BA2892" w:rsidRPr="006829A7" w:rsidRDefault="00BA2892" w:rsidP="000A3B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R.4. Odlazak u partnerske države radi treninga osoblja.</w:t>
            </w:r>
          </w:p>
          <w:p w:rsidR="00BA2892" w:rsidRPr="006829A7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R.4.1. Identifikacija potrebnih treninga i kompetencija osoblja.</w:t>
            </w:r>
          </w:p>
          <w:p w:rsidR="00BA2892" w:rsidRPr="006829A7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R.4.2. Organizacija putovanja i logistika za odlazak osoblja.</w:t>
            </w:r>
          </w:p>
          <w:p w:rsidR="00BA2892" w:rsidRPr="006829A7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R.4.3. Izvršenje treninga i obuka osoblja.</w:t>
            </w:r>
          </w:p>
          <w:p w:rsidR="00BA2892" w:rsidRPr="006829A7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R.4.4. Praćenje i evaluacija provedenih treninga.</w:t>
            </w:r>
          </w:p>
          <w:p w:rsidR="00D61657" w:rsidRPr="006829A7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R.4.5. Sastavljanje izvještaja o rezultatima treninga i njihovoj primjenjivosti.</w:t>
            </w:r>
          </w:p>
          <w:p w:rsidR="00BA2892" w:rsidRPr="006829A7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R.4.6. Organizacija povratnog putovanja i logistika za povratak osoblja.</w:t>
            </w:r>
          </w:p>
          <w:p w:rsidR="000A3BA9" w:rsidRPr="006829A7" w:rsidRDefault="000A3BA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31A58" w:rsidRPr="006829A7" w:rsidRDefault="00431A58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R.5. Organizovani seminari radi promocije ekološke održivosti i važnosti očuvanja životne sredine, kao i o organizaciji inicijativa.</w:t>
            </w:r>
          </w:p>
          <w:p w:rsidR="00431A58" w:rsidRPr="006829A7" w:rsidRDefault="006829A7" w:rsidP="006829A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 xml:space="preserve"> </w:t>
            </w:r>
            <w:r w:rsidR="00431A58" w:rsidRPr="006829A7">
              <w:rPr>
                <w:bCs/>
                <w:sz w:val="20"/>
                <w:szCs w:val="20"/>
                <w:lang w:val="sr-Latn-RS"/>
              </w:rPr>
              <w:t>R.5.1. Angažovani stručni govornici.</w:t>
            </w:r>
          </w:p>
          <w:p w:rsidR="00431A58" w:rsidRPr="006829A7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431A58" w:rsidRPr="006829A7">
              <w:rPr>
                <w:bCs/>
                <w:sz w:val="20"/>
                <w:szCs w:val="20"/>
                <w:lang w:val="sr-Latn-RS"/>
              </w:rPr>
              <w:t>R.5.2. Organizovan prevoz i smeštaj za učesnike i govornike.</w:t>
            </w:r>
          </w:p>
          <w:p w:rsidR="00431A58" w:rsidRPr="006829A7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431A58" w:rsidRPr="006829A7">
              <w:rPr>
                <w:bCs/>
                <w:sz w:val="20"/>
                <w:szCs w:val="20"/>
                <w:lang w:val="sr-Latn-RS"/>
              </w:rPr>
              <w:t>R.5.3. Obezbeđeni prevodioci .</w:t>
            </w:r>
          </w:p>
          <w:p w:rsidR="00431A58" w:rsidRPr="006829A7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431A58" w:rsidRPr="006829A7">
              <w:rPr>
                <w:bCs/>
                <w:sz w:val="20"/>
                <w:szCs w:val="20"/>
                <w:lang w:val="sr-Latn-RS"/>
              </w:rPr>
              <w:t>R.5.4. Kreirane agende seminara.</w:t>
            </w:r>
          </w:p>
          <w:p w:rsidR="00431A58" w:rsidRPr="006829A7" w:rsidRDefault="00431A58" w:rsidP="00431A58">
            <w:pPr>
              <w:rPr>
                <w:b/>
                <w:sz w:val="20"/>
                <w:szCs w:val="20"/>
                <w:lang w:val="sr-Latn-RS"/>
              </w:rPr>
            </w:pPr>
          </w:p>
          <w:p w:rsidR="000A3BA9" w:rsidRPr="006829A7" w:rsidRDefault="00431A58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R.6</w:t>
            </w:r>
            <w:r w:rsidR="000A3BA9" w:rsidRPr="006829A7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0A3BA9" w:rsidRPr="006829A7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829A7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829A7">
              <w:rPr>
                <w:sz w:val="20"/>
                <w:szCs w:val="20"/>
                <w:lang w:val="sr-Latn-RS"/>
              </w:rPr>
              <w:t xml:space="preserve">       </w:t>
            </w:r>
            <w:r w:rsidR="00431A58" w:rsidRPr="006829A7">
              <w:rPr>
                <w:sz w:val="20"/>
                <w:szCs w:val="20"/>
                <w:lang w:val="sr-Latn-RS"/>
              </w:rPr>
              <w:t>R.6.1</w:t>
            </w:r>
            <w:r w:rsidR="000A3BA9" w:rsidRPr="006829A7">
              <w:rPr>
                <w:sz w:val="20"/>
                <w:szCs w:val="20"/>
                <w:lang w:val="sr-Latn-RS"/>
              </w:rPr>
              <w:t>. Ispraćene agende seminara.</w:t>
            </w:r>
          </w:p>
          <w:p w:rsidR="000A3BA9" w:rsidRPr="006829A7" w:rsidRDefault="006829A7" w:rsidP="000A3BA9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</w:t>
            </w:r>
            <w:r w:rsidR="00431A58" w:rsidRPr="006829A7">
              <w:rPr>
                <w:sz w:val="20"/>
                <w:szCs w:val="20"/>
                <w:lang w:val="sr-Latn-RS"/>
              </w:rPr>
              <w:t>R.6</w:t>
            </w:r>
            <w:r w:rsidR="000A3BA9" w:rsidRPr="006829A7">
              <w:rPr>
                <w:sz w:val="20"/>
                <w:szCs w:val="20"/>
                <w:lang w:val="sr-Latn-RS"/>
              </w:rPr>
              <w:t>.</w:t>
            </w:r>
            <w:r w:rsidR="00431A58" w:rsidRPr="006829A7">
              <w:rPr>
                <w:sz w:val="20"/>
                <w:szCs w:val="20"/>
                <w:lang w:val="sr-Latn-RS"/>
              </w:rPr>
              <w:t>2</w:t>
            </w:r>
            <w:r w:rsidR="000A3BA9" w:rsidRPr="006829A7">
              <w:rPr>
                <w:sz w:val="20"/>
                <w:szCs w:val="20"/>
                <w:lang w:val="sr-Latn-RS"/>
              </w:rPr>
              <w:t>. Dodeljeni sertifikati za učesnike seminara.</w:t>
            </w:r>
          </w:p>
          <w:p w:rsidR="00915C94" w:rsidRPr="006829A7" w:rsidRDefault="00915C94" w:rsidP="000A3BA9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R.6.3.Anketirani učesnici seminara.</w:t>
            </w:r>
          </w:p>
          <w:p w:rsidR="0000315A" w:rsidRPr="006829A7" w:rsidRDefault="0000315A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R.6.4.Napisan je izveštaj rezultata ankete.</w:t>
            </w:r>
          </w:p>
          <w:p w:rsidR="00431A58" w:rsidRPr="006829A7" w:rsidRDefault="00431A58" w:rsidP="000A3BA9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431A58" w:rsidRPr="006829A7" w:rsidRDefault="00431A58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R.7. Organizovane debatne radionice o aktuelnim ekološkim pitanjima.</w:t>
            </w:r>
          </w:p>
          <w:p w:rsidR="00431A58" w:rsidRPr="006829A7" w:rsidRDefault="00431A58" w:rsidP="00431A5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R.7.1. Angažovani stručni govornici i moderatori.</w:t>
            </w:r>
          </w:p>
          <w:p w:rsidR="00431A58" w:rsidRPr="006829A7" w:rsidRDefault="00431A58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R.7.2. Organizovan prevoz i smeštaj za učesnike i moderatore.</w:t>
            </w:r>
          </w:p>
          <w:p w:rsidR="00431A58" w:rsidRPr="006829A7" w:rsidRDefault="00431A58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R.7.3. Obezbeđeni prevodioci .</w:t>
            </w:r>
          </w:p>
          <w:p w:rsidR="00431A58" w:rsidRPr="006829A7" w:rsidRDefault="00431A58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R.7.4. Kreirane agende radonice.</w:t>
            </w:r>
          </w:p>
          <w:p w:rsidR="000A3BA9" w:rsidRPr="006829A7" w:rsidRDefault="000A3BA9" w:rsidP="00431A58">
            <w:pPr>
              <w:rPr>
                <w:sz w:val="20"/>
                <w:szCs w:val="20"/>
                <w:lang w:val="sr-Latn-RS"/>
              </w:rPr>
            </w:pPr>
          </w:p>
          <w:p w:rsidR="000A3BA9" w:rsidRPr="006829A7" w:rsidRDefault="000A3BA9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</w:t>
            </w:r>
            <w:r w:rsidR="00431A58" w:rsidRPr="006829A7">
              <w:rPr>
                <w:sz w:val="20"/>
                <w:szCs w:val="20"/>
                <w:lang w:val="sr-Latn-RS"/>
              </w:rPr>
              <w:t>8</w:t>
            </w:r>
            <w:r w:rsidRPr="006829A7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542594" w:rsidRPr="006829A7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829A7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829A7">
              <w:rPr>
                <w:sz w:val="20"/>
                <w:szCs w:val="20"/>
                <w:lang w:val="sr-Latn-RS"/>
              </w:rPr>
              <w:t xml:space="preserve">       </w:t>
            </w:r>
            <w:r w:rsidR="00431A58" w:rsidRPr="006829A7">
              <w:rPr>
                <w:sz w:val="20"/>
                <w:szCs w:val="20"/>
                <w:lang w:val="sr-Latn-RS"/>
              </w:rPr>
              <w:t xml:space="preserve">  R.8.1</w:t>
            </w:r>
            <w:r w:rsidRPr="006829A7">
              <w:rPr>
                <w:sz w:val="20"/>
                <w:szCs w:val="20"/>
                <w:lang w:val="sr-Latn-RS"/>
              </w:rPr>
              <w:t>. Ispraćene agende radionica.</w:t>
            </w:r>
          </w:p>
          <w:p w:rsidR="00542594" w:rsidRPr="006829A7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</w:t>
            </w:r>
            <w:r w:rsidR="00431A58" w:rsidRPr="006829A7">
              <w:rPr>
                <w:sz w:val="20"/>
                <w:szCs w:val="20"/>
                <w:lang w:val="sr-Latn-RS"/>
              </w:rPr>
              <w:t>R.8</w:t>
            </w:r>
            <w:r w:rsidRPr="006829A7">
              <w:rPr>
                <w:sz w:val="20"/>
                <w:szCs w:val="20"/>
                <w:lang w:val="sr-Latn-RS"/>
              </w:rPr>
              <w:t>.</w:t>
            </w:r>
            <w:r w:rsidR="00431A58" w:rsidRPr="006829A7">
              <w:rPr>
                <w:sz w:val="20"/>
                <w:szCs w:val="20"/>
                <w:lang w:val="sr-Latn-RS"/>
              </w:rPr>
              <w:t>2</w:t>
            </w:r>
            <w:r w:rsidRPr="006829A7">
              <w:rPr>
                <w:sz w:val="20"/>
                <w:szCs w:val="20"/>
                <w:lang w:val="sr-Latn-RS"/>
              </w:rPr>
              <w:t>. Dodeljeni sertifikati za učesnike radionica.</w:t>
            </w:r>
          </w:p>
          <w:p w:rsidR="00915C94" w:rsidRPr="006829A7" w:rsidRDefault="00915C94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R.8.3.Anketirani učesnici radionica.</w:t>
            </w:r>
          </w:p>
          <w:p w:rsidR="0000315A" w:rsidRPr="006829A7" w:rsidRDefault="0000315A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R.8.4.Napisan je izveštaj rezultata ankete.</w:t>
            </w:r>
          </w:p>
          <w:p w:rsidR="000A3BA9" w:rsidRPr="006829A7" w:rsidRDefault="000A3BA9" w:rsidP="009C1941">
            <w:pPr>
              <w:rPr>
                <w:sz w:val="20"/>
                <w:szCs w:val="20"/>
                <w:lang w:val="sr-Latn-RS"/>
              </w:rPr>
            </w:pPr>
          </w:p>
          <w:p w:rsidR="000A3BA9" w:rsidRPr="006829A7" w:rsidRDefault="00431A58" w:rsidP="000A3BA9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R.9</w:t>
            </w:r>
            <w:r w:rsidR="000A3BA9" w:rsidRPr="006829A7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0A3BA9" w:rsidRPr="006829A7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</w:t>
            </w:r>
            <w:r w:rsidR="00431A58" w:rsidRPr="006829A7">
              <w:rPr>
                <w:sz w:val="20"/>
                <w:szCs w:val="20"/>
                <w:lang w:val="sr-Latn-RS"/>
              </w:rPr>
              <w:t>9</w:t>
            </w:r>
            <w:r w:rsidRPr="006829A7">
              <w:rPr>
                <w:sz w:val="20"/>
                <w:szCs w:val="20"/>
                <w:lang w:val="sr-Latn-RS"/>
              </w:rPr>
              <w:t>.</w:t>
            </w:r>
            <w:r w:rsidR="00431A58" w:rsidRPr="006829A7">
              <w:rPr>
                <w:sz w:val="20"/>
                <w:szCs w:val="20"/>
                <w:lang w:val="sr-Latn-RS"/>
              </w:rPr>
              <w:t>1</w:t>
            </w:r>
            <w:r w:rsidRPr="006829A7">
              <w:rPr>
                <w:sz w:val="20"/>
                <w:szCs w:val="20"/>
                <w:lang w:val="sr-Latn-RS"/>
              </w:rPr>
              <w:t>. Isplanirane kampanje.</w:t>
            </w:r>
          </w:p>
          <w:p w:rsidR="000A3BA9" w:rsidRPr="006829A7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lastRenderedPageBreak/>
              <w:t>R.</w:t>
            </w:r>
            <w:r w:rsidR="00431A58" w:rsidRPr="006829A7">
              <w:rPr>
                <w:sz w:val="20"/>
                <w:szCs w:val="20"/>
                <w:lang w:val="sr-Latn-RS"/>
              </w:rPr>
              <w:t>9</w:t>
            </w:r>
            <w:r w:rsidRPr="006829A7">
              <w:rPr>
                <w:sz w:val="20"/>
                <w:szCs w:val="20"/>
                <w:lang w:val="sr-Latn-RS"/>
              </w:rPr>
              <w:t>.2. Pripremljen materijal i resursi.</w:t>
            </w:r>
          </w:p>
          <w:p w:rsidR="000A3BA9" w:rsidRPr="006829A7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</w:t>
            </w:r>
            <w:r w:rsidR="00431A58" w:rsidRPr="006829A7">
              <w:rPr>
                <w:sz w:val="20"/>
                <w:szCs w:val="20"/>
                <w:lang w:val="sr-Latn-RS"/>
              </w:rPr>
              <w:t>9</w:t>
            </w:r>
            <w:r w:rsidRPr="006829A7">
              <w:rPr>
                <w:sz w:val="20"/>
                <w:szCs w:val="20"/>
                <w:lang w:val="sr-Latn-RS"/>
              </w:rPr>
              <w:t>.3. Izvedene kampanje.</w:t>
            </w:r>
          </w:p>
          <w:p w:rsidR="00915C94" w:rsidRPr="006829A7" w:rsidRDefault="000A3BA9" w:rsidP="00915C94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</w:t>
            </w:r>
            <w:r w:rsidR="00431A58" w:rsidRPr="006829A7">
              <w:rPr>
                <w:sz w:val="20"/>
                <w:szCs w:val="20"/>
                <w:lang w:val="sr-Latn-RS"/>
              </w:rPr>
              <w:t>9</w:t>
            </w:r>
            <w:r w:rsidRPr="006829A7">
              <w:rPr>
                <w:sz w:val="20"/>
                <w:szCs w:val="20"/>
                <w:lang w:val="sr-Latn-RS"/>
              </w:rPr>
              <w:t>.4. Evaluirane kampanje.</w:t>
            </w:r>
          </w:p>
          <w:p w:rsidR="000A3BA9" w:rsidRPr="006829A7" w:rsidRDefault="000A3BA9" w:rsidP="00680991">
            <w:pPr>
              <w:rPr>
                <w:sz w:val="20"/>
                <w:szCs w:val="20"/>
                <w:lang w:val="sr-Latn-RS"/>
              </w:rPr>
            </w:pPr>
          </w:p>
          <w:p w:rsidR="000A3BA9" w:rsidRPr="006829A7" w:rsidRDefault="00680991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R.10</w:t>
            </w:r>
            <w:r w:rsidR="000A3BA9" w:rsidRPr="006829A7">
              <w:rPr>
                <w:sz w:val="20"/>
                <w:szCs w:val="20"/>
                <w:lang w:val="sr-Latn-RS"/>
              </w:rPr>
              <w:t>. Odrađen plan kvaliteta.</w:t>
            </w:r>
          </w:p>
          <w:p w:rsidR="000A3BA9" w:rsidRPr="006829A7" w:rsidRDefault="00680991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R.10</w:t>
            </w:r>
            <w:r w:rsidR="000A3BA9" w:rsidRPr="006829A7">
              <w:rPr>
                <w:sz w:val="20"/>
                <w:szCs w:val="20"/>
                <w:lang w:val="sr-Latn-RS"/>
              </w:rPr>
              <w:t>.1. Uspešno izrađen plan kvaliteta.</w:t>
            </w:r>
            <w:r w:rsidRPr="006829A7">
              <w:rPr>
                <w:sz w:val="20"/>
                <w:szCs w:val="20"/>
                <w:lang w:val="sr-Latn-RS"/>
              </w:rPr>
              <w:br/>
              <w:t xml:space="preserve">   R.10</w:t>
            </w:r>
            <w:r w:rsidR="000A3BA9" w:rsidRPr="006829A7">
              <w:rPr>
                <w:sz w:val="20"/>
                <w:szCs w:val="20"/>
                <w:lang w:val="sr-Latn-RS"/>
              </w:rPr>
              <w:t>.2. Uspešno izvršena inte</w:t>
            </w:r>
            <w:r w:rsidR="00431A58" w:rsidRPr="006829A7">
              <w:rPr>
                <w:sz w:val="20"/>
                <w:szCs w:val="20"/>
                <w:lang w:val="sr-Latn-RS"/>
              </w:rPr>
              <w:t>r</w:t>
            </w:r>
            <w:r w:rsidRPr="006829A7">
              <w:rPr>
                <w:sz w:val="20"/>
                <w:szCs w:val="20"/>
                <w:lang w:val="sr-Latn-RS"/>
              </w:rPr>
              <w:t>na evaluacija kvaliteta.</w:t>
            </w:r>
            <w:r w:rsidRPr="006829A7">
              <w:rPr>
                <w:sz w:val="20"/>
                <w:szCs w:val="20"/>
                <w:lang w:val="sr-Latn-RS"/>
              </w:rPr>
              <w:br/>
              <w:t xml:space="preserve">   R.10</w:t>
            </w:r>
            <w:r w:rsidR="000A3BA9" w:rsidRPr="006829A7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0A3BA9" w:rsidRPr="006829A7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6829A7" w:rsidRDefault="00680991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R.11</w:t>
            </w:r>
            <w:r w:rsidR="000A3BA9" w:rsidRPr="006829A7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0A3BA9" w:rsidRPr="006829A7" w:rsidRDefault="00680991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R.11</w:t>
            </w:r>
            <w:r w:rsidR="000A3BA9" w:rsidRPr="006829A7">
              <w:rPr>
                <w:sz w:val="20"/>
                <w:szCs w:val="20"/>
                <w:lang w:val="sr-Latn-RS"/>
              </w:rPr>
              <w:t xml:space="preserve">.1. </w:t>
            </w:r>
            <w:r w:rsidR="000A3BA9" w:rsidRPr="006829A7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0A3BA9" w:rsidRPr="006829A7" w:rsidRDefault="00680991" w:rsidP="000A3BA9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R.11</w:t>
            </w:r>
            <w:r w:rsidR="000A3BA9" w:rsidRPr="006829A7">
              <w:rPr>
                <w:sz w:val="20"/>
                <w:szCs w:val="20"/>
                <w:lang w:val="sr-Latn-RS"/>
              </w:rPr>
              <w:t xml:space="preserve">.2. </w:t>
            </w:r>
            <w:r w:rsidR="000A3BA9" w:rsidRPr="006829A7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0A3BA9" w:rsidRPr="006829A7" w:rsidRDefault="00680991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R.11</w:t>
            </w:r>
            <w:r w:rsidR="000A3BA9" w:rsidRPr="006829A7">
              <w:rPr>
                <w:sz w:val="20"/>
                <w:szCs w:val="20"/>
                <w:lang w:val="sr-Latn-RS"/>
              </w:rPr>
              <w:t>.3. Uspešna promocija putem internet reklama.</w:t>
            </w:r>
          </w:p>
          <w:p w:rsidR="000A3BA9" w:rsidRPr="006829A7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6829A7" w:rsidRDefault="00680991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R.12</w:t>
            </w:r>
            <w:r w:rsidR="000A3BA9" w:rsidRPr="006829A7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0A3BA9" w:rsidRPr="006829A7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</w:t>
            </w:r>
            <w:r w:rsidR="00680991" w:rsidRPr="006829A7">
              <w:rPr>
                <w:sz w:val="20"/>
                <w:szCs w:val="20"/>
                <w:lang w:val="sr-Latn-RS"/>
              </w:rPr>
              <w:t>12</w:t>
            </w:r>
            <w:r w:rsidRPr="006829A7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0A3BA9" w:rsidRPr="006829A7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</w:t>
            </w:r>
            <w:r w:rsidR="00680991" w:rsidRPr="006829A7">
              <w:rPr>
                <w:sz w:val="20"/>
                <w:szCs w:val="20"/>
                <w:lang w:val="sr-Latn-RS"/>
              </w:rPr>
              <w:t>12</w:t>
            </w:r>
            <w:r w:rsidRPr="006829A7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D61657" w:rsidRPr="006829A7" w:rsidRDefault="000A3BA9" w:rsidP="00D1526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R.</w:t>
            </w:r>
            <w:r w:rsidR="00680991" w:rsidRPr="006829A7">
              <w:rPr>
                <w:sz w:val="20"/>
                <w:szCs w:val="20"/>
                <w:lang w:val="sr-Latn-RS"/>
              </w:rPr>
              <w:t>12</w:t>
            </w:r>
            <w:r w:rsidRPr="006829A7">
              <w:rPr>
                <w:sz w:val="20"/>
                <w:szCs w:val="20"/>
                <w:lang w:val="sr-Latn-RS"/>
              </w:rPr>
              <w:t>.3. Izvršeno lokalno upravljanje projektom.</w:t>
            </w:r>
          </w:p>
        </w:tc>
        <w:tc>
          <w:tcPr>
            <w:tcW w:w="3686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829A7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829A7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D15269" w:rsidRPr="006829A7" w:rsidRDefault="00D15269" w:rsidP="006829A7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D15269" w:rsidRPr="006829A7" w:rsidRDefault="00D15269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I.1. Uspešno je provedena analiza trenutnih kapaciteta partnerskih organizacija.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I.1.1. Uspešno je intervjuisano 10 članova partnerskih organizacija o organizacionim kapacitetima.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I.1.2. </w:t>
            </w:r>
            <w:r w:rsidRPr="006829A7">
              <w:rPr>
                <w:sz w:val="20"/>
                <w:szCs w:val="20"/>
                <w:lang w:val="sr-Latn-RS"/>
              </w:rPr>
              <w:t>15 osoba iz 6 partnerskih organizacija uspešno odradilo anketu o iskustvima i dobrim praksama partnerskih organizacija.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I.1.3. </w:t>
            </w:r>
            <w:r w:rsidRPr="006829A7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Pr="006829A7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829A7">
              <w:rPr>
                <w:b/>
                <w:sz w:val="20"/>
                <w:szCs w:val="20"/>
                <w:lang w:val="sr-Latn-RS"/>
              </w:rPr>
              <w:t>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I.2. </w:t>
            </w:r>
            <w:r w:rsidR="001B0B2E" w:rsidRPr="006829A7">
              <w:rPr>
                <w:sz w:val="20"/>
                <w:szCs w:val="20"/>
                <w:lang w:val="sr-Latn-RS"/>
              </w:rPr>
              <w:t xml:space="preserve">Uspešno je analiziran </w:t>
            </w:r>
            <w:r w:rsidR="001B0B2E" w:rsidRPr="006829A7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="001B0B2E" w:rsidRPr="006829A7">
              <w:rPr>
                <w:sz w:val="20"/>
                <w:szCs w:val="20"/>
                <w:lang w:val="sr-Latn-RS"/>
              </w:rPr>
              <w:t xml:space="preserve">infrastrukture </w:t>
            </w:r>
            <w:r w:rsidR="001B0B2E" w:rsidRPr="006829A7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I.2.1. </w:t>
            </w:r>
            <w:r w:rsidR="001B0B2E" w:rsidRPr="006829A7">
              <w:rPr>
                <w:sz w:val="20"/>
                <w:szCs w:val="20"/>
                <w:lang w:val="sr-Latn-RS"/>
              </w:rPr>
              <w:t xml:space="preserve">Uspešno je analizirano 1 </w:t>
            </w:r>
            <w:r w:rsidR="001B0B2E" w:rsidRPr="006829A7">
              <w:rPr>
                <w:bCs/>
                <w:sz w:val="20"/>
                <w:szCs w:val="20"/>
                <w:lang w:val="sr-Latn-RS"/>
              </w:rPr>
              <w:t>postojeće stanje pristupa infrastrukturi.</w:t>
            </w:r>
          </w:p>
          <w:p w:rsidR="001B0B2E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I.2.2. </w:t>
            </w:r>
            <w:r w:rsidR="001B0B2E" w:rsidRPr="006829A7">
              <w:rPr>
                <w:bCs/>
                <w:sz w:val="20"/>
                <w:szCs w:val="20"/>
                <w:lang w:val="sr-Latn-RS"/>
              </w:rPr>
              <w:t>15 osoba iz 6 partnerskih organizacija uspešno popunilo anketu o iskustvima partnera i njihovom pristupu sportskim terenima.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I.2.3. </w:t>
            </w:r>
            <w:r w:rsidR="001B0B2E" w:rsidRPr="006829A7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="001B0B2E" w:rsidRPr="006829A7">
              <w:rPr>
                <w:bCs/>
                <w:sz w:val="20"/>
                <w:szCs w:val="20"/>
                <w:lang w:val="sr-Latn-RS"/>
              </w:rPr>
              <w:lastRenderedPageBreak/>
              <w:t>analiziranom stanju infrastrukture.</w:t>
            </w:r>
          </w:p>
          <w:p w:rsidR="001B0B2E" w:rsidRPr="006829A7" w:rsidRDefault="001B0B2E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6829A7" w:rsidRDefault="001B0B2E" w:rsidP="00D1526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829A7">
              <w:rPr>
                <w:bCs/>
                <w:sz w:val="20"/>
                <w:szCs w:val="20"/>
                <w:lang w:val="sr-Latn-RS"/>
              </w:rPr>
              <w:t>Uspešno je r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>azvijeno softversko rešenje za prijavljivanje i uvid u radionice i seminare.</w:t>
            </w:r>
          </w:p>
          <w:p w:rsidR="001B0B2E" w:rsidRPr="006829A7" w:rsidRDefault="00D15269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="001B0B2E" w:rsidRPr="006829A7">
              <w:rPr>
                <w:bCs/>
                <w:sz w:val="20"/>
                <w:szCs w:val="20"/>
                <w:lang w:val="sr-Latn-RS"/>
              </w:rPr>
              <w:t>I.3.1. Uspešno je definisan 1 opšti cilj projekta.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I.3.2. Uspešno je definisan 1 plan realizacije projekta.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I.3.3. Uspešno je definisan 1 raspored aktivnosti.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I.3.4. Uspešno je definisana 1 vizija sistema.</w:t>
            </w:r>
          </w:p>
          <w:p w:rsidR="001B0B2E" w:rsidRPr="006829A7" w:rsidRDefault="001B0B2E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I.3.5. Imali smo 5 test specifikacija:</w:t>
            </w:r>
          </w:p>
          <w:p w:rsidR="001B0B2E" w:rsidRPr="006829A7" w:rsidRDefault="001B0B2E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I.3.6. Definisana su 2 plana testiranja: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I.3.7. Uspešno je definisan 1 plan testiranja.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I.3.8. Uspešno je odrađena 1 test specifikacija koja sadrži 5 testova softverskog rešenja kao i 10 testova aplikacije. Od toga se svakom partneru šalje 1 test softverskog rešenja i 1 test aplikacije. Partneri šalju izveštaj putem kojih dobijamo povratne informacije. </w:t>
            </w:r>
          </w:p>
          <w:p w:rsidR="001B0B2E" w:rsidRPr="006829A7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I.3.9. Uspešno je formirano 1 korisničko uputstvo.</w:t>
            </w:r>
          </w:p>
          <w:p w:rsidR="00D15269" w:rsidRPr="006829A7" w:rsidRDefault="00D1526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6829A7" w:rsidRDefault="005A2A89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1B0B2E" w:rsidRPr="006829A7">
              <w:rPr>
                <w:bCs/>
                <w:color w:val="000000"/>
                <w:sz w:val="20"/>
                <w:szCs w:val="20"/>
                <w:lang w:val="sr-Latn-RS"/>
              </w:rPr>
              <w:t>.4. Uspešan o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>dlazak u partnerske države radi treninga osoblja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(Turska, Hrvatska, Grčka i Nemačka)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D15269" w:rsidRPr="006829A7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.4.1. </w:t>
            </w:r>
            <w:r w:rsidR="001B0B2E" w:rsidRPr="006829A7">
              <w:rPr>
                <w:bCs/>
                <w:color w:val="000000"/>
                <w:sz w:val="20"/>
                <w:szCs w:val="20"/>
                <w:lang w:val="sr-Latn-RS"/>
              </w:rPr>
              <w:t>Uspešna i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>dentifikacija potrebnih treninga i kompetencija osoblja.</w:t>
            </w:r>
          </w:p>
          <w:p w:rsidR="00D15269" w:rsidRPr="006829A7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1B0B2E" w:rsidRPr="006829A7">
              <w:rPr>
                <w:bCs/>
                <w:color w:val="000000"/>
                <w:sz w:val="20"/>
                <w:szCs w:val="20"/>
                <w:lang w:val="sr-Latn-RS"/>
              </w:rPr>
              <w:t>.4.2. Uspešna o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rganizacija 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putovanja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za 15</w:t>
            </w:r>
            <w:r w:rsidR="001B0B2E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člano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va osoblja u 4 partnerske zemlje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i logistika za odlazak osoblja.</w:t>
            </w:r>
          </w:p>
          <w:p w:rsidR="00D15269" w:rsidRPr="006829A7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>.4.3. Izvršenje treninga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za 9 članova osoblja u 4 partnerskih zemalja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i obuka osoblja.</w:t>
            </w:r>
          </w:p>
          <w:p w:rsidR="00D15269" w:rsidRPr="006829A7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I.4.4. Uspešno p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>raćenje i evaluacija provedenih treninga.</w:t>
            </w:r>
          </w:p>
          <w:p w:rsidR="00D15269" w:rsidRPr="006829A7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I.4.5. Uspešno s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>astavljanje izvještaja o rezultatima treninga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gde je 90% osoblja završilo trening 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i njihovoj primjenjivosti.</w:t>
            </w:r>
          </w:p>
          <w:p w:rsidR="00D15269" w:rsidRPr="006829A7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I.4.6. Uspešna o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rganizacija povratnog putovanja 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za 15 članova osoblja iz 4 partnerske zemalje </w:t>
            </w:r>
            <w:r w:rsidR="00D15269" w:rsidRPr="006829A7">
              <w:rPr>
                <w:bCs/>
                <w:color w:val="000000"/>
                <w:sz w:val="20"/>
                <w:szCs w:val="20"/>
                <w:lang w:val="sr-Latn-RS"/>
              </w:rPr>
              <w:t>i logistika za povratak osoblja.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A2A89" w:rsidRPr="006829A7" w:rsidRDefault="005A2A89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sz w:val="20"/>
                <w:szCs w:val="20"/>
                <w:lang w:val="sr-Latn-RS"/>
              </w:rPr>
              <w:t xml:space="preserve">.5. </w:t>
            </w:r>
            <w:r w:rsidRPr="006829A7">
              <w:rPr>
                <w:sz w:val="20"/>
                <w:szCs w:val="20"/>
                <w:lang w:val="sr-Latn-RS"/>
              </w:rPr>
              <w:t>Uspešno je organizovano 6 seminara (u Crnoj Gori, Severnoj Makedoniji, Albanijii, Bugarskoj, Švedskoj i Portugalu)</w:t>
            </w:r>
          </w:p>
          <w:p w:rsidR="00D15269" w:rsidRPr="006829A7" w:rsidRDefault="00D15269" w:rsidP="005A2A89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inicijativa.</w:t>
            </w:r>
          </w:p>
          <w:p w:rsidR="00D15269" w:rsidRPr="006829A7" w:rsidRDefault="005A2A89" w:rsidP="00D15269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 w:rsidR="007709DE" w:rsidRPr="006829A7">
              <w:rPr>
                <w:bCs/>
                <w:sz w:val="20"/>
                <w:szCs w:val="20"/>
                <w:lang w:val="sr-Latn-RS"/>
              </w:rPr>
              <w:t xml:space="preserve">.5.1. Angažovano je 6 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>stručni</w:t>
            </w:r>
            <w:r w:rsidR="007709DE" w:rsidRPr="006829A7">
              <w:rPr>
                <w:bCs/>
                <w:sz w:val="20"/>
                <w:szCs w:val="20"/>
                <w:lang w:val="sr-Latn-RS"/>
              </w:rPr>
              <w:t>h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 xml:space="preserve"> govor</w:t>
            </w:r>
            <w:r w:rsidR="007709DE" w:rsidRPr="006829A7">
              <w:rPr>
                <w:bCs/>
                <w:sz w:val="20"/>
                <w:szCs w:val="20"/>
                <w:lang w:val="sr-Latn-RS"/>
              </w:rPr>
              <w:t>nika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15269" w:rsidRPr="006829A7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>.5.2. Organizovan prevoz i smeštaj za učesnike i govornike.</w:t>
            </w:r>
          </w:p>
          <w:p w:rsidR="00D15269" w:rsidRPr="006829A7" w:rsidRDefault="005A2A89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7709DE" w:rsidRPr="006829A7">
              <w:rPr>
                <w:bCs/>
                <w:sz w:val="20"/>
                <w:szCs w:val="20"/>
                <w:lang w:val="sr-Latn-RS"/>
              </w:rPr>
              <w:t>.5.3. Obezbeđeno je 6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 xml:space="preserve"> prevod</w:t>
            </w:r>
            <w:r w:rsidR="007709DE" w:rsidRPr="006829A7">
              <w:rPr>
                <w:bCs/>
                <w:sz w:val="20"/>
                <w:szCs w:val="20"/>
                <w:lang w:val="sr-Latn-RS"/>
              </w:rPr>
              <w:t>laca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 xml:space="preserve"> .</w:t>
            </w:r>
          </w:p>
          <w:p w:rsidR="00D15269" w:rsidRPr="006829A7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7709DE" w:rsidRPr="006829A7">
              <w:rPr>
                <w:bCs/>
                <w:sz w:val="20"/>
                <w:szCs w:val="20"/>
                <w:lang w:val="sr-Latn-RS"/>
              </w:rPr>
              <w:t>.5.4. Kreirano je 5 agendi</w:t>
            </w:r>
            <w:r w:rsidR="00D15269" w:rsidRPr="006829A7">
              <w:rPr>
                <w:bCs/>
                <w:sz w:val="20"/>
                <w:szCs w:val="20"/>
                <w:lang w:val="sr-Latn-RS"/>
              </w:rPr>
              <w:t xml:space="preserve"> seminara.</w:t>
            </w:r>
          </w:p>
          <w:p w:rsidR="00D15269" w:rsidRPr="006829A7" w:rsidRDefault="00D15269" w:rsidP="00D15269">
            <w:pPr>
              <w:rPr>
                <w:b/>
                <w:sz w:val="20"/>
                <w:szCs w:val="20"/>
                <w:lang w:val="sr-Latn-RS"/>
              </w:rPr>
            </w:pPr>
          </w:p>
          <w:p w:rsidR="005A2A89" w:rsidRPr="006829A7" w:rsidRDefault="007709DE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sz w:val="20"/>
                <w:szCs w:val="20"/>
                <w:lang w:val="sr-Latn-RS"/>
              </w:rPr>
              <w:t xml:space="preserve">.6. </w:t>
            </w:r>
            <w:r w:rsidR="005A2A89" w:rsidRPr="006829A7">
              <w:rPr>
                <w:sz w:val="20"/>
                <w:szCs w:val="20"/>
                <w:lang w:val="sr-Latn-RS"/>
              </w:rPr>
              <w:t>Uspešno je održano 6 seminara (u Crnoj Gori, Severnoj Makedoniji, Albanijii, Bugarskoj, Švedskoj i Portugalu)</w:t>
            </w:r>
          </w:p>
          <w:p w:rsidR="005A2A89" w:rsidRPr="006829A7" w:rsidRDefault="005A2A89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</w:t>
            </w:r>
            <w:r w:rsidR="007709DE" w:rsidRPr="006829A7">
              <w:rPr>
                <w:sz w:val="20"/>
                <w:szCs w:val="20"/>
                <w:lang w:val="sr-Latn-RS"/>
              </w:rPr>
              <w:t xml:space="preserve"> na kojima je učestovalo po 5 učesnika iz 6 zemalja</w:t>
            </w:r>
            <w:r w:rsidRPr="006829A7">
              <w:rPr>
                <w:sz w:val="20"/>
                <w:szCs w:val="20"/>
                <w:lang w:val="sr-Latn-RS"/>
              </w:rPr>
              <w:t>.</w:t>
            </w:r>
          </w:p>
          <w:p w:rsidR="00D15269" w:rsidRPr="006829A7" w:rsidRDefault="00D15269" w:rsidP="00D15269">
            <w:pPr>
              <w:rPr>
                <w:sz w:val="20"/>
                <w:szCs w:val="20"/>
                <w:lang w:val="sr-Latn-RS"/>
              </w:rPr>
            </w:pPr>
            <w:r w:rsidRPr="006829A7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00315A" w:rsidRPr="006829A7">
              <w:rPr>
                <w:sz w:val="20"/>
                <w:szCs w:val="20"/>
                <w:lang w:val="sr-Latn-RS"/>
              </w:rPr>
              <w:t xml:space="preserve">       </w:t>
            </w:r>
            <w:r w:rsidR="007709DE" w:rsidRPr="006829A7">
              <w:rPr>
                <w:sz w:val="20"/>
                <w:szCs w:val="20"/>
                <w:lang w:val="sr-Latn-RS"/>
              </w:rPr>
              <w:t>I.6.1. Ispraćeno je 5 agendi</w:t>
            </w:r>
            <w:r w:rsidRPr="006829A7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D15269" w:rsidRPr="006829A7" w:rsidRDefault="0000315A" w:rsidP="00D15269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</w:t>
            </w:r>
            <w:r w:rsidR="007709DE" w:rsidRPr="006829A7">
              <w:rPr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sz w:val="20"/>
                <w:szCs w:val="20"/>
                <w:lang w:val="sr-Latn-RS"/>
              </w:rPr>
              <w:t>.6.2. Dodeljeni sertifikati za</w:t>
            </w:r>
            <w:r w:rsidR="007709DE" w:rsidRPr="006829A7">
              <w:rPr>
                <w:sz w:val="20"/>
                <w:szCs w:val="20"/>
                <w:lang w:val="sr-Latn-RS"/>
              </w:rPr>
              <w:t xml:space="preserve"> 30</w:t>
            </w:r>
            <w:r w:rsidR="00D15269" w:rsidRPr="006829A7">
              <w:rPr>
                <w:sz w:val="20"/>
                <w:szCs w:val="20"/>
                <w:lang w:val="sr-Latn-RS"/>
              </w:rPr>
              <w:t xml:space="preserve"> </w:t>
            </w:r>
            <w:r w:rsidR="00D15269" w:rsidRPr="006829A7">
              <w:rPr>
                <w:sz w:val="20"/>
                <w:szCs w:val="20"/>
                <w:lang w:val="sr-Latn-RS"/>
              </w:rPr>
              <w:lastRenderedPageBreak/>
              <w:t>učesnike seminara.</w:t>
            </w:r>
          </w:p>
          <w:p w:rsidR="00D15269" w:rsidRPr="006829A7" w:rsidRDefault="007709DE" w:rsidP="00D15269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I.6.3.Anketirano je 30 učesnika</w:t>
            </w:r>
            <w:r w:rsidR="00D15269" w:rsidRPr="006829A7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00315A" w:rsidRPr="006829A7" w:rsidRDefault="0000315A" w:rsidP="0000315A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I.6.4. Napisano je 5 izveštaja o kvalitetu kompletne organizacije seminara.</w:t>
            </w:r>
          </w:p>
          <w:p w:rsidR="00D15269" w:rsidRPr="006829A7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7709DE" w:rsidRPr="006829A7" w:rsidRDefault="007709DE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I.7. Uspešno je organizovano 6 debatnih radionica (u Crnoj Gori, Severnoj Makedoniji, Albanijii, Bugarskoj, Švedskoj i Portugalu)</w:t>
            </w:r>
          </w:p>
          <w:p w:rsidR="007709DE" w:rsidRPr="006829A7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o aktuelnim ekološkim pitanjima.</w:t>
            </w:r>
          </w:p>
          <w:p w:rsidR="007709DE" w:rsidRPr="006829A7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        I.7.1. Angažovano je 6 stručnih govornika.</w:t>
            </w:r>
          </w:p>
          <w:p w:rsidR="007709DE" w:rsidRPr="006829A7" w:rsidRDefault="007709DE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I.7.2. Organizovan prevoz i smeštaj za učesnike i govornike.</w:t>
            </w:r>
          </w:p>
          <w:p w:rsidR="007709DE" w:rsidRPr="006829A7" w:rsidRDefault="007709DE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I.7.3. Obezbeđeno je 6 prevodlaca .</w:t>
            </w:r>
          </w:p>
          <w:p w:rsidR="007709DE" w:rsidRPr="006829A7" w:rsidRDefault="007709DE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I.7.4. Kreirano je 5 agendi radionice.</w:t>
            </w:r>
          </w:p>
          <w:p w:rsidR="00D15269" w:rsidRPr="006829A7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7709DE" w:rsidRPr="006829A7" w:rsidRDefault="007709DE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I.8. Uspešno je održano 6 debatnih radionica (u Crnoj Gori, Severnoj Makedoniji, Albanijii, Bugarskoj, Švedskoj i Portugalu)</w:t>
            </w:r>
          </w:p>
          <w:p w:rsidR="007709DE" w:rsidRPr="006829A7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o aktuelnim ekološkim pitanjima na kojima je učestovalo po 6 učesnika iz 6 zemalja.</w:t>
            </w:r>
          </w:p>
          <w:p w:rsidR="007709DE" w:rsidRPr="006829A7" w:rsidRDefault="007709DE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6829A7">
              <w:rPr>
                <w:sz w:val="20"/>
                <w:szCs w:val="20"/>
                <w:lang w:val="sr-Latn-RS"/>
              </w:rPr>
              <w:t>I.8.1. Ispraćeno je 5 agendi radionice.</w:t>
            </w:r>
          </w:p>
          <w:p w:rsidR="007709DE" w:rsidRPr="006829A7" w:rsidRDefault="007709DE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I.8.2. Dodeljeni sertifikati za 36 učesnike radionice.</w:t>
            </w:r>
          </w:p>
          <w:p w:rsidR="007709DE" w:rsidRPr="006829A7" w:rsidRDefault="007709DE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I.8.3.Anketirano je 36 učesnika radionice sa 5 razlicitih anketa.</w:t>
            </w:r>
          </w:p>
          <w:p w:rsidR="0000315A" w:rsidRPr="006829A7" w:rsidRDefault="0000315A" w:rsidP="0000315A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I.8.4. Napisano je 5 izveštaja o kvalitetu kompletne organizacije radionice.</w:t>
            </w:r>
          </w:p>
          <w:p w:rsidR="00D15269" w:rsidRPr="006829A7" w:rsidRDefault="00D15269" w:rsidP="007709DE">
            <w:pPr>
              <w:rPr>
                <w:sz w:val="20"/>
                <w:szCs w:val="20"/>
                <w:lang w:val="sr-Latn-RS"/>
              </w:rPr>
            </w:pPr>
          </w:p>
          <w:p w:rsidR="00D15269" w:rsidRPr="006829A7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7709DE" w:rsidRPr="006829A7">
              <w:rPr>
                <w:sz w:val="20"/>
                <w:szCs w:val="20"/>
                <w:lang w:val="sr-Latn-RS"/>
              </w:rPr>
              <w:t>.9. Uspešno su o</w:t>
            </w:r>
            <w:r w:rsidR="00D15269" w:rsidRPr="006829A7">
              <w:rPr>
                <w:sz w:val="20"/>
                <w:szCs w:val="20"/>
                <w:lang w:val="sr-Latn-RS"/>
              </w:rPr>
              <w:t>rganizovane i sprovedene kampanje za povećanje ekološke svesti</w:t>
            </w:r>
            <w:r w:rsidR="0000315A" w:rsidRPr="006829A7">
              <w:rPr>
                <w:sz w:val="20"/>
                <w:szCs w:val="20"/>
                <w:lang w:val="sr-Latn-RS"/>
              </w:rPr>
              <w:t xml:space="preserve"> u 6 partnerskih država (Crnoj Gori, Severnoj Makedoniji, </w:t>
            </w:r>
            <w:r w:rsidR="0000315A" w:rsidRPr="006829A7">
              <w:rPr>
                <w:sz w:val="20"/>
                <w:szCs w:val="20"/>
                <w:lang w:val="sr-Latn-RS"/>
              </w:rPr>
              <w:lastRenderedPageBreak/>
              <w:t>Albanijii, Bugarskoj, Švedskoj i Portugalu)</w:t>
            </w:r>
          </w:p>
          <w:p w:rsidR="00D15269" w:rsidRPr="006829A7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sz w:val="20"/>
                <w:szCs w:val="20"/>
                <w:lang w:val="sr-Latn-RS"/>
              </w:rPr>
              <w:t xml:space="preserve">.9.1. Isplanirane </w:t>
            </w:r>
            <w:r w:rsidR="0000315A" w:rsidRPr="006829A7">
              <w:rPr>
                <w:sz w:val="20"/>
                <w:szCs w:val="20"/>
                <w:lang w:val="sr-Latn-RS"/>
              </w:rPr>
              <w:t xml:space="preserve">su  3 </w:t>
            </w:r>
            <w:r w:rsidR="00D15269" w:rsidRPr="006829A7">
              <w:rPr>
                <w:sz w:val="20"/>
                <w:szCs w:val="20"/>
                <w:lang w:val="sr-Latn-RS"/>
              </w:rPr>
              <w:t>kampanje</w:t>
            </w:r>
            <w:r w:rsidR="0000315A" w:rsidRPr="006829A7">
              <w:rPr>
                <w:sz w:val="20"/>
                <w:szCs w:val="20"/>
                <w:lang w:val="sr-Latn-RS"/>
              </w:rPr>
              <w:t xml:space="preserve"> (Čišćenje okoline, Reciklažne kampanje i Kampanje javne svesti)koje se sprovode u 6 partnerskih zemalja i na kojima učestvuje po 5 učesnika iz 6 partnerskih zemalja</w:t>
            </w:r>
            <w:r w:rsidR="00D15269" w:rsidRPr="006829A7">
              <w:rPr>
                <w:sz w:val="20"/>
                <w:szCs w:val="20"/>
                <w:lang w:val="sr-Latn-RS"/>
              </w:rPr>
              <w:t>.</w:t>
            </w:r>
          </w:p>
          <w:p w:rsidR="00D15269" w:rsidRPr="006829A7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00315A" w:rsidRPr="006829A7">
              <w:rPr>
                <w:sz w:val="20"/>
                <w:szCs w:val="20"/>
                <w:lang w:val="sr-Latn-RS"/>
              </w:rPr>
              <w:t>.9.2. Uspešno p</w:t>
            </w:r>
            <w:r w:rsidR="00D15269" w:rsidRPr="006829A7">
              <w:rPr>
                <w:sz w:val="20"/>
                <w:szCs w:val="20"/>
                <w:lang w:val="sr-Latn-RS"/>
              </w:rPr>
              <w:t>ripremljen materijal i resursi</w:t>
            </w:r>
            <w:r w:rsidR="0000315A" w:rsidRPr="006829A7">
              <w:rPr>
                <w:sz w:val="20"/>
                <w:szCs w:val="20"/>
                <w:lang w:val="sr-Latn-RS"/>
              </w:rPr>
              <w:t xml:space="preserve"> po</w:t>
            </w:r>
            <w:r w:rsidRPr="006829A7">
              <w:rPr>
                <w:sz w:val="20"/>
                <w:szCs w:val="20"/>
                <w:lang w:val="sr-Latn-RS"/>
              </w:rPr>
              <w:t>trebni za izvođenje kampanja</w:t>
            </w:r>
            <w:r w:rsidR="00D15269" w:rsidRPr="006829A7">
              <w:rPr>
                <w:sz w:val="20"/>
                <w:szCs w:val="20"/>
                <w:lang w:val="sr-Latn-RS"/>
              </w:rPr>
              <w:t>.</w:t>
            </w:r>
          </w:p>
          <w:p w:rsidR="00D15269" w:rsidRPr="006829A7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I.9.3. Uspešno izvedene 2</w:t>
            </w:r>
            <w:r w:rsidR="00D15269" w:rsidRPr="006829A7">
              <w:rPr>
                <w:sz w:val="20"/>
                <w:szCs w:val="20"/>
                <w:lang w:val="sr-Latn-RS"/>
              </w:rPr>
              <w:t xml:space="preserve"> kam</w:t>
            </w:r>
            <w:r w:rsidRPr="006829A7">
              <w:rPr>
                <w:sz w:val="20"/>
                <w:szCs w:val="20"/>
                <w:lang w:val="sr-Latn-RS"/>
              </w:rPr>
              <w:t>panje u 6 partnerskih zemalja</w:t>
            </w:r>
            <w:r w:rsidR="00D15269" w:rsidRPr="006829A7">
              <w:rPr>
                <w:sz w:val="20"/>
                <w:szCs w:val="20"/>
                <w:lang w:val="sr-Latn-RS"/>
              </w:rPr>
              <w:t>.</w:t>
            </w:r>
          </w:p>
          <w:p w:rsidR="00D15269" w:rsidRPr="006829A7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sz w:val="20"/>
                <w:szCs w:val="20"/>
                <w:lang w:val="sr-Latn-RS"/>
              </w:rPr>
              <w:t>.9.4. Evaluirane kampanje</w:t>
            </w:r>
            <w:r w:rsidRPr="006829A7">
              <w:rPr>
                <w:sz w:val="20"/>
                <w:szCs w:val="20"/>
                <w:lang w:val="sr-Latn-RS"/>
              </w:rPr>
              <w:t xml:space="preserve"> anketiranjem 36 učesnika sa 3 različite ankete i sastavljanje izveštaja o uspešnosti kampanje</w:t>
            </w:r>
            <w:r w:rsidR="00D15269" w:rsidRPr="006829A7">
              <w:rPr>
                <w:sz w:val="20"/>
                <w:szCs w:val="20"/>
                <w:lang w:val="sr-Latn-RS"/>
              </w:rPr>
              <w:t>.</w:t>
            </w:r>
          </w:p>
          <w:p w:rsidR="00D15269" w:rsidRPr="006829A7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680991" w:rsidRPr="006829A7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D15269" w:rsidRPr="006829A7">
              <w:rPr>
                <w:sz w:val="20"/>
                <w:szCs w:val="20"/>
                <w:lang w:val="sr-Latn-RS"/>
              </w:rPr>
              <w:t>.1</w:t>
            </w:r>
            <w:r w:rsidRPr="006829A7">
              <w:rPr>
                <w:sz w:val="20"/>
                <w:szCs w:val="20"/>
                <w:lang w:val="sr-Latn-RS"/>
              </w:rPr>
              <w:t>0.Uspešno je odrađen 1 plan kvaliteta..</w:t>
            </w:r>
          </w:p>
          <w:p w:rsidR="00680991" w:rsidRPr="006829A7" w:rsidRDefault="00680991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I.10.1. Uspešno je izrađen 1 plan kvaliteta.</w:t>
            </w:r>
          </w:p>
          <w:p w:rsidR="00680991" w:rsidRPr="006829A7" w:rsidRDefault="00680991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I.10.2. Uspešno je izvršena 1 interna evaluacija kvaliteta projekta od strane 4 stručnjaka za kontrolu kvaliteta.</w:t>
            </w:r>
          </w:p>
          <w:p w:rsidR="00680991" w:rsidRPr="006829A7" w:rsidRDefault="00680991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I.10.3. Uspešno je izvršena 1 eksterna evaluacija kvaliteta projekta od strane 2 stručnjaka za kontrolu kvaliteta.</w:t>
            </w:r>
          </w:p>
          <w:p w:rsidR="00D15269" w:rsidRPr="006829A7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6829A7" w:rsidRPr="006829A7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680991" w:rsidRPr="006829A7">
              <w:rPr>
                <w:sz w:val="20"/>
                <w:szCs w:val="20"/>
                <w:lang w:val="sr-Latn-RS"/>
              </w:rPr>
              <w:t>.11</w:t>
            </w:r>
            <w:r w:rsidRPr="006829A7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6829A7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6829A7" w:rsidRPr="006829A7" w:rsidRDefault="006829A7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>I.11.1. Uspešna reklama putem 5 medija.</w:t>
            </w:r>
          </w:p>
          <w:p w:rsidR="006829A7" w:rsidRPr="006829A7" w:rsidRDefault="006829A7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 xml:space="preserve"> I.11.2. Uspešna promocija putem 5 društvenih mreža(Instagram, Facebook, YouTube, Twitter, TikTok).</w:t>
            </w:r>
          </w:p>
          <w:p w:rsidR="006829A7" w:rsidRPr="006829A7" w:rsidRDefault="006829A7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6829A7">
              <w:rPr>
                <w:noProof/>
                <w:sz w:val="20"/>
                <w:szCs w:val="20"/>
                <w:lang w:val="sr-Latn-RS"/>
              </w:rPr>
              <w:t xml:space="preserve">  I.11.3. Uspešna promocija putem </w:t>
            </w:r>
            <w:r w:rsidRPr="006829A7">
              <w:rPr>
                <w:noProof/>
                <w:sz w:val="20"/>
                <w:szCs w:val="20"/>
                <w:lang w:val="sr-Latn-RS"/>
              </w:rPr>
              <w:lastRenderedPageBreak/>
              <w:t>internet reklama.</w:t>
            </w:r>
            <w:r w:rsidRPr="006829A7">
              <w:rPr>
                <w:noProof/>
                <w:sz w:val="20"/>
                <w:szCs w:val="20"/>
                <w:lang w:val="sr-Latn-RS"/>
              </w:rPr>
              <w:br/>
            </w:r>
          </w:p>
          <w:p w:rsidR="006829A7" w:rsidRPr="006829A7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</w:t>
            </w:r>
            <w:r w:rsidR="00680991" w:rsidRPr="006829A7">
              <w:rPr>
                <w:sz w:val="20"/>
                <w:szCs w:val="20"/>
                <w:lang w:val="sr-Latn-RS"/>
              </w:rPr>
              <w:t>.12</w:t>
            </w:r>
            <w:r w:rsidR="00D15269" w:rsidRPr="006829A7">
              <w:rPr>
                <w:sz w:val="20"/>
                <w:szCs w:val="20"/>
                <w:lang w:val="sr-Latn-RS"/>
              </w:rPr>
              <w:t xml:space="preserve">. </w:t>
            </w:r>
            <w:r w:rsidRPr="006829A7">
              <w:rPr>
                <w:sz w:val="20"/>
                <w:szCs w:val="20"/>
                <w:lang w:val="sr-Latn-RS"/>
              </w:rPr>
              <w:t>Uspešno je izvršeno jedno upravljanje projektom.</w:t>
            </w:r>
          </w:p>
          <w:p w:rsidR="006829A7" w:rsidRPr="006829A7" w:rsidRDefault="006829A7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I.12.1. Uspešno održan 1 sastanak sa upravnim odborom - usvojeno 6 izveštaja na sastanku upravnog odbora.</w:t>
            </w:r>
          </w:p>
          <w:p w:rsidR="006829A7" w:rsidRPr="006829A7" w:rsidRDefault="006829A7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I.12.2. Uspešno je izvršeno jedno sveukupno upravljanje projekotm.</w:t>
            </w:r>
          </w:p>
          <w:p w:rsidR="006829A7" w:rsidRPr="006829A7" w:rsidRDefault="006829A7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I.12.3. Uspešno izvršeno lokalno upravljanje projektom - dostavljeno 10 izveštaja sa lokalnog upravljanja projektom od strane 10 partnerskih organizacija.</w:t>
            </w:r>
          </w:p>
          <w:p w:rsidR="00D15269" w:rsidRPr="006829A7" w:rsidRDefault="00D15269" w:rsidP="00D15269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829A7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829A7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6829A7" w:rsidRPr="006829A7" w:rsidRDefault="006829A7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915C94" w:rsidRPr="006829A7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829A7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915C94" w:rsidRPr="006829A7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829A7">
              <w:rPr>
                <w:color w:val="000000"/>
                <w:sz w:val="20"/>
                <w:lang w:val="sr-Latn-RS"/>
              </w:rPr>
              <w:t>Izveštaj o održanim seminarima, radionicama i kampanjama.</w:t>
            </w:r>
          </w:p>
          <w:p w:rsidR="00915C94" w:rsidRPr="006829A7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829A7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:rsidR="00A60D80" w:rsidRPr="006829A7" w:rsidRDefault="00915C94" w:rsidP="006B2BE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829A7">
              <w:rPr>
                <w:color w:val="000000"/>
                <w:sz w:val="20"/>
                <w:lang w:val="sr-Latn-RS"/>
              </w:rPr>
              <w:t>Anketiranje polaznika seminara, radionica i kampanja.</w:t>
            </w:r>
          </w:p>
        </w:tc>
        <w:tc>
          <w:tcPr>
            <w:tcW w:w="3686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829A7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829A7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490380" w:rsidRPr="006829A7" w:rsidRDefault="00490380" w:rsidP="00490380">
            <w:pPr>
              <w:rPr>
                <w:noProof/>
                <w:sz w:val="18"/>
                <w:szCs w:val="18"/>
                <w:lang w:val="sr-Latn-RS"/>
              </w:rPr>
            </w:pPr>
          </w:p>
          <w:p w:rsidR="002C1237" w:rsidRPr="006829A7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C1237" w:rsidRPr="006829A7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6829A7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6829A7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6829A7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6829A7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Neophodna tehnologija.</w:t>
            </w:r>
          </w:p>
          <w:p w:rsidR="00E17703" w:rsidRPr="006829A7" w:rsidRDefault="00E17703" w:rsidP="002C1237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</w:tr>
      <w:tr w:rsidR="00E17703" w:rsidRPr="006829A7">
        <w:trPr>
          <w:trHeight w:val="2815"/>
        </w:trPr>
        <w:tc>
          <w:tcPr>
            <w:tcW w:w="3685" w:type="dxa"/>
          </w:tcPr>
          <w:p w:rsidR="00E17703" w:rsidRPr="006829A7" w:rsidRDefault="00E17703" w:rsidP="00E17703">
            <w:pPr>
              <w:rPr>
                <w:b/>
                <w:color w:val="000000"/>
                <w:sz w:val="20"/>
                <w:lang w:val="sr-Latn-RS"/>
              </w:rPr>
            </w:pPr>
            <w:r w:rsidRPr="006829A7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E17703" w:rsidRPr="006829A7" w:rsidRDefault="00E17703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6829A7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 are the key activities to be carried out</w:t>
            </w:r>
            <w:r w:rsidR="00AA4A4B" w:rsidRPr="006829A7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AA4A4B" w:rsidRPr="006829A7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="00AA4A4B" w:rsidRPr="006829A7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AA4A4B" w:rsidRPr="006829A7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829A7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542594" w:rsidRPr="006829A7" w:rsidRDefault="00542594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A.1. </w:t>
            </w:r>
            <w:r w:rsidRPr="006829A7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Pr="006829A7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Pr="006829A7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542594" w:rsidRPr="006829A7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A.1.1. </w:t>
            </w:r>
            <w:r w:rsidRPr="006829A7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542594" w:rsidRPr="006829A7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A.1.2. </w:t>
            </w:r>
            <w:r w:rsidRPr="006829A7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542594" w:rsidRPr="006829A7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A.1.3. </w:t>
            </w:r>
            <w:r w:rsidRPr="006829A7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Pr="006829A7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829A7">
              <w:rPr>
                <w:b/>
                <w:sz w:val="22"/>
                <w:szCs w:val="22"/>
                <w:lang w:val="sr-Latn-RS"/>
              </w:rPr>
              <w:t>.</w:t>
            </w:r>
          </w:p>
          <w:p w:rsidR="00542594" w:rsidRPr="006829A7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6829A7" w:rsidRDefault="00542594" w:rsidP="00542594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A.2. </w:t>
            </w:r>
            <w:r w:rsidRPr="006829A7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Pr="006829A7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542594" w:rsidRPr="006829A7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.2.1. Analiz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a postojećeg stanja 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pristupa infrastrukturi.</w:t>
            </w:r>
          </w:p>
          <w:p w:rsidR="00542594" w:rsidRPr="006829A7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.2.2. </w:t>
            </w:r>
            <w:r w:rsidR="004D06A5" w:rsidRPr="006829A7">
              <w:rPr>
                <w:bCs/>
                <w:color w:val="000000"/>
                <w:sz w:val="20"/>
                <w:szCs w:val="20"/>
                <w:lang w:val="sr-Latn-RS"/>
              </w:rPr>
              <w:t>Popunjavanje anketa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o iskustvima partnera i njihovom pristupu prostorijama za izvodjenje 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nastave.</w:t>
            </w:r>
          </w:p>
          <w:p w:rsidR="00542594" w:rsidRPr="006829A7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.2.3. </w:t>
            </w:r>
            <w:r w:rsidR="004D06A5" w:rsidRPr="006829A7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zvještaji o analiziranom stanju </w:t>
            </w:r>
            <w:r w:rsidR="004D06A5" w:rsidRPr="006829A7">
              <w:rPr>
                <w:bCs/>
                <w:color w:val="000000"/>
                <w:sz w:val="20"/>
                <w:szCs w:val="20"/>
                <w:lang w:val="sr-Latn-RS"/>
              </w:rPr>
              <w:t>infrastruk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ture partnera.</w:t>
            </w:r>
          </w:p>
          <w:p w:rsidR="00542594" w:rsidRPr="006829A7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D06A5" w:rsidRPr="006829A7" w:rsidRDefault="004D06A5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>A.3. Razvoj softverskog rešenja za organizaciju i praćenje takmičenja kroz koju se podstiče fizička aktivnost.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A.3.1. Definisanje opšteg cilja projekta.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A.3.2. Plan realizacije projekta.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A.3.3. Raspored aktivnosti.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A.3.4. Definisanje vizije sistema.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A.3.5. Specifikacija zahteva.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A.3.6. Detaljni arhitekturni projekat.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A.3.7. Plan testiranja.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A.3.8. Test specifikacija.</w:t>
            </w:r>
          </w:p>
          <w:p w:rsidR="004D06A5" w:rsidRPr="006829A7" w:rsidRDefault="004D06A5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829A7">
              <w:rPr>
                <w:bCs/>
                <w:sz w:val="20"/>
                <w:szCs w:val="20"/>
                <w:lang w:val="sr-Latn-RS"/>
              </w:rPr>
              <w:t xml:space="preserve">   A.3.9. Formiranje korisničkog uputstva.</w:t>
            </w:r>
          </w:p>
          <w:p w:rsidR="00542594" w:rsidRPr="006829A7" w:rsidRDefault="00542594" w:rsidP="00542594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542594" w:rsidRPr="006829A7" w:rsidRDefault="004D06A5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.4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. Odlaženje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u partnerske države radi treninga osoblja.</w:t>
            </w:r>
          </w:p>
          <w:p w:rsidR="00542594" w:rsidRPr="006829A7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.4.1. Identifik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ovanje 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potrebnih treninga i kompetencija osoblja.</w:t>
            </w:r>
          </w:p>
          <w:p w:rsidR="00542594" w:rsidRPr="006829A7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.4.2. Organiz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ovanje putovanja i logistike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za odlazak osoblja.</w:t>
            </w:r>
          </w:p>
          <w:p w:rsidR="00542594" w:rsidRPr="006829A7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.4.3. Izvrš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avanje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treninga i obuka osoblja.</w:t>
            </w:r>
          </w:p>
          <w:p w:rsidR="00542594" w:rsidRPr="006829A7" w:rsidRDefault="004D06A5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.4.4. Praćenje i evaluacija provedenih treninga.</w:t>
            </w:r>
          </w:p>
          <w:p w:rsidR="00542594" w:rsidRPr="006829A7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.4.5. 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Pisanje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izvještaja o rezultatima treninga i njihovoj primjenjivosti.</w:t>
            </w:r>
          </w:p>
          <w:p w:rsidR="00542594" w:rsidRPr="006829A7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>.4.6. Organiz</w:t>
            </w:r>
            <w:r w:rsidRPr="006829A7">
              <w:rPr>
                <w:bCs/>
                <w:color w:val="000000"/>
                <w:sz w:val="20"/>
                <w:szCs w:val="20"/>
                <w:lang w:val="sr-Latn-RS"/>
              </w:rPr>
              <w:t>ovanje</w:t>
            </w:r>
            <w:r w:rsidR="00542594" w:rsidRPr="006829A7">
              <w:rPr>
                <w:bCs/>
                <w:color w:val="000000"/>
                <w:sz w:val="20"/>
                <w:szCs w:val="20"/>
                <w:lang w:val="sr-Latn-RS"/>
              </w:rPr>
              <w:t xml:space="preserve"> povratnog putovanja i logistika za povratak osoblja.</w:t>
            </w:r>
          </w:p>
          <w:p w:rsidR="004D06A5" w:rsidRPr="006829A7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D06A5" w:rsidRPr="006829A7" w:rsidRDefault="004D06A5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A.5. Organizovanje seminara radi promocije ekološke održivosti i važnosti </w:t>
            </w:r>
            <w:r w:rsidRPr="006829A7">
              <w:rPr>
                <w:sz w:val="20"/>
                <w:szCs w:val="20"/>
                <w:lang w:val="sr-Latn-RS"/>
              </w:rPr>
              <w:lastRenderedPageBreak/>
              <w:t>očuvanja životne sredine, kao i o organizaciji inicijativa.</w:t>
            </w:r>
          </w:p>
          <w:p w:rsidR="004D06A5" w:rsidRPr="006829A7" w:rsidRDefault="004D06A5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A.5.1. Angažovanje stručnih govornika.</w:t>
            </w:r>
          </w:p>
          <w:p w:rsidR="004D06A5" w:rsidRPr="006829A7" w:rsidRDefault="004D06A5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A.5.2. Organizovanje prevoza i smeštaja     za učesnike i govornike.</w:t>
            </w:r>
          </w:p>
          <w:p w:rsidR="004D06A5" w:rsidRPr="006829A7" w:rsidRDefault="004D06A5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A.5.3. Obezbeđivanje prevodilaca.</w:t>
            </w:r>
          </w:p>
          <w:p w:rsidR="004D06A5" w:rsidRPr="006829A7" w:rsidRDefault="004D06A5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A.5.4. Kreiranje agendi seminara.</w:t>
            </w:r>
          </w:p>
          <w:p w:rsidR="004D06A5" w:rsidRPr="006829A7" w:rsidRDefault="004D06A5" w:rsidP="004D06A5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6829A7" w:rsidRDefault="004D06A5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A.6</w:t>
            </w:r>
            <w:r w:rsidR="00542594" w:rsidRPr="006829A7">
              <w:rPr>
                <w:sz w:val="20"/>
                <w:szCs w:val="20"/>
                <w:lang w:val="sr-Latn-RS"/>
              </w:rPr>
              <w:t>. Održa</w:t>
            </w:r>
            <w:r w:rsidRPr="006829A7">
              <w:rPr>
                <w:sz w:val="20"/>
                <w:szCs w:val="20"/>
                <w:lang w:val="sr-Latn-RS"/>
              </w:rPr>
              <w:t>vanje seminara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radi promocije ekološke održivosti i važnosti očuvanja</w:t>
            </w:r>
            <w:r w:rsidRPr="006829A7">
              <w:rPr>
                <w:sz w:val="20"/>
                <w:szCs w:val="20"/>
                <w:lang w:val="sr-Latn-RS"/>
              </w:rPr>
              <w:t xml:space="preserve"> životne sredine, kao i seminara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o organizaciji inicijativa.</w:t>
            </w:r>
          </w:p>
          <w:p w:rsidR="00542594" w:rsidRPr="006829A7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829A7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829A7">
              <w:rPr>
                <w:sz w:val="20"/>
                <w:szCs w:val="20"/>
                <w:lang w:val="sr-Latn-RS"/>
              </w:rPr>
              <w:t xml:space="preserve">       </w:t>
            </w:r>
            <w:r w:rsidR="004D06A5" w:rsidRPr="006829A7">
              <w:rPr>
                <w:sz w:val="20"/>
                <w:szCs w:val="20"/>
                <w:lang w:val="sr-Latn-RS"/>
              </w:rPr>
              <w:t xml:space="preserve">  A.5.1</w:t>
            </w:r>
            <w:r w:rsidR="0089123E" w:rsidRPr="006829A7">
              <w:rPr>
                <w:sz w:val="20"/>
                <w:szCs w:val="20"/>
                <w:lang w:val="sr-Latn-RS"/>
              </w:rPr>
              <w:t>. P</w:t>
            </w:r>
            <w:r w:rsidRPr="006829A7">
              <w:rPr>
                <w:sz w:val="20"/>
                <w:szCs w:val="20"/>
                <w:lang w:val="sr-Latn-RS"/>
              </w:rPr>
              <w:t>raćen</w:t>
            </w:r>
            <w:r w:rsidR="0089123E" w:rsidRPr="006829A7">
              <w:rPr>
                <w:sz w:val="20"/>
                <w:szCs w:val="20"/>
                <w:lang w:val="sr-Latn-RS"/>
              </w:rPr>
              <w:t>j</w:t>
            </w:r>
            <w:r w:rsidRPr="006829A7">
              <w:rPr>
                <w:sz w:val="20"/>
                <w:szCs w:val="20"/>
                <w:lang w:val="sr-Latn-RS"/>
              </w:rPr>
              <w:t>e agende seminara.</w:t>
            </w:r>
          </w:p>
          <w:p w:rsidR="00542594" w:rsidRPr="006829A7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</w:t>
            </w:r>
            <w:r w:rsidR="004D06A5" w:rsidRPr="006829A7">
              <w:rPr>
                <w:sz w:val="20"/>
                <w:szCs w:val="20"/>
                <w:lang w:val="sr-Latn-RS"/>
              </w:rPr>
              <w:t>A</w:t>
            </w:r>
            <w:r w:rsidRPr="006829A7">
              <w:rPr>
                <w:sz w:val="20"/>
                <w:szCs w:val="20"/>
                <w:lang w:val="sr-Latn-RS"/>
              </w:rPr>
              <w:t>.5.</w:t>
            </w:r>
            <w:r w:rsidR="004D06A5" w:rsidRPr="006829A7">
              <w:rPr>
                <w:sz w:val="20"/>
                <w:szCs w:val="20"/>
                <w:lang w:val="sr-Latn-RS"/>
              </w:rPr>
              <w:t>2</w:t>
            </w:r>
            <w:r w:rsidRPr="006829A7">
              <w:rPr>
                <w:sz w:val="20"/>
                <w:szCs w:val="20"/>
                <w:lang w:val="sr-Latn-RS"/>
              </w:rPr>
              <w:t>. Dodeljen</w:t>
            </w:r>
            <w:r w:rsidR="0089123E" w:rsidRPr="006829A7">
              <w:rPr>
                <w:sz w:val="20"/>
                <w:szCs w:val="20"/>
                <w:lang w:val="sr-Latn-RS"/>
              </w:rPr>
              <w:t>vanje sertifikata</w:t>
            </w:r>
            <w:r w:rsidRPr="006829A7">
              <w:rPr>
                <w:sz w:val="20"/>
                <w:szCs w:val="20"/>
                <w:lang w:val="sr-Latn-RS"/>
              </w:rPr>
              <w:t xml:space="preserve"> za učesnike seminara.</w:t>
            </w:r>
          </w:p>
          <w:p w:rsidR="00915C94" w:rsidRPr="006829A7" w:rsidRDefault="00915C94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A.5.3.Anketiranje učesnika seminara.</w:t>
            </w:r>
          </w:p>
          <w:p w:rsidR="00542594" w:rsidRPr="006829A7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89123E" w:rsidRPr="006829A7" w:rsidRDefault="0089123E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A.7. Organizovanje </w:t>
            </w:r>
            <w:r w:rsidR="00431A58" w:rsidRPr="006829A7">
              <w:rPr>
                <w:sz w:val="20"/>
                <w:szCs w:val="20"/>
                <w:lang w:val="sr-Latn-RS"/>
              </w:rPr>
              <w:t xml:space="preserve">debatnih </w:t>
            </w:r>
            <w:r w:rsidRPr="006829A7">
              <w:rPr>
                <w:sz w:val="20"/>
                <w:szCs w:val="20"/>
                <w:lang w:val="sr-Latn-RS"/>
              </w:rPr>
              <w:t xml:space="preserve">radionca </w:t>
            </w:r>
            <w:r w:rsidR="00431A58" w:rsidRPr="006829A7">
              <w:rPr>
                <w:sz w:val="20"/>
                <w:szCs w:val="20"/>
                <w:lang w:val="sr-Latn-RS"/>
              </w:rPr>
              <w:t>o akt</w:t>
            </w:r>
            <w:r w:rsidRPr="006829A7">
              <w:rPr>
                <w:sz w:val="20"/>
                <w:szCs w:val="20"/>
                <w:lang w:val="sr-Latn-RS"/>
              </w:rPr>
              <w:t>uelnim ekološkim pitanjima.</w:t>
            </w:r>
          </w:p>
          <w:p w:rsidR="0089123E" w:rsidRPr="006829A7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A.7.1. Angažovanje stručnih govornika i moderatora.</w:t>
            </w:r>
          </w:p>
          <w:p w:rsidR="0089123E" w:rsidRPr="006829A7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A.7.2. Organizovanje prevoza i smeštaja  za učesnike i moderatore.</w:t>
            </w:r>
          </w:p>
          <w:p w:rsidR="0089123E" w:rsidRPr="006829A7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A.7.3. Obezbeđivanje prevodilaca.</w:t>
            </w:r>
          </w:p>
          <w:p w:rsidR="0089123E" w:rsidRPr="006829A7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A.7.4. Kreiranje agendi debate.</w:t>
            </w:r>
          </w:p>
          <w:p w:rsidR="0089123E" w:rsidRPr="006829A7" w:rsidRDefault="0089123E" w:rsidP="0089123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</w:p>
          <w:p w:rsidR="00542594" w:rsidRPr="006829A7" w:rsidRDefault="0089123E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Pr="006829A7">
              <w:rPr>
                <w:sz w:val="20"/>
                <w:szCs w:val="20"/>
                <w:lang w:val="sr-Latn-RS"/>
              </w:rPr>
              <w:t>8. Održavanje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debatne radionice o aktuelnim ekološim pitanjima.</w:t>
            </w:r>
          </w:p>
          <w:p w:rsidR="00915C94" w:rsidRPr="006829A7" w:rsidRDefault="00542594" w:rsidP="00915C94">
            <w:pPr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</w:t>
            </w:r>
            <w:r w:rsidR="00915C94" w:rsidRPr="006829A7">
              <w:rPr>
                <w:sz w:val="20"/>
                <w:szCs w:val="20"/>
                <w:lang w:val="sr-Latn-RS"/>
              </w:rPr>
              <w:t xml:space="preserve">         </w:t>
            </w:r>
            <w:r w:rsidRPr="006829A7">
              <w:rPr>
                <w:sz w:val="20"/>
                <w:szCs w:val="20"/>
                <w:lang w:val="sr-Latn-RS"/>
              </w:rPr>
              <w:t xml:space="preserve"> </w:t>
            </w:r>
            <w:r w:rsidR="00915C94" w:rsidRPr="006829A7">
              <w:rPr>
                <w:sz w:val="20"/>
                <w:szCs w:val="20"/>
                <w:lang w:val="sr-Latn-RS"/>
              </w:rPr>
              <w:t>A.8.1. Praćenje agende radionice.</w:t>
            </w:r>
          </w:p>
          <w:p w:rsidR="00915C94" w:rsidRPr="006829A7" w:rsidRDefault="00915C94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A.8.2. Dodeljenvanje sertifikata za učesnike radionice.</w:t>
            </w:r>
          </w:p>
          <w:p w:rsidR="00542594" w:rsidRPr="006829A7" w:rsidRDefault="00915C94" w:rsidP="00915C94">
            <w:pPr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        A.8.3.Anketiranje učesnika radionice.</w:t>
            </w:r>
            <w:r w:rsidR="00542594" w:rsidRPr="006829A7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542594" w:rsidRPr="006829A7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542594" w:rsidRPr="006829A7" w:rsidRDefault="0089123E" w:rsidP="00542594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A.9</w:t>
            </w:r>
            <w:r w:rsidR="00542594" w:rsidRPr="006829A7">
              <w:rPr>
                <w:sz w:val="20"/>
                <w:szCs w:val="20"/>
                <w:lang w:val="sr-Latn-RS"/>
              </w:rPr>
              <w:t>. Organizovan</w:t>
            </w:r>
            <w:r w:rsidRPr="006829A7">
              <w:rPr>
                <w:sz w:val="20"/>
                <w:szCs w:val="20"/>
                <w:lang w:val="sr-Latn-RS"/>
              </w:rPr>
              <w:t>j</w:t>
            </w:r>
            <w:r w:rsidR="00542594" w:rsidRPr="006829A7">
              <w:rPr>
                <w:sz w:val="20"/>
                <w:szCs w:val="20"/>
                <w:lang w:val="sr-Latn-RS"/>
              </w:rPr>
              <w:t>e i sproved</w:t>
            </w:r>
            <w:r w:rsidRPr="006829A7">
              <w:rPr>
                <w:sz w:val="20"/>
                <w:szCs w:val="20"/>
                <w:lang w:val="sr-Latn-RS"/>
              </w:rPr>
              <w:t>j</w:t>
            </w:r>
            <w:r w:rsidR="00542594" w:rsidRPr="006829A7">
              <w:rPr>
                <w:sz w:val="20"/>
                <w:szCs w:val="20"/>
                <w:lang w:val="sr-Latn-RS"/>
              </w:rPr>
              <w:t>en</w:t>
            </w:r>
            <w:r w:rsidRPr="006829A7">
              <w:rPr>
                <w:sz w:val="20"/>
                <w:szCs w:val="20"/>
                <w:lang w:val="sr-Latn-RS"/>
              </w:rPr>
              <w:t>j</w:t>
            </w:r>
            <w:r w:rsidR="00542594" w:rsidRPr="006829A7">
              <w:rPr>
                <w:sz w:val="20"/>
                <w:szCs w:val="20"/>
                <w:lang w:val="sr-Latn-RS"/>
              </w:rPr>
              <w:t>e kampanje za povećanje ekološke svesti.</w:t>
            </w:r>
          </w:p>
          <w:p w:rsidR="00542594" w:rsidRPr="006829A7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Pr="006829A7">
              <w:rPr>
                <w:sz w:val="20"/>
                <w:szCs w:val="20"/>
                <w:lang w:val="sr-Latn-RS"/>
              </w:rPr>
              <w:t>9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.1. </w:t>
            </w:r>
            <w:r w:rsidRPr="006829A7">
              <w:rPr>
                <w:sz w:val="20"/>
                <w:szCs w:val="20"/>
                <w:lang w:val="sr-Latn-RS"/>
              </w:rPr>
              <w:t>P</w:t>
            </w:r>
            <w:r w:rsidR="00542594" w:rsidRPr="006829A7">
              <w:rPr>
                <w:sz w:val="20"/>
                <w:szCs w:val="20"/>
                <w:lang w:val="sr-Latn-RS"/>
              </w:rPr>
              <w:t>laniran</w:t>
            </w:r>
            <w:r w:rsidRPr="006829A7">
              <w:rPr>
                <w:sz w:val="20"/>
                <w:szCs w:val="20"/>
                <w:lang w:val="sr-Latn-RS"/>
              </w:rPr>
              <w:t>j</w:t>
            </w:r>
            <w:r w:rsidR="00542594" w:rsidRPr="006829A7">
              <w:rPr>
                <w:sz w:val="20"/>
                <w:szCs w:val="20"/>
                <w:lang w:val="sr-Latn-RS"/>
              </w:rPr>
              <w:t>e kampanje.</w:t>
            </w:r>
          </w:p>
          <w:p w:rsidR="00542594" w:rsidRPr="006829A7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Pr="006829A7">
              <w:rPr>
                <w:sz w:val="20"/>
                <w:szCs w:val="20"/>
                <w:lang w:val="sr-Latn-RS"/>
              </w:rPr>
              <w:t>9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Pr="006829A7">
              <w:rPr>
                <w:sz w:val="20"/>
                <w:szCs w:val="20"/>
                <w:lang w:val="sr-Latn-RS"/>
              </w:rPr>
              <w:t>2. Pripremanje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materijal</w:t>
            </w:r>
            <w:r w:rsidRPr="006829A7">
              <w:rPr>
                <w:sz w:val="20"/>
                <w:szCs w:val="20"/>
                <w:lang w:val="sr-Latn-RS"/>
              </w:rPr>
              <w:t xml:space="preserve">a i </w:t>
            </w:r>
            <w:r w:rsidRPr="006829A7">
              <w:rPr>
                <w:sz w:val="20"/>
                <w:szCs w:val="20"/>
                <w:lang w:val="sr-Latn-RS"/>
              </w:rPr>
              <w:lastRenderedPageBreak/>
              <w:t>resursa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</w:p>
          <w:p w:rsidR="00542594" w:rsidRPr="006829A7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Pr="006829A7">
              <w:rPr>
                <w:sz w:val="20"/>
                <w:szCs w:val="20"/>
                <w:lang w:val="sr-Latn-RS"/>
              </w:rPr>
              <w:t>9</w:t>
            </w:r>
            <w:r w:rsidR="00542594" w:rsidRPr="006829A7">
              <w:rPr>
                <w:sz w:val="20"/>
                <w:szCs w:val="20"/>
                <w:lang w:val="sr-Latn-RS"/>
              </w:rPr>
              <w:t>.3. Izv</w:t>
            </w:r>
            <w:r w:rsidRPr="006829A7">
              <w:rPr>
                <w:sz w:val="20"/>
                <w:szCs w:val="20"/>
                <w:lang w:val="sr-Latn-RS"/>
              </w:rPr>
              <w:t>ođenje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6829A7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Pr="006829A7">
              <w:rPr>
                <w:sz w:val="20"/>
                <w:szCs w:val="20"/>
                <w:lang w:val="sr-Latn-RS"/>
              </w:rPr>
              <w:t>9</w:t>
            </w:r>
            <w:r w:rsidR="00542594" w:rsidRPr="006829A7">
              <w:rPr>
                <w:sz w:val="20"/>
                <w:szCs w:val="20"/>
                <w:lang w:val="sr-Latn-RS"/>
              </w:rPr>
              <w:t>.4. Evalu</w:t>
            </w:r>
            <w:r w:rsidRPr="006829A7">
              <w:rPr>
                <w:sz w:val="20"/>
                <w:szCs w:val="20"/>
                <w:lang w:val="sr-Latn-RS"/>
              </w:rPr>
              <w:t>acija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6829A7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542594" w:rsidRPr="006829A7" w:rsidRDefault="00680991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A.10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6829A7">
              <w:rPr>
                <w:sz w:val="20"/>
                <w:szCs w:val="20"/>
                <w:lang w:val="sr-Latn-RS"/>
              </w:rPr>
              <w:t>P</w:t>
            </w:r>
            <w:r w:rsidR="00542594" w:rsidRPr="006829A7">
              <w:rPr>
                <w:sz w:val="20"/>
                <w:szCs w:val="20"/>
                <w:lang w:val="sr-Latn-RS"/>
              </w:rPr>
              <w:t>lan kvaliteta.</w:t>
            </w:r>
          </w:p>
          <w:p w:rsidR="00542594" w:rsidRPr="006829A7" w:rsidRDefault="00680991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A.10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6829A7">
              <w:rPr>
                <w:sz w:val="20"/>
                <w:szCs w:val="20"/>
                <w:lang w:val="sr-Latn-RS"/>
              </w:rPr>
              <w:t>Izrada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plan</w:t>
            </w:r>
            <w:r w:rsidR="0089123E"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kvaliteta.</w:t>
            </w:r>
            <w:r w:rsidRPr="006829A7">
              <w:rPr>
                <w:sz w:val="20"/>
                <w:szCs w:val="20"/>
                <w:lang w:val="sr-Latn-RS"/>
              </w:rPr>
              <w:br/>
              <w:t xml:space="preserve">   A.</w:t>
            </w:r>
            <w:r w:rsidR="0089123E" w:rsidRPr="006829A7">
              <w:rPr>
                <w:sz w:val="20"/>
                <w:szCs w:val="20"/>
                <w:lang w:val="sr-Latn-RS"/>
              </w:rPr>
              <w:t>1</w:t>
            </w:r>
            <w:r w:rsidRPr="006829A7">
              <w:rPr>
                <w:sz w:val="20"/>
                <w:szCs w:val="20"/>
                <w:lang w:val="sr-Latn-RS"/>
              </w:rPr>
              <w:t>0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6829A7">
              <w:rPr>
                <w:sz w:val="20"/>
                <w:szCs w:val="20"/>
                <w:lang w:val="sr-Latn-RS"/>
              </w:rPr>
              <w:t>Izvršavanje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in</w:t>
            </w:r>
            <w:r w:rsidR="0089123E" w:rsidRPr="006829A7">
              <w:rPr>
                <w:sz w:val="20"/>
                <w:szCs w:val="20"/>
                <w:lang w:val="sr-Latn-RS"/>
              </w:rPr>
              <w:t>ter</w:t>
            </w:r>
            <w:r w:rsidRPr="006829A7">
              <w:rPr>
                <w:sz w:val="20"/>
                <w:szCs w:val="20"/>
                <w:lang w:val="sr-Latn-RS"/>
              </w:rPr>
              <w:t>ne evaluacija kvaliteta.</w:t>
            </w:r>
            <w:r w:rsidRPr="006829A7">
              <w:rPr>
                <w:sz w:val="20"/>
                <w:szCs w:val="20"/>
                <w:lang w:val="sr-Latn-RS"/>
              </w:rPr>
              <w:br/>
              <w:t xml:space="preserve">   A.10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.3. </w:t>
            </w:r>
            <w:r w:rsidR="0089123E" w:rsidRPr="006829A7">
              <w:rPr>
                <w:sz w:val="20"/>
                <w:szCs w:val="20"/>
                <w:lang w:val="sr-Latn-RS"/>
              </w:rPr>
              <w:t>Izvršavanje eksterne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evaluacija kvaliteta.</w:t>
            </w:r>
          </w:p>
          <w:p w:rsidR="00542594" w:rsidRPr="006829A7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6829A7" w:rsidRDefault="00680991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A.11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6829A7">
              <w:rPr>
                <w:sz w:val="20"/>
                <w:szCs w:val="20"/>
                <w:lang w:val="sr-Latn-RS"/>
              </w:rPr>
              <w:t>R</w:t>
            </w:r>
            <w:r w:rsidR="00542594" w:rsidRPr="006829A7">
              <w:rPr>
                <w:sz w:val="20"/>
                <w:szCs w:val="20"/>
                <w:lang w:val="sr-Latn-RS"/>
              </w:rPr>
              <w:t>eklamiranje putem kanala promocije.</w:t>
            </w:r>
          </w:p>
          <w:p w:rsidR="00542594" w:rsidRPr="006829A7" w:rsidRDefault="00680991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A.11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6829A7">
              <w:rPr>
                <w:iCs/>
                <w:sz w:val="20"/>
                <w:szCs w:val="20"/>
                <w:lang w:val="sr-Latn-RS"/>
              </w:rPr>
              <w:t>Reklamiranje</w:t>
            </w:r>
            <w:r w:rsidR="00542594" w:rsidRPr="006829A7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="0089123E" w:rsidRPr="006829A7">
              <w:rPr>
                <w:iCs/>
                <w:sz w:val="20"/>
                <w:szCs w:val="20"/>
                <w:lang w:val="sr-Latn-RS"/>
              </w:rPr>
              <w:t>i delje</w:t>
            </w:r>
            <w:r w:rsidR="00542594" w:rsidRPr="006829A7">
              <w:rPr>
                <w:iCs/>
                <w:sz w:val="20"/>
                <w:szCs w:val="20"/>
                <w:lang w:val="sr-Latn-RS"/>
              </w:rPr>
              <w:t>nje podataka putem medija.</w:t>
            </w:r>
          </w:p>
          <w:p w:rsidR="00542594" w:rsidRPr="006829A7" w:rsidRDefault="00680991" w:rsidP="0089123E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A.11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6829A7">
              <w:rPr>
                <w:iCs/>
                <w:sz w:val="20"/>
                <w:szCs w:val="20"/>
                <w:lang w:val="sr-Latn-RS"/>
              </w:rPr>
              <w:t>Promovisanje</w:t>
            </w:r>
            <w:r w:rsidR="00542594" w:rsidRPr="006829A7">
              <w:rPr>
                <w:iCs/>
                <w:sz w:val="20"/>
                <w:szCs w:val="20"/>
                <w:lang w:val="sr-Latn-RS"/>
              </w:rPr>
              <w:t xml:space="preserve"> i deljenje podataka o projektu putem društvenih mreža.</w:t>
            </w:r>
          </w:p>
          <w:p w:rsidR="00542594" w:rsidRPr="006829A7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 xml:space="preserve">   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="00680991" w:rsidRPr="006829A7">
              <w:rPr>
                <w:sz w:val="20"/>
                <w:szCs w:val="20"/>
                <w:lang w:val="sr-Latn-RS"/>
              </w:rPr>
              <w:t>11.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3. </w:t>
            </w:r>
            <w:r w:rsidRPr="006829A7">
              <w:rPr>
                <w:sz w:val="20"/>
                <w:szCs w:val="20"/>
                <w:lang w:val="sr-Latn-RS"/>
              </w:rPr>
              <w:t>Promovisanje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putem internet reklama.</w:t>
            </w:r>
          </w:p>
          <w:p w:rsidR="00542594" w:rsidRPr="006829A7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6829A7" w:rsidRDefault="00680991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A.12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="0089123E" w:rsidRPr="006829A7">
              <w:rPr>
                <w:sz w:val="20"/>
                <w:szCs w:val="20"/>
                <w:lang w:val="sr-Latn-RS"/>
              </w:rPr>
              <w:t xml:space="preserve"> U</w:t>
            </w:r>
            <w:r w:rsidR="00542594" w:rsidRPr="006829A7">
              <w:rPr>
                <w:sz w:val="20"/>
                <w:szCs w:val="20"/>
                <w:lang w:val="sr-Latn-RS"/>
              </w:rPr>
              <w:t>pravljanje projektom.</w:t>
            </w:r>
          </w:p>
          <w:p w:rsidR="00542594" w:rsidRPr="006829A7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680991" w:rsidRPr="006829A7">
              <w:rPr>
                <w:sz w:val="20"/>
                <w:szCs w:val="20"/>
                <w:lang w:val="sr-Latn-RS"/>
              </w:rPr>
              <w:t>.12</w:t>
            </w:r>
            <w:r w:rsidRPr="006829A7">
              <w:rPr>
                <w:sz w:val="20"/>
                <w:szCs w:val="20"/>
                <w:lang w:val="sr-Latn-RS"/>
              </w:rPr>
              <w:t>.1. Održavanje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sastanak</w:t>
            </w: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 xml:space="preserve"> sa upravnim odborom.</w:t>
            </w:r>
          </w:p>
          <w:p w:rsidR="00542594" w:rsidRPr="006829A7" w:rsidRDefault="0089123E" w:rsidP="00431A58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="00680991" w:rsidRPr="006829A7">
              <w:rPr>
                <w:sz w:val="20"/>
                <w:szCs w:val="20"/>
                <w:lang w:val="sr-Latn-RS"/>
              </w:rPr>
              <w:t>12</w:t>
            </w:r>
            <w:r w:rsidR="00431A58" w:rsidRPr="006829A7">
              <w:rPr>
                <w:sz w:val="20"/>
                <w:szCs w:val="20"/>
                <w:lang w:val="sr-Latn-RS"/>
              </w:rPr>
              <w:t>.2. S</w:t>
            </w:r>
            <w:r w:rsidR="00542594" w:rsidRPr="006829A7">
              <w:rPr>
                <w:sz w:val="20"/>
                <w:szCs w:val="20"/>
                <w:lang w:val="sr-Latn-RS"/>
              </w:rPr>
              <w:t>veukupno upravljanje projekotm.</w:t>
            </w:r>
          </w:p>
          <w:p w:rsidR="00542594" w:rsidRPr="006829A7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829A7">
              <w:rPr>
                <w:sz w:val="20"/>
                <w:szCs w:val="20"/>
                <w:lang w:val="sr-Latn-RS"/>
              </w:rPr>
              <w:t>A</w:t>
            </w:r>
            <w:r w:rsidR="00542594" w:rsidRPr="006829A7">
              <w:rPr>
                <w:sz w:val="20"/>
                <w:szCs w:val="20"/>
                <w:lang w:val="sr-Latn-RS"/>
              </w:rPr>
              <w:t>.</w:t>
            </w:r>
            <w:r w:rsidR="00680991" w:rsidRPr="006829A7">
              <w:rPr>
                <w:sz w:val="20"/>
                <w:szCs w:val="20"/>
                <w:lang w:val="sr-Latn-RS"/>
              </w:rPr>
              <w:t>12</w:t>
            </w:r>
            <w:r w:rsidR="00431A58" w:rsidRPr="006829A7">
              <w:rPr>
                <w:sz w:val="20"/>
                <w:szCs w:val="20"/>
                <w:lang w:val="sr-Latn-RS"/>
              </w:rPr>
              <w:t>.3. L</w:t>
            </w:r>
            <w:r w:rsidR="00542594" w:rsidRPr="006829A7">
              <w:rPr>
                <w:sz w:val="20"/>
                <w:szCs w:val="20"/>
                <w:lang w:val="sr-Latn-RS"/>
              </w:rPr>
              <w:t>okalno upravljanje projektom.</w:t>
            </w:r>
          </w:p>
          <w:p w:rsidR="007E5772" w:rsidRPr="006829A7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7E5772" w:rsidRPr="006829A7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7E5772" w:rsidRPr="006829A7" w:rsidRDefault="007E5772" w:rsidP="00335798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E17703" w:rsidRPr="006829A7" w:rsidRDefault="00E17703" w:rsidP="00335798">
            <w:pPr>
              <w:ind w:left="754"/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E17703" w:rsidRPr="006829A7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6829A7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E17703" w:rsidRPr="006829A7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829A7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6C4A34" w:rsidRPr="006829A7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829A7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6C4A34" w:rsidRPr="006829A7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829A7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6C4A34" w:rsidRPr="006829A7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829A7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96D09" w:rsidRPr="006829A7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829A7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6C4A34" w:rsidRPr="006829A7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829A7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6C4A34" w:rsidRPr="006829A7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829A7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717B2" w:rsidRPr="00377795" w:rsidRDefault="002717B2" w:rsidP="006C4A34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829A7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E17703" w:rsidRPr="006829A7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829A7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6829A7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Obezbeđivanje potrebne tehnologije.</w:t>
            </w:r>
          </w:p>
          <w:p w:rsidR="006829A7" w:rsidRPr="006829A7" w:rsidRDefault="006829A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829A7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</w:tr>
    </w:tbl>
    <w:p w:rsidR="00E17703" w:rsidRPr="006829A7" w:rsidRDefault="00E17703">
      <w:pPr>
        <w:rPr>
          <w:lang w:val="sr-Latn-RS"/>
        </w:rPr>
      </w:pPr>
    </w:p>
    <w:sectPr w:rsidR="00E17703" w:rsidRPr="006829A7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BB" w:rsidRDefault="000F03BB">
      <w:r>
        <w:separator/>
      </w:r>
    </w:p>
  </w:endnote>
  <w:endnote w:type="continuationSeparator" w:id="0">
    <w:p w:rsidR="000F03BB" w:rsidRDefault="000F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BB" w:rsidRDefault="000F03BB">
      <w:r>
        <w:separator/>
      </w:r>
    </w:p>
  </w:footnote>
  <w:footnote w:type="continuationSeparator" w:id="0">
    <w:p w:rsidR="000F03BB" w:rsidRDefault="000F0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26D"/>
    <w:multiLevelType w:val="hybridMultilevel"/>
    <w:tmpl w:val="1708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721FB"/>
    <w:rsid w:val="0017385F"/>
    <w:rsid w:val="001908C2"/>
    <w:rsid w:val="001B0B2E"/>
    <w:rsid w:val="001B5118"/>
    <w:rsid w:val="001D5D70"/>
    <w:rsid w:val="00220327"/>
    <w:rsid w:val="0027003F"/>
    <w:rsid w:val="002717B2"/>
    <w:rsid w:val="002806F6"/>
    <w:rsid w:val="00296D09"/>
    <w:rsid w:val="002A41D8"/>
    <w:rsid w:val="002B1B97"/>
    <w:rsid w:val="002C1237"/>
    <w:rsid w:val="002C3CD7"/>
    <w:rsid w:val="002F2456"/>
    <w:rsid w:val="00335798"/>
    <w:rsid w:val="003508F8"/>
    <w:rsid w:val="00351D8E"/>
    <w:rsid w:val="00377795"/>
    <w:rsid w:val="00385661"/>
    <w:rsid w:val="003921B3"/>
    <w:rsid w:val="00395F42"/>
    <w:rsid w:val="003E32A2"/>
    <w:rsid w:val="003F17FF"/>
    <w:rsid w:val="0040009F"/>
    <w:rsid w:val="00412C65"/>
    <w:rsid w:val="00424E41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F0BCE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6203EF"/>
    <w:rsid w:val="0062231D"/>
    <w:rsid w:val="00650EDC"/>
    <w:rsid w:val="00680991"/>
    <w:rsid w:val="006829A7"/>
    <w:rsid w:val="006B2BE6"/>
    <w:rsid w:val="006B6AD8"/>
    <w:rsid w:val="006C4A34"/>
    <w:rsid w:val="006D0AE1"/>
    <w:rsid w:val="006E3897"/>
    <w:rsid w:val="006E76FE"/>
    <w:rsid w:val="00707A73"/>
    <w:rsid w:val="007201A4"/>
    <w:rsid w:val="00724C3A"/>
    <w:rsid w:val="00733DC5"/>
    <w:rsid w:val="007361DA"/>
    <w:rsid w:val="007709DE"/>
    <w:rsid w:val="007733E2"/>
    <w:rsid w:val="007736ED"/>
    <w:rsid w:val="0077390D"/>
    <w:rsid w:val="007B2E76"/>
    <w:rsid w:val="007C1C61"/>
    <w:rsid w:val="007D1380"/>
    <w:rsid w:val="007D680A"/>
    <w:rsid w:val="007D68EA"/>
    <w:rsid w:val="007E5772"/>
    <w:rsid w:val="008549B6"/>
    <w:rsid w:val="0085665C"/>
    <w:rsid w:val="00857F3B"/>
    <w:rsid w:val="008637A9"/>
    <w:rsid w:val="0088226B"/>
    <w:rsid w:val="0089123E"/>
    <w:rsid w:val="008C5B76"/>
    <w:rsid w:val="008F7F1E"/>
    <w:rsid w:val="009066FC"/>
    <w:rsid w:val="00915C94"/>
    <w:rsid w:val="009161B2"/>
    <w:rsid w:val="0093046B"/>
    <w:rsid w:val="00964396"/>
    <w:rsid w:val="009733E8"/>
    <w:rsid w:val="009811AE"/>
    <w:rsid w:val="009923C8"/>
    <w:rsid w:val="009B3A2D"/>
    <w:rsid w:val="009C1941"/>
    <w:rsid w:val="009E0263"/>
    <w:rsid w:val="009F2967"/>
    <w:rsid w:val="00A37758"/>
    <w:rsid w:val="00A50286"/>
    <w:rsid w:val="00A60D80"/>
    <w:rsid w:val="00A749F5"/>
    <w:rsid w:val="00A9319A"/>
    <w:rsid w:val="00AA13A7"/>
    <w:rsid w:val="00AA4A4B"/>
    <w:rsid w:val="00AA7492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A2892"/>
    <w:rsid w:val="00BB2660"/>
    <w:rsid w:val="00BD1315"/>
    <w:rsid w:val="00BE16ED"/>
    <w:rsid w:val="00BE747B"/>
    <w:rsid w:val="00BF1DF0"/>
    <w:rsid w:val="00C1131D"/>
    <w:rsid w:val="00C44B4C"/>
    <w:rsid w:val="00C66E7E"/>
    <w:rsid w:val="00C769B1"/>
    <w:rsid w:val="00C77712"/>
    <w:rsid w:val="00C87A42"/>
    <w:rsid w:val="00CA6841"/>
    <w:rsid w:val="00CF2B4C"/>
    <w:rsid w:val="00D15269"/>
    <w:rsid w:val="00D27761"/>
    <w:rsid w:val="00D44F34"/>
    <w:rsid w:val="00D56243"/>
    <w:rsid w:val="00D61657"/>
    <w:rsid w:val="00D84D56"/>
    <w:rsid w:val="00DC1896"/>
    <w:rsid w:val="00DE3D22"/>
    <w:rsid w:val="00DF5C0A"/>
    <w:rsid w:val="00DF77A6"/>
    <w:rsid w:val="00E0629A"/>
    <w:rsid w:val="00E1579D"/>
    <w:rsid w:val="00E17703"/>
    <w:rsid w:val="00E41A7B"/>
    <w:rsid w:val="00E91EB6"/>
    <w:rsid w:val="00ED2CB9"/>
    <w:rsid w:val="00EE3AB4"/>
    <w:rsid w:val="00F02DA0"/>
    <w:rsid w:val="00F62FBA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2665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Muna</cp:lastModifiedBy>
  <cp:revision>14</cp:revision>
  <cp:lastPrinted>2013-02-26T09:08:00Z</cp:lastPrinted>
  <dcterms:created xsi:type="dcterms:W3CDTF">2023-05-16T16:39:00Z</dcterms:created>
  <dcterms:modified xsi:type="dcterms:W3CDTF">2023-05-24T08:38:00Z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