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A9108F" w:rsidRDefault="00A9108F"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9108F" w:rsidRDefault="00A9108F"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35324"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Default="00CE169E" w:rsidP="00A00290">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bookmarkStart w:id="1" w:name="_GoBack"/>
            <w:bookmarkEnd w:id="1"/>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rsidR="00F64A7D" w:rsidRDefault="0012389B" w:rsidP="0012389B">
            <w:r w:rsidRPr="0012389B">
              <w:t xml:space="preserve"> - Partner</w:t>
            </w:r>
            <w:r w:rsidR="00151F4F">
              <w:t xml:space="preserve"> institution</w:t>
            </w:r>
            <w:r w:rsidRPr="0012389B">
              <w:t xml:space="preserve"> </w:t>
            </w:r>
            <w:r w:rsidR="00F64A7D" w:rsidRPr="00F64A7D">
              <w:t>[...]</w:t>
            </w:r>
          </w:p>
          <w:p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Pr="0012389B">
              <w:t xml:space="preserve"> </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lastRenderedPageBreak/>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12389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B15C3E"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rsidR="000D5268" w:rsidRPr="001D1CF2" w:rsidRDefault="000D5268" w:rsidP="00576E6B"/>
          <w:p w:rsidR="000D5268" w:rsidRDefault="000D5268" w:rsidP="00576E6B">
            <w:r w:rsidRPr="001D1CF2">
              <w:t xml:space="preserve">Partner Country [...]: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B15C3E"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0"/>
                  <w14:checkedState w14:val="2612" w14:font="MS Gothic"/>
                  <w14:uncheckedState w14:val="2610" w14:font="MS Gothic"/>
                </w14:checkbox>
              </w:sdtPr>
              <w:sdtEndPr/>
              <w:sdtContent>
                <w:r w:rsidR="00BC5265">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rsidR="00860449" w:rsidRPr="006F38CF" w:rsidRDefault="00860449" w:rsidP="00BC5265">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bookmarkEnd w:id="2"/>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860449" w:rsidRPr="006F38CF" w:rsidRDefault="00860449" w:rsidP="00BC5265">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7852C9" w:rsidRDefault="00103106" w:rsidP="00A9108F">
            <w:pPr>
              <w:rPr>
                <w:sz w:val="20"/>
              </w:rPr>
            </w:pPr>
            <w:r w:rsidRPr="007852C9">
              <w:rPr>
                <w:sz w:val="20"/>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7852C9" w:rsidRDefault="00103106" w:rsidP="00A9108F">
            <w:pPr>
              <w:rPr>
                <w:sz w:val="20"/>
              </w:rPr>
            </w:pPr>
            <w:r w:rsidRPr="007852C9">
              <w:rPr>
                <w:sz w:val="20"/>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7852C9" w:rsidRDefault="00103106" w:rsidP="00A9108F">
            <w:pPr>
              <w:rPr>
                <w:sz w:val="20"/>
              </w:rPr>
            </w:pPr>
            <w:r w:rsidRPr="007852C9">
              <w:rPr>
                <w:sz w:val="20"/>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7852C9" w:rsidRDefault="00103106" w:rsidP="00A9108F">
            <w:pPr>
              <w:rPr>
                <w:sz w:val="20"/>
              </w:rPr>
            </w:pPr>
            <w:r w:rsidRPr="007852C9">
              <w:rPr>
                <w:sz w:val="20"/>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DF1BFE" w:rsidP="00A9108F">
            <w:pPr>
              <w:rPr>
                <w:sz w:val="20"/>
              </w:rPr>
            </w:pPr>
            <w:r w:rsidRPr="007852C9">
              <w:rPr>
                <w:sz w:val="20"/>
              </w:rPr>
              <w:t xml:space="preserve">   </w:t>
            </w:r>
            <w:r w:rsidR="00103106"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DF1BFE" w:rsidP="00DF1BFE">
            <w:pPr>
              <w:rPr>
                <w:sz w:val="20"/>
              </w:rPr>
            </w:pPr>
            <w:r w:rsidRPr="007852C9">
              <w:rPr>
                <w:sz w:val="20"/>
              </w:rPr>
              <w:t xml:space="preserve">   </w:t>
            </w:r>
            <w:r w:rsidR="00103106"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DF1BFE" w:rsidP="00DF1BFE">
            <w:pPr>
              <w:rPr>
                <w:sz w:val="20"/>
              </w:rPr>
            </w:pPr>
            <w:r w:rsidRPr="007852C9">
              <w:rPr>
                <w:sz w:val="20"/>
              </w:rPr>
              <w:t xml:space="preserve">  </w:t>
            </w:r>
            <w:r w:rsidR="00103106"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7852C9" w:rsidRDefault="00103106" w:rsidP="00DF1BFE">
            <w:pPr>
              <w:rPr>
                <w:sz w:val="20"/>
              </w:rPr>
            </w:pPr>
            <w:r w:rsidRPr="007852C9">
              <w:rPr>
                <w:sz w:val="20"/>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DF1BFE" w:rsidP="00DF1BFE">
            <w:pPr>
              <w:rPr>
                <w:sz w:val="20"/>
              </w:rPr>
            </w:pPr>
            <w:r w:rsidRPr="007852C9">
              <w:rPr>
                <w:sz w:val="20"/>
              </w:rPr>
              <w:t xml:space="preserve"> </w:t>
            </w:r>
            <w:r w:rsidR="00103106"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DF1BFE" w:rsidP="00DF1BFE">
            <w:pPr>
              <w:rPr>
                <w:sz w:val="20"/>
              </w:rPr>
            </w:pPr>
            <w:r w:rsidRPr="007852C9">
              <w:rPr>
                <w:sz w:val="20"/>
              </w:rPr>
              <w:t xml:space="preserve">  </w:t>
            </w:r>
            <w:r w:rsidR="00103106"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DF1BFE" w:rsidP="00DF1BFE">
            <w:pPr>
              <w:rPr>
                <w:sz w:val="20"/>
              </w:rPr>
            </w:pPr>
            <w:r w:rsidRPr="007852C9">
              <w:rPr>
                <w:sz w:val="20"/>
              </w:rPr>
              <w:t xml:space="preserve">   </w:t>
            </w:r>
            <w:r w:rsidR="00103106"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 xml:space="preserve">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 xml:space="preserve">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 xml:space="preserve">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E74915" w:rsidRDefault="00407D72" w:rsidP="00A9108F">
            <w:r w:rsidRPr="00E74915">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color w:val="000000"/>
                <w:szCs w:val="22"/>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x</w:t>
            </w:r>
          </w:p>
        </w:tc>
        <w:tc>
          <w:tcPr>
            <w:tcW w:w="669" w:type="dxa"/>
          </w:tcPr>
          <w:p w:rsidR="00E74915" w:rsidRPr="00E74915" w:rsidRDefault="00E74915" w:rsidP="00EB11A9">
            <w:pPr>
              <w:jc w:val="center"/>
              <w:rPr>
                <w:b/>
              </w:rPr>
            </w:pPr>
            <w:r w:rsidRPr="00E74915">
              <w:rPr>
                <w:b/>
              </w:rPr>
              <w:t xml:space="preserve">x </w:t>
            </w:r>
          </w:p>
        </w:tc>
        <w:tc>
          <w:tcPr>
            <w:tcW w:w="670" w:type="dxa"/>
          </w:tcPr>
          <w:p w:rsidR="00E74915" w:rsidRPr="00E74915" w:rsidRDefault="00E74915" w:rsidP="00EB11A9">
            <w:pPr>
              <w:jc w:val="center"/>
              <w:rPr>
                <w:b/>
              </w:rPr>
            </w:pPr>
            <w:r w:rsidRPr="00E74915">
              <w:rPr>
                <w:b/>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EB11A9">
            <w:pPr>
              <w:jc w:val="center"/>
              <w:rPr>
                <w:b/>
              </w:rPr>
            </w:pPr>
            <w:r w:rsidRPr="00E74915">
              <w:rPr>
                <w:b/>
              </w:rPr>
              <w:t>1 week</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x</w:t>
            </w: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EB11A9">
            <w:pPr>
              <w:jc w:val="center"/>
              <w:rPr>
                <w:b/>
                <w:sz w:val="21"/>
                <w:szCs w:val="21"/>
              </w:rPr>
            </w:pPr>
            <w:r w:rsidRPr="00E74915">
              <w:rPr>
                <w:b/>
                <w:sz w:val="21"/>
                <w:szCs w:val="21"/>
              </w:rPr>
              <w:t>3 weeks</w:t>
            </w:r>
          </w:p>
        </w:tc>
        <w:tc>
          <w:tcPr>
            <w:tcW w:w="632"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x</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r w:rsidRPr="00E74915">
              <w:rPr>
                <w:b/>
                <w:sz w:val="21"/>
                <w:szCs w:val="21"/>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EB11A9">
            <w:pPr>
              <w:jc w:val="center"/>
              <w:rPr>
                <w:b/>
                <w:sz w:val="21"/>
                <w:szCs w:val="21"/>
              </w:rPr>
            </w:pPr>
            <w:r w:rsidRPr="00E74915">
              <w:rPr>
                <w:b/>
                <w:sz w:val="21"/>
                <w:szCs w:val="21"/>
              </w:rPr>
              <w:t>2 weeks</w:t>
            </w:r>
          </w:p>
        </w:tc>
        <w:tc>
          <w:tcPr>
            <w:tcW w:w="632"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both"/>
              <w:rPr>
                <w:b/>
                <w:sz w:val="21"/>
                <w:szCs w:val="21"/>
              </w:rPr>
            </w:pPr>
            <w:r w:rsidRPr="00E74915">
              <w:rPr>
                <w:b/>
                <w:sz w:val="21"/>
                <w:szCs w:val="21"/>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r w:rsidRPr="00E74915">
              <w:rPr>
                <w:b/>
                <w:sz w:val="21"/>
                <w:szCs w:val="21"/>
              </w:rPr>
              <w:t xml:space="preserve">x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E74915" w:rsidRDefault="00E74915" w:rsidP="00A9108F">
            <w:r w:rsidRPr="00E74915">
              <w:t xml:space="preserve">   Stupanje u kontakt sa lokalnim TV stanicama.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E74915" w:rsidRDefault="00E74915" w:rsidP="00A9108F">
            <w:r w:rsidRPr="00E74915">
              <w:t>Reklamiranje i deljenje podataka putem medija.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E74915" w:rsidRDefault="00E74915" w:rsidP="00A9108F">
            <w:r w:rsidRPr="00E74915">
              <w:t>Kreiranje profila na društvenim mrežama.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x </w:t>
            </w:r>
          </w:p>
        </w:tc>
        <w:tc>
          <w:tcPr>
            <w:tcW w:w="669" w:type="dxa"/>
          </w:tcPr>
          <w:p w:rsidR="00E74915" w:rsidRPr="00E74915" w:rsidRDefault="00E74915" w:rsidP="00EB11A9">
            <w:pPr>
              <w:jc w:val="center"/>
              <w:rPr>
                <w:b/>
              </w:rPr>
            </w:pPr>
            <w:r w:rsidRPr="00E74915">
              <w:rPr>
                <w:b/>
              </w:rPr>
              <w:t xml:space="preserve">x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EB11A9">
            <w:pPr>
              <w:jc w:val="center"/>
              <w:rPr>
                <w:b/>
                <w:sz w:val="21"/>
                <w:szCs w:val="21"/>
              </w:rPr>
            </w:pPr>
            <w:r w:rsidRPr="00E74915">
              <w:rPr>
                <w:b/>
                <w:sz w:val="21"/>
                <w:szCs w:val="21"/>
              </w:rPr>
              <w:t>1 week</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ind w:firstLine="100"/>
              <w:jc w:val="both"/>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E74915" w:rsidRDefault="00B002C7" w:rsidP="00166D9B">
            <w:r w:rsidRPr="00E74915">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E74915" w:rsidRDefault="00B002C7" w:rsidP="00A9108F">
            <w:r w:rsidRPr="00E74915">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1"/>
            <w14:checkedState w14:val="2612" w14:font="MS Gothic"/>
            <w14:uncheckedState w14:val="2610" w14:font="MS Gothic"/>
          </w14:checkbox>
        </w:sdtPr>
        <w:sdtEnd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3" w:name="_Toc179804429"/>
      <w:bookmarkStart w:id="4"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bookmarkEnd w:id="3"/>
      <w:bookmarkEnd w:id="4"/>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15C3E"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15C3E"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15C3E"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15C3E"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B15C3E"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B15C3E"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B15C3E"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B15C3E"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rsidR="005147E7" w:rsidRPr="006F38CF" w:rsidRDefault="00B15C3E"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B15C3E"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B15C3E"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15C3E"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B15C3E"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Cs w:val="24"/>
                <w:lang w:val="en-GB"/>
              </w:rPr>
            </w:pPr>
            <w:r w:rsidRPr="003D2102">
              <w:rPr>
                <w:rFonts w:asciiTheme="minorHAnsi" w:hAnsiTheme="minorHAnsi"/>
                <w:b/>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15C3E"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15C3E"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15C3E"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15C3E"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15C3E"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B15C3E"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B15C3E"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15C3E"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B15C3E"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15C3E"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15C3E"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15C3E"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15C3E"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15C3E"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B15C3E"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B15C3E"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B15C3E"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15C3E"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B15C3E"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15C3E"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15C3E"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15C3E"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15C3E"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15C3E"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B15C3E"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B15C3E"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B15C3E"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B15C3E"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15C3E"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B15C3E"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lang w:val="en-GB"/>
              </w:rPr>
            </w:pPr>
            <w:r w:rsidRPr="00CD773F">
              <w:rPr>
                <w:rFonts w:asciiTheme="minorHAnsi" w:hAnsiTheme="minorHAnsi"/>
                <w:b/>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B15C3E"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B15C3E"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B15C3E"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B15C3E"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B15C3E"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B15C3E"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B15C3E"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B15C3E"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B15C3E"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B15C3E"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B15C3E"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B15C3E"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B15C3E"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B15C3E"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B15C3E"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B15C3E"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B15C3E"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 w:val="22"/>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 w:val="22"/>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 w:val="22"/>
                <w:szCs w:val="22"/>
              </w:rPr>
            </w:pPr>
            <w:r w:rsidRPr="00171457">
              <w:rPr>
                <w:bCs/>
              </w:rPr>
              <w:t>2 - 4 satanka i zapisnici istih</w:t>
            </w:r>
          </w:p>
        </w:tc>
        <w:tc>
          <w:tcPr>
            <w:tcW w:w="2268" w:type="dxa"/>
            <w:vAlign w:val="center"/>
          </w:tcPr>
          <w:p w:rsidR="00560AED" w:rsidRPr="00171457" w:rsidRDefault="00560AED" w:rsidP="00171457">
            <w:pPr>
              <w:jc w:val="center"/>
              <w:rPr>
                <w:bCs/>
                <w:sz w:val="22"/>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B15C3E"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w:t>
            </w:r>
            <w:r w:rsidR="00817B0F">
              <w:rPr>
                <w:bCs/>
              </w:rPr>
              <w:t xml:space="preserve"> </w:t>
            </w:r>
            <w:r w:rsidRPr="00171457">
              <w:rPr>
                <w:bCs/>
              </w:rPr>
              <w:t>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B15C3E"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Reklame putem medija</w:t>
            </w:r>
            <w:r w:rsidRPr="00FC0F4F">
              <w:rPr>
                <w:rFonts w:eastAsia="Times New Roman" w:cs="Times New Roman"/>
                <w:color w:val="000000"/>
                <w:szCs w:val="22"/>
              </w:rPr>
              <w:t>,</w:t>
            </w:r>
            <w:r>
              <w:rPr>
                <w:rFonts w:eastAsia="Times New Roman" w:cs="Times New Roman"/>
                <w:color w:val="000000"/>
                <w:szCs w:val="22"/>
              </w:rPr>
              <w:t xml:space="preserve"> </w:t>
            </w:r>
            <w:r w:rsidRPr="00FC0F4F">
              <w:rPr>
                <w:rFonts w:eastAsia="Times New Roman" w:cs="Times New Roman"/>
                <w:color w:val="000000"/>
                <w:szCs w:val="22"/>
              </w:rPr>
              <w:t>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B15C3E"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w:t>
            </w:r>
            <w:r w:rsidR="00817B0F">
              <w:rPr>
                <w:rFonts w:eastAsia="Times New Roman" w:cs="Times New Roman"/>
                <w:color w:val="000000"/>
                <w:szCs w:val="22"/>
              </w:rPr>
              <w:t xml:space="preserve"> </w:t>
            </w:r>
            <w:r>
              <w:rPr>
                <w:rFonts w:eastAsia="Times New Roman" w:cs="Times New Roman"/>
                <w:color w:val="000000"/>
                <w:szCs w:val="22"/>
              </w:rPr>
              <w:t>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B15C3E"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B15C3E"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B15C3E"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B15C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B15C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B15C3E"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B15C3E"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C3E" w:rsidRDefault="00B15C3E" w:rsidP="00574B25">
      <w:r>
        <w:separator/>
      </w:r>
    </w:p>
  </w:endnote>
  <w:endnote w:type="continuationSeparator" w:id="0">
    <w:p w:rsidR="00B15C3E" w:rsidRDefault="00B15C3E"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8F" w:rsidRDefault="00A9108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A00290">
      <w:rPr>
        <w:bCs/>
        <w:i/>
        <w:noProof/>
        <w:sz w:val="18"/>
        <w:szCs w:val="18"/>
      </w:rPr>
      <w:t>ČistijeSutra</w:t>
    </w:r>
    <w:r w:rsidR="00A00290">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A00290">
      <w:rPr>
        <w:rStyle w:val="PageNumber"/>
        <w:i/>
        <w:noProof/>
        <w:sz w:val="18"/>
        <w:szCs w:val="18"/>
      </w:rPr>
      <w:t>2</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A00290">
      <w:rPr>
        <w:rStyle w:val="PageNumber"/>
        <w:i/>
        <w:noProof/>
        <w:sz w:val="18"/>
        <w:szCs w:val="18"/>
      </w:rPr>
      <w:t>36</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C3E" w:rsidRDefault="00B15C3E" w:rsidP="00574B25">
      <w:r>
        <w:separator/>
      </w:r>
    </w:p>
  </w:footnote>
  <w:footnote w:type="continuationSeparator" w:id="0">
    <w:p w:rsidR="00B15C3E" w:rsidRDefault="00B15C3E" w:rsidP="00574B25">
      <w:r>
        <w:continuationSeparator/>
      </w:r>
    </w:p>
  </w:footnote>
  <w:footnote w:id="1">
    <w:p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0"/>
  </w:num>
  <w:num w:numId="5">
    <w:abstractNumId w:val="15"/>
  </w:num>
  <w:num w:numId="6">
    <w:abstractNumId w:val="8"/>
  </w:num>
  <w:num w:numId="7">
    <w:abstractNumId w:val="7"/>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6"/>
  </w:num>
  <w:num w:numId="15">
    <w:abstractNumId w:val="10"/>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290"/>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5C3E"/>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C6A30-2021-406A-BB8B-E192B5CE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167</TotalTime>
  <Pages>36</Pages>
  <Words>6205</Words>
  <Characters>35369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10</cp:revision>
  <cp:lastPrinted>2018-11-24T15:05:00Z</cp:lastPrinted>
  <dcterms:created xsi:type="dcterms:W3CDTF">2023-06-18T13:55:00Z</dcterms:created>
  <dcterms:modified xsi:type="dcterms:W3CDTF">2023-06-20T18:18:00Z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