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6D6D75"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2C3990" w:rsidRDefault="002C3990"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7E12F5"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7E12F5"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7E12F5"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7E12F5"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1B342B"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1B342B"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6D6D75"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7E12F5"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1B342B"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7E12F5"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7E12F5"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7E12F5"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1B342B" w:rsidTr="00576E6B">
        <w:trPr>
          <w:trHeight w:val="567"/>
        </w:trPr>
        <w:tc>
          <w:tcPr>
            <w:tcW w:w="9639" w:type="dxa"/>
            <w:tcBorders>
              <w:top w:val="single" w:sz="4" w:space="0" w:color="808080"/>
              <w:bottom w:val="single" w:sz="4" w:space="0" w:color="808080"/>
            </w:tcBorders>
          </w:tcPr>
          <w:p w:rsidR="00FD075B" w:rsidRDefault="007E12F5"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7E12F5"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7E12F5"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1B342B" w:rsidTr="00C97D5E">
        <w:trPr>
          <w:trHeight w:val="567"/>
        </w:trPr>
        <w:tc>
          <w:tcPr>
            <w:tcW w:w="9639" w:type="dxa"/>
            <w:tcBorders>
              <w:top w:val="single" w:sz="4" w:space="0" w:color="808080"/>
              <w:bottom w:val="single" w:sz="4" w:space="0" w:color="808080"/>
            </w:tcBorders>
          </w:tcPr>
          <w:p w:rsidR="00367768" w:rsidRDefault="007E12F5"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Pr>
                <w:szCs w:val="22"/>
              </w:rPr>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6D6D75"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367768"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66D8D">
            <w:pPr>
              <w:pStyle w:val="NormalWeb"/>
              <w:numPr>
                <w:ilvl w:val="0"/>
                <w:numId w:val="28"/>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66D8D">
            <w:pPr>
              <w:pStyle w:val="NormalWeb"/>
              <w:numPr>
                <w:ilvl w:val="0"/>
                <w:numId w:val="28"/>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66D8D">
            <w:pPr>
              <w:pStyle w:val="ListParagraph"/>
              <w:numPr>
                <w:ilvl w:val="0"/>
                <w:numId w:val="23"/>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pStyle w:val="ListParagraph"/>
              <w:widowControl w:val="0"/>
              <w:numPr>
                <w:ilvl w:val="0"/>
                <w:numId w:val="23"/>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osoblja završilo trening  i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367768">
              <w:rPr>
                <w:bCs/>
                <w:sz w:val="20"/>
                <w:lang w:val="de-DE"/>
              </w:rPr>
              <w:t>I.6.1. Angažovano je 6 stručnih govornika.</w:t>
            </w:r>
          </w:p>
          <w:p w:rsidR="00F66D8D" w:rsidRPr="00673430" w:rsidRDefault="00F66D8D" w:rsidP="00F66D8D">
            <w:pPr>
              <w:ind w:left="574"/>
              <w:rPr>
                <w:bCs/>
                <w:sz w:val="20"/>
              </w:rPr>
            </w:pP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.1. Isplanirane su  3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66D8D">
            <w:pPr>
              <w:widowControl w:val="0"/>
              <w:numPr>
                <w:ilvl w:val="0"/>
                <w:numId w:val="29"/>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66D8D">
            <w:pPr>
              <w:pStyle w:val="NormalWeb"/>
              <w:numPr>
                <w:ilvl w:val="0"/>
                <w:numId w:val="29"/>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66D8D">
            <w:pPr>
              <w:pStyle w:val="NormalWeb"/>
              <w:numPr>
                <w:ilvl w:val="0"/>
                <w:numId w:val="29"/>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66D8D">
            <w:pPr>
              <w:pStyle w:val="ListParagraph"/>
              <w:widowControl w:val="0"/>
              <w:numPr>
                <w:ilvl w:val="0"/>
                <w:numId w:val="23"/>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 xml:space="preserve">.8. Test </w:t>
            </w:r>
            <w:r w:rsidRPr="00673430">
              <w:rPr>
                <w:bCs/>
                <w:sz w:val="20"/>
              </w:rPr>
              <w:lastRenderedPageBreak/>
              <w:t>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t xml:space="preserve">   A.6</w:t>
            </w:r>
            <w:r w:rsidRPr="00673430">
              <w:rPr>
                <w:sz w:val="20"/>
              </w:rPr>
              <w:t xml:space="preserve">.3. </w:t>
            </w:r>
            <w:r w:rsidRPr="00673430">
              <w:rPr>
                <w:sz w:val="20"/>
              </w:rPr>
              <w:lastRenderedPageBreak/>
              <w:t>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.5. Obezbeđivanje 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66D8D">
            <w:pPr>
              <w:pStyle w:val="ListParagraph"/>
              <w:numPr>
                <w:ilvl w:val="0"/>
                <w:numId w:val="23"/>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 xml:space="preserve">A.10.1. Planiranje </w:t>
            </w:r>
            <w:bookmarkStart w:id="1" w:name="_GoBack"/>
            <w:bookmarkEnd w:id="1"/>
            <w:r w:rsidRPr="00367768">
              <w:rPr>
                <w:sz w:val="20"/>
                <w:lang w:val="de-DE"/>
              </w:rPr>
              <w:t>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 xml:space="preserve">Zakonska </w:t>
            </w:r>
            <w:r w:rsidRPr="00673430">
              <w:rPr>
                <w:color w:val="000000"/>
                <w:sz w:val="20"/>
              </w:rPr>
              <w:lastRenderedPageBreak/>
              <w:t>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 xml:space="preserve">Angažovanje </w:t>
            </w:r>
            <w:r w:rsidRPr="00673430">
              <w:rPr>
                <w:color w:val="000000"/>
                <w:sz w:val="20"/>
              </w:rPr>
              <w:lastRenderedPageBreak/>
              <w:t>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projektu putem </w:t>
            </w:r>
            <w:r w:rsidRPr="00367768">
              <w:rPr>
                <w:iCs/>
                <w:sz w:val="20"/>
                <w:lang w:val="de-DE"/>
              </w:rPr>
              <w:lastRenderedPageBreak/>
              <w:t>društvenih mreža.</w:t>
            </w:r>
          </w:p>
          <w:p w:rsidR="00F66D8D" w:rsidRPr="00673430" w:rsidRDefault="00F66D8D" w:rsidP="00F66D8D">
            <w:pPr>
              <w:ind w:left="574"/>
              <w:rPr>
                <w:sz w:val="20"/>
              </w:rPr>
            </w:pP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66D8D">
            <w:pPr>
              <w:pStyle w:val="ListParagraph"/>
              <w:widowControl w:val="0"/>
              <w:numPr>
                <w:ilvl w:val="0"/>
                <w:numId w:val="23"/>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66D8D">
            <w:pPr>
              <w:pStyle w:val="NormalWeb"/>
              <w:numPr>
                <w:ilvl w:val="0"/>
                <w:numId w:val="30"/>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7E12F5"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1B342B"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0532260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42315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71034057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90669290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93659291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44522829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4485100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7246365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844444148"/>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1468736846"/>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1422519878"/>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146130204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89902092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1876922211"/>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18908717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2237156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9294274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4078479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035234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2414582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2038924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3336902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255097597"/>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271701489"/>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288812242"/>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578335941"/>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1211461239"/>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242303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99495093"/>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239558924"/>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1726570228"/>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516219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367295486"/>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1262060506"/>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270294863"/>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6226520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1A1970" w:rsidP="005321D3">
            <w:pPr>
              <w:rPr>
                <w:rFonts w:asciiTheme="minorHAnsi" w:hAnsiTheme="minorHAnsi"/>
                <w:szCs w:val="22"/>
              </w:rPr>
            </w:pP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1A1970" w:rsidRDefault="001A1970" w:rsidP="005321D3">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1A1970" w:rsidRPr="009950D4" w:rsidRDefault="001A1970" w:rsidP="005321D3">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78894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68965309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1498922047"/>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431713330"/>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9129375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81749031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689262668"/>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617213261"/>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1353948275"/>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1704139730"/>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1829055736"/>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9835087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518281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32732136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786888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019432597"/>
              </w:sdtPr>
              <w:sdtEndPr/>
              <w:sdtContent>
                <w:r w:rsidR="00734C36">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2021673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2187142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3152964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714277044"/>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6D6D75"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6D6D75"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6D6D75"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6D6D75" w:rsidP="005321D3">
            <w:pPr>
              <w:rPr>
                <w:rFonts w:asciiTheme="minorHAnsi" w:hAnsiTheme="minorHAnsi"/>
                <w:lang w:val="en-GB"/>
              </w:rPr>
            </w:pPr>
            <w:sdt>
              <w:sdtPr>
                <w:rPr>
                  <w:color w:val="000000"/>
                </w:rPr>
                <w:id w:val="1308817762"/>
              </w:sdtPr>
              <w:sdtEndPr/>
              <w:sdtContent>
                <w:r w:rsidR="001A1970" w:rsidRPr="00B376BC">
                  <w:rPr>
                    <w:rFonts w:ascii="MS Gothic" w:eastAsia="MS Gothic" w:hAnsi="MS Gothic" w:cs="MS Gothic"/>
                    <w:color w:val="000000"/>
                    <w:lang w:val="en-GB"/>
                  </w:rPr>
                  <w:t>☐</w:t>
                </w:r>
              </w:sdtContent>
            </w:sdt>
            <w:r w:rsidR="001A1970" w:rsidRPr="00B376BC">
              <w:rPr>
                <w:lang w:val="en-GB"/>
              </w:rPr>
              <w:t>Administrative staff</w:t>
            </w:r>
          </w:p>
          <w:p w:rsidR="001A1970" w:rsidRPr="006F38CF" w:rsidRDefault="006D6D75" w:rsidP="005321D3">
            <w:pPr>
              <w:rPr>
                <w:rFonts w:asciiTheme="minorHAnsi" w:hAnsiTheme="minorHAnsi"/>
                <w:lang w:val="en-GB"/>
              </w:rPr>
            </w:pPr>
            <w:sdt>
              <w:sdtPr>
                <w:rPr>
                  <w:color w:val="000000"/>
                </w:rPr>
                <w:id w:val="-2039340472"/>
              </w:sdtPr>
              <w:sdtEndPr/>
              <w:sdtContent>
                <w:r w:rsidR="001A1970" w:rsidRPr="00783797">
                  <w:rPr>
                    <w:rFonts w:ascii="MS Gothic" w:eastAsia="MS Gothic" w:hAnsi="MS Gothic" w:cs="MS Gothic"/>
                    <w:color w:val="000000"/>
                  </w:rPr>
                  <w:t>☐</w:t>
                </w:r>
              </w:sdtContent>
            </w:sdt>
            <w:r w:rsidR="001A1970" w:rsidRPr="00783797">
              <w:t>Technical staff</w:t>
            </w:r>
          </w:p>
          <w:p w:rsidR="001A1970" w:rsidRPr="006F38CF" w:rsidRDefault="006D6D75"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2333944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rPr>
                <w:bCs/>
              </w:rPr>
            </w:pPr>
            <w:r w:rsidRPr="00B11213">
              <w:rPr>
                <w:b/>
                <w:bCs/>
              </w:rPr>
              <w:t>A.4.1.</w:t>
            </w:r>
            <w:r w:rsidRPr="00673430">
              <w:rPr>
                <w:bCs/>
              </w:rPr>
              <w:t xml:space="preserve"> De</w:t>
            </w:r>
            <w:r>
              <w:rPr>
                <w:bCs/>
              </w:rPr>
              <w:t>finisanje opšteg cilja projekta</w:t>
            </w:r>
          </w:p>
          <w:p w:rsidR="001A1970" w:rsidRPr="00673430" w:rsidRDefault="001A1970" w:rsidP="005321D3">
            <w:pPr>
              <w:rPr>
                <w:bCs/>
              </w:rPr>
            </w:pPr>
            <w:r w:rsidRPr="00B11213">
              <w:rPr>
                <w:b/>
                <w:bCs/>
              </w:rPr>
              <w:t>A.4.2.</w:t>
            </w:r>
            <w:r>
              <w:rPr>
                <w:bCs/>
              </w:rPr>
              <w:t xml:space="preserve"> Plan realizacije projekta</w:t>
            </w:r>
          </w:p>
          <w:p w:rsidR="001A1970" w:rsidRPr="00673430" w:rsidRDefault="001A1970" w:rsidP="005321D3">
            <w:pPr>
              <w:rPr>
                <w:bCs/>
              </w:rPr>
            </w:pPr>
            <w:r w:rsidRPr="00B11213">
              <w:rPr>
                <w:b/>
                <w:bCs/>
              </w:rPr>
              <w:t>A.4.3.</w:t>
            </w:r>
            <w:r>
              <w:rPr>
                <w:bCs/>
              </w:rPr>
              <w:t xml:space="preserve"> Raspored aktivnosti</w:t>
            </w:r>
          </w:p>
          <w:p w:rsidR="001A1970" w:rsidRPr="00673430" w:rsidRDefault="001A1970" w:rsidP="005321D3">
            <w:pPr>
              <w:rPr>
                <w:bCs/>
              </w:rPr>
            </w:pPr>
            <w:r w:rsidRPr="00B11213">
              <w:rPr>
                <w:b/>
                <w:bCs/>
              </w:rPr>
              <w:t>A.4.4.</w:t>
            </w:r>
            <w:r w:rsidRPr="00673430">
              <w:rPr>
                <w:bCs/>
              </w:rPr>
              <w:t xml:space="preserve"> Defi</w:t>
            </w:r>
            <w:r>
              <w:rPr>
                <w:bCs/>
              </w:rPr>
              <w:t>nisanje vizije sistema</w:t>
            </w:r>
          </w:p>
          <w:p w:rsidR="001A1970" w:rsidRPr="00673430" w:rsidRDefault="001A1970" w:rsidP="005321D3">
            <w:pPr>
              <w:rPr>
                <w:bCs/>
              </w:rPr>
            </w:pPr>
            <w:r w:rsidRPr="00B11213">
              <w:rPr>
                <w:b/>
                <w:bCs/>
              </w:rPr>
              <w:t>A.4.5.</w:t>
            </w:r>
            <w:r>
              <w:rPr>
                <w:bCs/>
              </w:rPr>
              <w:t xml:space="preserve"> Specifikacija zahteva</w:t>
            </w:r>
          </w:p>
          <w:p w:rsidR="001A1970" w:rsidRPr="00673430" w:rsidRDefault="001A1970" w:rsidP="005321D3">
            <w:pPr>
              <w:rPr>
                <w:bCs/>
              </w:rPr>
            </w:pPr>
            <w:r w:rsidRPr="00B11213">
              <w:rPr>
                <w:b/>
                <w:bCs/>
              </w:rPr>
              <w:t>A.4.6.</w:t>
            </w:r>
            <w:r>
              <w:rPr>
                <w:bCs/>
              </w:rPr>
              <w:t xml:space="preserve"> Detaljni arhitekturni projekat</w:t>
            </w:r>
          </w:p>
          <w:p w:rsidR="001A1970" w:rsidRPr="00673430" w:rsidRDefault="001A1970" w:rsidP="005321D3">
            <w:pPr>
              <w:rPr>
                <w:bCs/>
              </w:rPr>
            </w:pPr>
            <w:r w:rsidRPr="00B11213">
              <w:rPr>
                <w:b/>
                <w:bCs/>
              </w:rPr>
              <w:t>A.4.7.</w:t>
            </w:r>
            <w:r>
              <w:rPr>
                <w:bCs/>
              </w:rPr>
              <w:t xml:space="preserve"> Plan testiranja</w:t>
            </w:r>
          </w:p>
          <w:p w:rsidR="001A1970" w:rsidRPr="00673430" w:rsidRDefault="001A1970" w:rsidP="005321D3">
            <w:pPr>
              <w:rPr>
                <w:bCs/>
              </w:rPr>
            </w:pPr>
            <w:r w:rsidRPr="00B11213">
              <w:rPr>
                <w:b/>
                <w:bCs/>
              </w:rPr>
              <w:t>A.4.8.</w:t>
            </w:r>
            <w:r>
              <w:rPr>
                <w:bCs/>
              </w:rPr>
              <w:t xml:space="preserve"> Test specifikacija</w:t>
            </w:r>
          </w:p>
          <w:p w:rsidR="001A1970" w:rsidRPr="006F38CF" w:rsidRDefault="001A1970" w:rsidP="005321D3">
            <w:pPr>
              <w:rPr>
                <w:rFonts w:asciiTheme="minorHAnsi" w:hAnsiTheme="minorHAnsi"/>
                <w:szCs w:val="22"/>
                <w:lang w:val="en-GB"/>
              </w:rPr>
            </w:pPr>
            <w:r w:rsidRPr="00B11213">
              <w:rPr>
                <w:b/>
                <w:bCs/>
              </w:rPr>
              <w:t>A.4.9.</w:t>
            </w:r>
            <w:r w:rsidRPr="00673430">
              <w:rPr>
                <w:bCs/>
              </w:rPr>
              <w:t xml:space="preserve"> Formiranje korisničkog uputstva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20385356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19777441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1380932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11370716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01706798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2702711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17470690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253747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10239315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1467797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99124750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36695641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3389364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1703297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67545819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87565997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0493833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0095641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7104909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899961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144035388"/>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54140692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506212716"/>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899464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46222931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1056139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73311679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52376876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31164089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877984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7885120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514704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5278691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87097660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27814032"/>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20455588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0235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93278871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51515120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4193590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83229173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081013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90473201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9534886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12855833"/>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5387330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95058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1644716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8048753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1016856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0709326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13120600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34013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85372446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848356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9236272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701864206"/>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2003120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37659245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9611259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39489594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9899030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59693725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790199395"/>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4702534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9445665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1128439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9786536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4038029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20165729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2048588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71304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4954688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189914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953562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21305362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6565752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04248959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34266871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6637772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9117815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90657845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74964554"/>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89924956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55667442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66879661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8309406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20502132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3508632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16250742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94349042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909091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43328435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0066143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8179273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26808754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367768"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1A1970">
            <w:pPr>
              <w:pStyle w:val="ListParagraph"/>
              <w:numPr>
                <w:ilvl w:val="0"/>
                <w:numId w:val="24"/>
              </w:numPr>
              <w:rPr>
                <w:szCs w:val="22"/>
                <w:lang w:val="en-GB"/>
              </w:rPr>
            </w:pPr>
            <w:r w:rsidRPr="009D4577">
              <w:rPr>
                <w:szCs w:val="22"/>
                <w:lang w:val="en-GB"/>
              </w:rPr>
              <w:t>Ozon – Crna Gora</w:t>
            </w:r>
          </w:p>
          <w:p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rsidR="001A1970" w:rsidRDefault="001A1970" w:rsidP="001A1970">
            <w:pPr>
              <w:pStyle w:val="ListParagraph"/>
              <w:numPr>
                <w:ilvl w:val="0"/>
                <w:numId w:val="24"/>
              </w:numPr>
              <w:rPr>
                <w:szCs w:val="22"/>
                <w:lang w:val="en-GB"/>
              </w:rPr>
            </w:pPr>
            <w:r w:rsidRPr="009D4577">
              <w:rPr>
                <w:szCs w:val="22"/>
                <w:lang w:val="en-GB"/>
              </w:rPr>
              <w:t>EcoAlbanija – Albanija</w:t>
            </w:r>
          </w:p>
          <w:p w:rsidR="001A1970" w:rsidRDefault="001A1970" w:rsidP="001A1970">
            <w:pPr>
              <w:pStyle w:val="ListParagraph"/>
              <w:numPr>
                <w:ilvl w:val="0"/>
                <w:numId w:val="24"/>
              </w:numPr>
              <w:rPr>
                <w:szCs w:val="22"/>
                <w:lang w:val="en-GB"/>
              </w:rPr>
            </w:pPr>
            <w:r w:rsidRPr="009D4577">
              <w:rPr>
                <w:szCs w:val="22"/>
                <w:lang w:val="en-GB"/>
              </w:rPr>
              <w:t>BES – Bugarska</w:t>
            </w:r>
          </w:p>
          <w:p w:rsidR="001A1970" w:rsidRDefault="001A1970" w:rsidP="001A1970">
            <w:pPr>
              <w:pStyle w:val="ListParagraph"/>
              <w:numPr>
                <w:ilvl w:val="0"/>
                <w:numId w:val="24"/>
              </w:numPr>
              <w:rPr>
                <w:szCs w:val="22"/>
                <w:lang w:val="en-GB"/>
              </w:rPr>
            </w:pPr>
            <w:r w:rsidRPr="009D4577">
              <w:rPr>
                <w:szCs w:val="22"/>
                <w:lang w:val="en-GB"/>
              </w:rPr>
              <w:t>Oikos – Švedska</w:t>
            </w:r>
          </w:p>
          <w:p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6317486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887386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499862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11497885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5634779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7894031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7942980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6417226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3440955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13829761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20364971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15173400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3167995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5800996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21262247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677452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844620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705525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5593184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2133113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633005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9166957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5264923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42321576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72018513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54310683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76685516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0814904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379943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3177193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66942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680695568"/>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38109059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82733522"/>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0142834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4275626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26097613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02524814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0706124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43266723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82997496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05901073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1391389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69299504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5953691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396626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525541159"/>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92325793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44061423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0797622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54819407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4955257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5966064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399551133"/>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A.7.1.</w:t>
            </w:r>
            <w:r w:rsidRPr="00673430">
              <w:t xml:space="preserve"> Praćenj</w:t>
            </w:r>
            <w:r>
              <w:t>e agende seminara</w:t>
            </w:r>
          </w:p>
          <w:p w:rsidR="001A1970" w:rsidRPr="00673430" w:rsidRDefault="001A1970" w:rsidP="005321D3">
            <w:r w:rsidRPr="001138CC">
              <w:rPr>
                <w:b/>
              </w:rPr>
              <w:t>A.7.2.</w:t>
            </w:r>
            <w:r>
              <w:t xml:space="preserve"> Dodelji</w:t>
            </w:r>
            <w:r w:rsidRPr="00673430">
              <w:t>vanje sertifikata</w:t>
            </w:r>
            <w:r>
              <w:t xml:space="preserve"> za učesnike seminara</w:t>
            </w:r>
          </w:p>
          <w:p w:rsidR="001A1970" w:rsidRDefault="001A1970" w:rsidP="005321D3">
            <w:pPr>
              <w:rPr>
                <w:rFonts w:asciiTheme="minorHAnsi" w:hAnsiTheme="minorHAnsi"/>
                <w:szCs w:val="22"/>
              </w:rPr>
            </w:pPr>
            <w:r w:rsidRPr="001138CC">
              <w:rPr>
                <w:b/>
              </w:rPr>
              <w:t>A.7.3.</w:t>
            </w:r>
            <w:r w:rsidRPr="00673430">
              <w:t>Anketiranje učesnika seminara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39874197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7136280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9150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140135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82471632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559056146"/>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10133524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68316462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21305849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0118225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3290480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44414411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9600729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704405985"/>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233349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92700241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19930745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5830362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66089266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445692362"/>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58364179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7555249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87313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3916211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210251640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474179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758206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6392933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52271883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53995281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6551118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696508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70363472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2318152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38131990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882634516"/>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32039173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026092610"/>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57369748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5299281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98037962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7264878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132735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47802221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293879985"/>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39625365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96457868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2813845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66878832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13822054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20787264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90910951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72556638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08988862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46134164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083410675"/>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559200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26550016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66793584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9113881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w:t>
            </w:r>
            <w:r>
              <w:rPr>
                <w:rFonts w:asciiTheme="minorHAnsi" w:hAnsiTheme="minorHAnsi"/>
                <w:i/>
                <w:lang w:val="en-GB"/>
              </w:rPr>
              <w:lastRenderedPageBreak/>
              <w:t>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37793006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2470011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2768631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3903981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48991076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77401425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30982758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96986234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99655393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40460384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505953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76367429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4591466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53505067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55187689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067301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987042075"/>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35762415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9432291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818486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759878041"/>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42129742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w:t>
            </w:r>
            <w:r>
              <w:rPr>
                <w:rFonts w:asciiTheme="minorHAnsi" w:hAnsiTheme="minorHAnsi"/>
                <w:i/>
                <w:lang w:val="en-GB"/>
              </w:rPr>
              <w:lastRenderedPageBreak/>
              <w:t>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43879346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39146323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69822225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8967044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12382175"/>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300572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3202186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5012424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285186855"/>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79449823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1309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62288102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62611358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407658539"/>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82680470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211643274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8716070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24695919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51243223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42349902"/>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08442826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73137110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7402298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52378709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93201903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3042725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94106347"/>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RPr="00367768"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5321D3">
            <w:pPr>
              <w:pStyle w:val="ListParagraph"/>
              <w:numPr>
                <w:ilvl w:val="0"/>
                <w:numId w:val="25"/>
              </w:numPr>
              <w:rPr>
                <w:bCs/>
              </w:rPr>
            </w:pPr>
            <w:r w:rsidRPr="00EB5BFE">
              <w:rPr>
                <w:b/>
                <w:bCs/>
              </w:rPr>
              <w:t>A.12.1.1.</w:t>
            </w:r>
            <w:r w:rsidRPr="00EB5BFE">
              <w:rPr>
                <w:bCs/>
              </w:rPr>
              <w:t xml:space="preserve"> Odabir odgovarajućeg kapaciteta buradi</w:t>
            </w:r>
          </w:p>
          <w:p w:rsidR="001A1970" w:rsidRPr="00EB5BFE" w:rsidRDefault="001A1970" w:rsidP="005321D3">
            <w:pPr>
              <w:pStyle w:val="ListParagraph"/>
              <w:numPr>
                <w:ilvl w:val="0"/>
                <w:numId w:val="25"/>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5321D3">
            <w:pPr>
              <w:pStyle w:val="ListParagraph"/>
              <w:numPr>
                <w:ilvl w:val="0"/>
                <w:numId w:val="26"/>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5321D3">
            <w:pPr>
              <w:pStyle w:val="ListParagraph"/>
              <w:numPr>
                <w:ilvl w:val="0"/>
                <w:numId w:val="26"/>
              </w:numPr>
              <w:rPr>
                <w:bCs/>
              </w:rPr>
            </w:pPr>
            <w:r w:rsidRPr="005A3A6C">
              <w:rPr>
                <w:b/>
                <w:bCs/>
              </w:rPr>
              <w:lastRenderedPageBreak/>
              <w:t>A.12.2.2.</w:t>
            </w:r>
            <w:r w:rsidRPr="005A3A6C">
              <w:rPr>
                <w:color w:val="000000"/>
              </w:rPr>
              <w:t>Pronalaženje dobavljača ili prodavaca buradi</w:t>
            </w:r>
          </w:p>
          <w:p w:rsidR="001A1970" w:rsidRPr="005A3A6C" w:rsidRDefault="001A1970" w:rsidP="005321D3">
            <w:pPr>
              <w:pStyle w:val="ListParagraph"/>
              <w:numPr>
                <w:ilvl w:val="0"/>
                <w:numId w:val="26"/>
              </w:numPr>
              <w:rPr>
                <w:bCs/>
              </w:rPr>
            </w:pPr>
            <w:r w:rsidRPr="005A3A6C">
              <w:rPr>
                <w:b/>
                <w:bCs/>
              </w:rPr>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5321D3">
            <w:pPr>
              <w:pStyle w:val="ListParagraph"/>
              <w:numPr>
                <w:ilvl w:val="0"/>
                <w:numId w:val="27"/>
              </w:numPr>
              <w:rPr>
                <w:bCs/>
              </w:rPr>
            </w:pPr>
            <w:r w:rsidRPr="005A3A6C">
              <w:rPr>
                <w:b/>
                <w:bCs/>
              </w:rPr>
              <w:t>A.12.3.1.</w:t>
            </w:r>
            <w:r>
              <w:rPr>
                <w:color w:val="000000"/>
              </w:rPr>
              <w:t>Angažovanje majstora</w:t>
            </w:r>
          </w:p>
          <w:p w:rsidR="001A1970" w:rsidRPr="005A3A6C" w:rsidRDefault="001A1970" w:rsidP="005321D3">
            <w:pPr>
              <w:pStyle w:val="ListParagraph"/>
              <w:numPr>
                <w:ilvl w:val="0"/>
                <w:numId w:val="27"/>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5321D3">
            <w:pPr>
              <w:pStyle w:val="ListParagraph"/>
              <w:numPr>
                <w:ilvl w:val="0"/>
                <w:numId w:val="27"/>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1A1970">
            <w:pPr>
              <w:pStyle w:val="ListParagraph"/>
              <w:numPr>
                <w:ilvl w:val="0"/>
                <w:numId w:val="24"/>
              </w:numPr>
              <w:rPr>
                <w:szCs w:val="22"/>
                <w:lang w:val="en-GB"/>
              </w:rPr>
            </w:pPr>
            <w:r>
              <w:rPr>
                <w:szCs w:val="22"/>
                <w:lang w:val="en-GB"/>
              </w:rPr>
              <w:t>TURMEPA – Turska</w:t>
            </w:r>
          </w:p>
          <w:p w:rsidR="001A1970" w:rsidRDefault="001A1970" w:rsidP="001A1970">
            <w:pPr>
              <w:pStyle w:val="ListParagraph"/>
              <w:numPr>
                <w:ilvl w:val="0"/>
                <w:numId w:val="24"/>
              </w:numPr>
              <w:rPr>
                <w:szCs w:val="22"/>
                <w:lang w:val="en-GB"/>
              </w:rPr>
            </w:pPr>
            <w:r>
              <w:rPr>
                <w:szCs w:val="22"/>
                <w:lang w:val="en-GB"/>
              </w:rPr>
              <w:t>Udruga Eko – Hrvatska</w:t>
            </w:r>
          </w:p>
          <w:p w:rsidR="001A1970" w:rsidRDefault="001A1970" w:rsidP="001A1970">
            <w:pPr>
              <w:pStyle w:val="ListParagraph"/>
              <w:numPr>
                <w:ilvl w:val="0"/>
                <w:numId w:val="24"/>
              </w:numPr>
              <w:rPr>
                <w:szCs w:val="22"/>
                <w:lang w:val="en-GB"/>
              </w:rPr>
            </w:pPr>
            <w:r>
              <w:rPr>
                <w:szCs w:val="22"/>
                <w:lang w:val="en-GB"/>
              </w:rPr>
              <w:t>Arcturos – Grčka</w:t>
            </w:r>
          </w:p>
          <w:p w:rsidR="001A1970" w:rsidRDefault="001A1970" w:rsidP="001A1970">
            <w:pPr>
              <w:pStyle w:val="ListParagraph"/>
              <w:numPr>
                <w:ilvl w:val="0"/>
                <w:numId w:val="24"/>
              </w:numPr>
              <w:rPr>
                <w:szCs w:val="22"/>
                <w:lang w:val="en-GB"/>
              </w:rPr>
            </w:pPr>
            <w:r>
              <w:rPr>
                <w:szCs w:val="22"/>
                <w:lang w:val="en-GB"/>
              </w:rPr>
              <w:t>BUND – Nemačka</w:t>
            </w:r>
          </w:p>
          <w:p w:rsidR="001A1970" w:rsidRDefault="001A1970" w:rsidP="001A1970">
            <w:pPr>
              <w:pStyle w:val="ListParagraph"/>
              <w:numPr>
                <w:ilvl w:val="0"/>
                <w:numId w:val="24"/>
              </w:numPr>
              <w:rPr>
                <w:szCs w:val="22"/>
                <w:lang w:val="en-GB"/>
              </w:rPr>
            </w:pPr>
            <w:r>
              <w:rPr>
                <w:szCs w:val="22"/>
                <w:lang w:val="en-GB"/>
              </w:rPr>
              <w:t>Ozon – Crna Gora</w:t>
            </w:r>
          </w:p>
          <w:p w:rsidR="001A1970" w:rsidRDefault="001A1970" w:rsidP="001A1970">
            <w:pPr>
              <w:pStyle w:val="ListParagraph"/>
              <w:numPr>
                <w:ilvl w:val="0"/>
                <w:numId w:val="24"/>
              </w:numPr>
              <w:rPr>
                <w:szCs w:val="22"/>
                <w:lang w:val="en-GB"/>
              </w:rPr>
            </w:pPr>
            <w:r>
              <w:rPr>
                <w:szCs w:val="22"/>
                <w:lang w:val="en-GB"/>
              </w:rPr>
              <w:t>Makedonsko ekološko društvo – Severna Makedonija</w:t>
            </w:r>
          </w:p>
          <w:p w:rsidR="001A1970" w:rsidRDefault="001A1970" w:rsidP="001A1970">
            <w:pPr>
              <w:pStyle w:val="ListParagraph"/>
              <w:numPr>
                <w:ilvl w:val="0"/>
                <w:numId w:val="24"/>
              </w:numPr>
              <w:rPr>
                <w:szCs w:val="22"/>
                <w:lang w:val="en-GB"/>
              </w:rPr>
            </w:pPr>
            <w:r>
              <w:rPr>
                <w:szCs w:val="22"/>
                <w:lang w:val="en-GB"/>
              </w:rPr>
              <w:t>EcoAlbanija – Albanija</w:t>
            </w:r>
          </w:p>
          <w:p w:rsidR="001A1970" w:rsidRDefault="001A1970" w:rsidP="001A1970">
            <w:pPr>
              <w:pStyle w:val="ListParagraph"/>
              <w:numPr>
                <w:ilvl w:val="0"/>
                <w:numId w:val="24"/>
              </w:numPr>
              <w:rPr>
                <w:szCs w:val="22"/>
                <w:lang w:val="en-GB"/>
              </w:rPr>
            </w:pPr>
            <w:r>
              <w:rPr>
                <w:szCs w:val="22"/>
                <w:lang w:val="en-GB"/>
              </w:rPr>
              <w:t>BES – Bugarska</w:t>
            </w:r>
          </w:p>
          <w:p w:rsidR="001A1970" w:rsidRDefault="001A1970" w:rsidP="001A1970">
            <w:pPr>
              <w:pStyle w:val="ListParagraph"/>
              <w:numPr>
                <w:ilvl w:val="0"/>
                <w:numId w:val="24"/>
              </w:numPr>
              <w:rPr>
                <w:szCs w:val="22"/>
                <w:lang w:val="en-GB"/>
              </w:rPr>
            </w:pPr>
            <w:r>
              <w:rPr>
                <w:szCs w:val="22"/>
                <w:lang w:val="en-GB"/>
              </w:rPr>
              <w:t>Oikos – Švedska</w:t>
            </w:r>
          </w:p>
          <w:p w:rsidR="001A1970" w:rsidRDefault="001A1970" w:rsidP="001A1970">
            <w:pPr>
              <w:pStyle w:val="ListParagraph"/>
              <w:numPr>
                <w:ilvl w:val="0"/>
                <w:numId w:val="24"/>
              </w:numPr>
              <w:rPr>
                <w:szCs w:val="22"/>
                <w:lang w:val="en-GB"/>
              </w:rPr>
            </w:pPr>
            <w:r>
              <w:rPr>
                <w:szCs w:val="22"/>
                <w:lang w:val="en-GB"/>
              </w:rPr>
              <w:t>Ecovillage -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A1970" w:rsidP="005321D3">
            <w:pPr>
              <w:rPr>
                <w:rFonts w:asciiTheme="minorHAnsi" w:hAnsiTheme="minorHAnsi"/>
                <w:szCs w:val="22"/>
                <w:lang w:val="en-GB"/>
              </w:rPr>
            </w:pP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39581471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9039411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386718955"/>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5715397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49993425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986438678"/>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80189904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7882432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311757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9176019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35472679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21069506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81290450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50879320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0558858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0101854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354807416"/>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87905342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205430687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01067415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60422162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207754610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66824607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5967787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92959007"/>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8711166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44515915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63393295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38244603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1509407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30605207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87804851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27806566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367768"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3727273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86756914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82586548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147109604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58386901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87566586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8845226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24946811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20413989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15309826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171955507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160184243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1595446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7744544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5632913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96604405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6D6D75"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6D6D75" w:rsidP="005321D3">
            <w:pPr>
              <w:rPr>
                <w:rFonts w:asciiTheme="minorHAnsi" w:hAnsiTheme="minorHAnsi"/>
                <w:color w:val="000000"/>
                <w:lang w:val="en-GB"/>
              </w:rPr>
            </w:pPr>
            <w:sdt>
              <w:sdtPr>
                <w:rPr>
                  <w:color w:val="000000"/>
                </w:rPr>
                <w:id w:val="-57751862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6D6D75"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6D6D75"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szCs w:val="22"/>
                <w:lang w:val="en-GB"/>
              </w:rPr>
            </w:pP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6D6D75" w:rsidP="005321D3">
            <w:pPr>
              <w:rPr>
                <w:rFonts w:asciiTheme="minorHAnsi" w:hAnsiTheme="minorHAnsi"/>
                <w:lang w:val="en-GB"/>
              </w:rPr>
            </w:pPr>
            <w:sdt>
              <w:sdtPr>
                <w:rPr>
                  <w:color w:val="000000"/>
                </w:rPr>
                <w:id w:val="177860479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6D6D75" w:rsidP="005321D3">
            <w:pPr>
              <w:rPr>
                <w:rFonts w:asciiTheme="minorHAnsi" w:hAnsiTheme="minorHAnsi"/>
                <w:lang w:val="en-GB"/>
              </w:rPr>
            </w:pPr>
            <w:sdt>
              <w:sdtPr>
                <w:rPr>
                  <w:color w:val="000000"/>
                </w:rPr>
                <w:id w:val="5346186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6D6D75"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6D6D75" w:rsidP="005321D3">
            <w:pPr>
              <w:rPr>
                <w:rFonts w:asciiTheme="minorHAnsi" w:hAnsiTheme="minorHAnsi"/>
                <w:lang w:val="en-GB"/>
              </w:rPr>
            </w:pPr>
            <w:sdt>
              <w:sdtPr>
                <w:rPr>
                  <w:color w:val="000000"/>
                </w:rPr>
                <w:id w:val="1674532432"/>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6D6D75"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6D6D75"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6D6D75"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6D6D75"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6D6D75"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6D6D75"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49374C">
            <w:pPr>
              <w:numPr>
                <w:ilvl w:val="0"/>
                <w:numId w:val="33"/>
              </w:numPr>
              <w:rPr>
                <w:rFonts w:ascii="Calibri" w:hAnsi="Calibri" w:cs="Calibri"/>
                <w:sz w:val="22"/>
                <w:lang w:eastAsia="en-US"/>
              </w:rPr>
            </w:pPr>
            <w:r>
              <w:t>Dostupnost ljudskih i tehničkih resursa</w:t>
            </w:r>
          </w:p>
          <w:p w:rsidR="0049374C" w:rsidRDefault="0049374C" w:rsidP="0049374C">
            <w:pPr>
              <w:numPr>
                <w:ilvl w:val="0"/>
                <w:numId w:val="33"/>
              </w:numPr>
            </w:pPr>
            <w:r>
              <w:t>Pripremljenost i dostupnost administrativnih lica</w:t>
            </w:r>
          </w:p>
          <w:p w:rsidR="001A1970" w:rsidRPr="0049374C" w:rsidRDefault="0049374C" w:rsidP="0049374C">
            <w:pPr>
              <w:pStyle w:val="ListParagraph"/>
              <w:numPr>
                <w:ilvl w:val="0"/>
                <w:numId w:val="33"/>
              </w:numPr>
              <w:rPr>
                <w:rFonts w:asciiTheme="minorHAnsi" w:hAnsiTheme="minorHAnsi"/>
                <w:szCs w:val="22"/>
                <w:lang w:val="en-GB"/>
              </w:rPr>
            </w:pPr>
            <w:r>
              <w:t>Kvalitetno praćenje od strane administracije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Postojace troskovi placanja osoba kojih ce biti zaduzene za izradu plana kvaliteta(dve osobe) kao i osoba zaduzenih za internu(zaposleni parterskih 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367768"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performed by the </w:t>
            </w:r>
            <w:r w:rsidRPr="00F76789">
              <w:rPr>
                <w:rFonts w:asciiTheme="minorHAnsi" w:hAnsiTheme="minorHAnsi"/>
                <w:i/>
                <w:lang w:val="en-GB"/>
              </w:rPr>
              <w:lastRenderedPageBreak/>
              <w:t>partner.</w:t>
            </w:r>
          </w:p>
        </w:tc>
        <w:tc>
          <w:tcPr>
            <w:tcW w:w="7512" w:type="dxa"/>
            <w:gridSpan w:val="4"/>
          </w:tcPr>
          <w:p w:rsidR="001A1970" w:rsidRPr="006F38CF" w:rsidRDefault="0049374C" w:rsidP="005321D3">
            <w:pPr>
              <w:rPr>
                <w:rFonts w:asciiTheme="minorHAnsi" w:hAnsiTheme="minorHAnsi"/>
                <w:szCs w:val="22"/>
                <w:lang w:val="en-GB"/>
              </w:rPr>
            </w:pPr>
            <w:r>
              <w:lastRenderedPageBreak/>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882508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6869038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D6D75"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289593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D6D75"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D6D75"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 xml:space="preserve">Gotovo da je nemoguće u današnje vreme zamisliti promociju bez prisustva na društvenim mrežama.Na </w:t>
            </w:r>
            <w:r>
              <w:lastRenderedPageBreak/>
              <w:t>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D6D75"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1B342B"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6D6D75"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lastRenderedPageBreak/>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49374C">
            <w:pPr>
              <w:pStyle w:val="ListParagraph"/>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9B21F4">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9B21F4">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9B21F4">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9B21F4">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9B21F4">
            <w:pPr>
              <w:pStyle w:val="ListParagraph"/>
              <w:numPr>
                <w:ilvl w:val="0"/>
                <w:numId w:val="24"/>
              </w:numPr>
              <w:rPr>
                <w:szCs w:val="22"/>
                <w:lang w:val="en-GB"/>
              </w:rPr>
            </w:pPr>
            <w:r w:rsidRPr="009D4577">
              <w:rPr>
                <w:szCs w:val="22"/>
                <w:lang w:val="en-GB"/>
              </w:rPr>
              <w:t>Ozon – Crna Gora</w:t>
            </w:r>
          </w:p>
          <w:p w:rsidR="009B21F4" w:rsidRDefault="009B21F4" w:rsidP="009B21F4">
            <w:pPr>
              <w:pStyle w:val="ListParagraph"/>
              <w:numPr>
                <w:ilvl w:val="0"/>
                <w:numId w:val="24"/>
              </w:numPr>
              <w:rPr>
                <w:szCs w:val="22"/>
                <w:lang w:val="en-GB"/>
              </w:rPr>
            </w:pPr>
            <w:r w:rsidRPr="009D4577">
              <w:rPr>
                <w:szCs w:val="22"/>
                <w:lang w:val="en-GB"/>
              </w:rPr>
              <w:t>Makedonsko ekološko društvo – Severna Makedonija</w:t>
            </w:r>
          </w:p>
          <w:p w:rsidR="009B21F4" w:rsidRDefault="009B21F4" w:rsidP="009B21F4">
            <w:pPr>
              <w:pStyle w:val="ListParagraph"/>
              <w:numPr>
                <w:ilvl w:val="0"/>
                <w:numId w:val="24"/>
              </w:numPr>
              <w:rPr>
                <w:szCs w:val="22"/>
                <w:lang w:val="en-GB"/>
              </w:rPr>
            </w:pPr>
            <w:r w:rsidRPr="009D4577">
              <w:rPr>
                <w:szCs w:val="22"/>
                <w:lang w:val="en-GB"/>
              </w:rPr>
              <w:t>EcoAlbanija – Albanija</w:t>
            </w:r>
          </w:p>
          <w:p w:rsidR="009B21F4" w:rsidRDefault="009B21F4" w:rsidP="009B21F4">
            <w:pPr>
              <w:pStyle w:val="ListParagraph"/>
              <w:numPr>
                <w:ilvl w:val="0"/>
                <w:numId w:val="24"/>
              </w:numPr>
              <w:rPr>
                <w:szCs w:val="22"/>
                <w:lang w:val="en-GB"/>
              </w:rPr>
            </w:pPr>
            <w:r w:rsidRPr="009D4577">
              <w:rPr>
                <w:szCs w:val="22"/>
                <w:lang w:val="en-GB"/>
              </w:rPr>
              <w:t>BES – Bugarska</w:t>
            </w:r>
          </w:p>
          <w:p w:rsidR="009B21F4" w:rsidRDefault="009B21F4" w:rsidP="009B21F4">
            <w:pPr>
              <w:pStyle w:val="ListParagraph"/>
              <w:numPr>
                <w:ilvl w:val="0"/>
                <w:numId w:val="24"/>
              </w:numPr>
              <w:rPr>
                <w:szCs w:val="22"/>
                <w:lang w:val="en-GB"/>
              </w:rPr>
            </w:pPr>
            <w:r w:rsidRPr="009D4577">
              <w:rPr>
                <w:szCs w:val="22"/>
                <w:lang w:val="en-GB"/>
              </w:rPr>
              <w:t>Oikos – Švedska</w:t>
            </w:r>
          </w:p>
          <w:p w:rsidR="001A1970" w:rsidRPr="009B21F4" w:rsidRDefault="009B21F4" w:rsidP="009B21F4">
            <w:pPr>
              <w:pStyle w:val="ListParagraph"/>
              <w:numPr>
                <w:ilvl w:val="0"/>
                <w:numId w:val="24"/>
              </w:numPr>
              <w:rPr>
                <w:rFonts w:asciiTheme="minorHAnsi" w:hAnsiTheme="minorHAnsi"/>
                <w:szCs w:val="22"/>
                <w:lang w:val="en-GB"/>
              </w:rPr>
            </w:pPr>
            <w:r w:rsidRPr="009B21F4">
              <w:rPr>
                <w:szCs w:val="22"/>
                <w:lang w:val="en-GB"/>
              </w:rPr>
              <w:t>Ecovillage -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w:t>
            </w:r>
            <w:r w:rsidRPr="006F38CF">
              <w:rPr>
                <w:rFonts w:asciiTheme="minorHAnsi" w:hAnsiTheme="minorHAnsi"/>
                <w:b/>
                <w:lang w:val="en-GB"/>
              </w:rPr>
              <w:lastRenderedPageBreak/>
              <w: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and Outcome </w:t>
            </w:r>
            <w:r w:rsidRPr="006F38CF">
              <w:rPr>
                <w:rFonts w:asciiTheme="minorHAnsi" w:hAnsiTheme="minorHAnsi"/>
                <w:lang w:val="en-GB"/>
              </w:rPr>
              <w:lastRenderedPageBreak/>
              <w:t>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lastRenderedPageBreak/>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1175126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1B342B"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367768"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6D6D75"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6D6D75"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6D6D75"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6D6D75"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6D6D75"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1B342B"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6D6D75"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6D6D75"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6D6D75"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6D6D75"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6D6D75"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6D6D75"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6D6D75"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6D6D75"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6D6D75"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6D6D75"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6D6D75"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6D6D75"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Cs w:val="22"/>
              </w:rPr>
              <w:t xml:space="preserve"> </w:t>
            </w: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w:t>
            </w:r>
            <w:r w:rsidR="007B7DA2">
              <w:rPr>
                <w:sz w:val="20"/>
              </w:rPr>
              <w:t xml:space="preserve"> </w:t>
            </w:r>
            <w:r>
              <w:rPr>
                <w:sz w:val="20"/>
              </w:rPr>
              <w:t xml:space="preserve">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Dva zaposlena (kategorija 2) će 2 dana sastavljati i 3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C478C4">
              <w:rPr>
                <w:sz w:val="20"/>
              </w:rPr>
              <w:t xml:space="preserve"> u roku od 7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(kategorija 2) će 2 dana pripremati i 2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zaposlena (kategorija 4) će u roku od 10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 xml:space="preserve">Dva zaposlena u administrativnom osoblju (kategorija 1) će 4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osoblju (kategorija 4) će u roku od 4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 xml:space="preserve">Dva zaposlena u administrativnom osoblju (kategorija 4) će u roku od 4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osoblju (kategorija 1) će 4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administrativnom osoblju (kategorija 1) će 4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osoblju (kategorija 4) će u roku od 4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lastRenderedPageBreak/>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7E12F5"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7E12F5"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7E12F5"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7E12F5">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7E12F5"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7E12F5">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E12F5"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6D6D75"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D921FB">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D921FB">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367768"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1B342B" w:rsidTr="005E7A19">
        <w:trPr>
          <w:trHeight w:val="1701"/>
        </w:trPr>
        <w:tc>
          <w:tcPr>
            <w:tcW w:w="9639" w:type="dxa"/>
            <w:gridSpan w:val="6"/>
          </w:tcPr>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D921FB">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1B342B"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D921FB">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D921FB">
            <w:pPr>
              <w:numPr>
                <w:ilvl w:val="0"/>
                <w:numId w:val="42"/>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D921FB">
            <w:pPr>
              <w:numPr>
                <w:ilvl w:val="0"/>
                <w:numId w:val="4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D921FB">
            <w:pPr>
              <w:numPr>
                <w:ilvl w:val="0"/>
                <w:numId w:val="4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D921FB">
            <w:pPr>
              <w:numPr>
                <w:ilvl w:val="0"/>
                <w:numId w:val="4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D921FB">
            <w:pPr>
              <w:numPr>
                <w:ilvl w:val="0"/>
                <w:numId w:val="4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6D6D75"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6D6D75"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6D6D75" w:rsidP="00C24A9F">
            <w:pPr>
              <w:rPr>
                <w:szCs w:val="22"/>
              </w:rPr>
            </w:pPr>
            <w:hyperlink r:id="rId14"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5"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7E12F5"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7E12F5"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6D6D75" w:rsidP="00C24A9F">
            <w:pPr>
              <w:rPr>
                <w:szCs w:val="22"/>
              </w:rPr>
            </w:pPr>
            <w:hyperlink r:id="rId16"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6D6D75"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6D6D75"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6D6D75"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6D6D75" w:rsidP="00C24A9F">
            <w:pPr>
              <w:rPr>
                <w:szCs w:val="22"/>
              </w:rPr>
            </w:pPr>
            <w:hyperlink r:id="rId20"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6D6D75" w:rsidP="00C24A9F">
            <w:pPr>
              <w:rPr>
                <w:szCs w:val="22"/>
              </w:rPr>
            </w:pPr>
            <w:hyperlink r:id="rId21"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6D6D75"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6D6D75"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6D6D75"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6D6D75"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367768"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6D6D75"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6D6D75"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6D6D75"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6D6D75"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6D6D7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6D6D7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6D6D7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6D6D7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6D6D7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6D6D7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6D6D7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6D6D7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6D6D7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D75" w:rsidRDefault="006D6D75" w:rsidP="00574B25">
      <w:r>
        <w:separator/>
      </w:r>
    </w:p>
  </w:endnote>
  <w:endnote w:type="continuationSeparator" w:id="0">
    <w:p w:rsidR="006D6D75" w:rsidRDefault="006D6D7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990" w:rsidRDefault="006D6D75"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1B342B" w:rsidRPr="001B342B">
      <w:rPr>
        <w:bCs/>
        <w:i/>
        <w:noProof/>
        <w:sz w:val="18"/>
        <w:szCs w:val="18"/>
      </w:rPr>
      <w:t>ČistijeSutra/</w:t>
    </w:r>
    <w:r w:rsidR="001B342B">
      <w:rPr>
        <w:noProof/>
      </w:rPr>
      <w:t>ChatGPTeam</w:t>
    </w:r>
    <w:r w:rsidR="001B342B">
      <w:rPr>
        <w:noProof/>
      </w:rPr>
      <w:cr/>
    </w:r>
    <w:r>
      <w:rPr>
        <w:bCs/>
        <w:i/>
        <w:noProof/>
        <w:sz w:val="18"/>
        <w:szCs w:val="18"/>
      </w:rPr>
      <w:fldChar w:fldCharType="end"/>
    </w:r>
    <w:r w:rsidR="002C3990" w:rsidRPr="00A859B1">
      <w:rPr>
        <w:bCs/>
        <w:i/>
        <w:sz w:val="18"/>
        <w:szCs w:val="18"/>
      </w:rPr>
      <w:t xml:space="preserve">Page </w:t>
    </w:r>
    <w:r w:rsidR="002C3990" w:rsidRPr="007A6607">
      <w:rPr>
        <w:rStyle w:val="PageNumber"/>
        <w:i/>
        <w:sz w:val="18"/>
        <w:szCs w:val="18"/>
      </w:rPr>
      <w:fldChar w:fldCharType="begin"/>
    </w:r>
    <w:r w:rsidR="002C3990" w:rsidRPr="00A859B1">
      <w:rPr>
        <w:rStyle w:val="PageNumber"/>
        <w:i/>
        <w:sz w:val="18"/>
        <w:szCs w:val="18"/>
      </w:rPr>
      <w:instrText xml:space="preserve"> PAGE  \* Arabic </w:instrText>
    </w:r>
    <w:r w:rsidR="002C3990" w:rsidRPr="007A6607">
      <w:rPr>
        <w:rStyle w:val="PageNumber"/>
        <w:i/>
        <w:sz w:val="18"/>
        <w:szCs w:val="18"/>
      </w:rPr>
      <w:fldChar w:fldCharType="separate"/>
    </w:r>
    <w:r w:rsidR="001B342B">
      <w:rPr>
        <w:rStyle w:val="PageNumber"/>
        <w:i/>
        <w:noProof/>
        <w:sz w:val="18"/>
        <w:szCs w:val="18"/>
      </w:rPr>
      <w:t>123</w:t>
    </w:r>
    <w:r w:rsidR="002C3990" w:rsidRPr="007A6607">
      <w:rPr>
        <w:rStyle w:val="PageNumber"/>
        <w:i/>
        <w:sz w:val="18"/>
        <w:szCs w:val="18"/>
      </w:rPr>
      <w:fldChar w:fldCharType="end"/>
    </w:r>
    <w:r w:rsidR="002C3990" w:rsidRPr="00A859B1">
      <w:rPr>
        <w:rStyle w:val="PageNumber"/>
        <w:i/>
        <w:sz w:val="18"/>
        <w:szCs w:val="18"/>
      </w:rPr>
      <w:t xml:space="preserve"> of </w:t>
    </w:r>
    <w:r w:rsidR="002C3990" w:rsidRPr="007A6607">
      <w:rPr>
        <w:rStyle w:val="PageNumber"/>
        <w:i/>
        <w:sz w:val="18"/>
        <w:szCs w:val="18"/>
      </w:rPr>
      <w:fldChar w:fldCharType="begin"/>
    </w:r>
    <w:r w:rsidR="002C3990" w:rsidRPr="00A859B1">
      <w:rPr>
        <w:rStyle w:val="PageNumber"/>
        <w:i/>
        <w:sz w:val="18"/>
        <w:szCs w:val="18"/>
      </w:rPr>
      <w:instrText xml:space="preserve"> NUMPAGES </w:instrText>
    </w:r>
    <w:r w:rsidR="002C3990" w:rsidRPr="007A6607">
      <w:rPr>
        <w:rStyle w:val="PageNumber"/>
        <w:i/>
        <w:sz w:val="18"/>
        <w:szCs w:val="18"/>
      </w:rPr>
      <w:fldChar w:fldCharType="separate"/>
    </w:r>
    <w:r w:rsidR="001B342B">
      <w:rPr>
        <w:rStyle w:val="PageNumber"/>
        <w:i/>
        <w:noProof/>
        <w:sz w:val="18"/>
        <w:szCs w:val="18"/>
      </w:rPr>
      <w:t>125</w:t>
    </w:r>
    <w:r w:rsidR="002C3990"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D75" w:rsidRDefault="006D6D75" w:rsidP="00574B25">
      <w:r>
        <w:separator/>
      </w:r>
    </w:p>
  </w:footnote>
  <w:footnote w:type="continuationSeparator" w:id="0">
    <w:p w:rsidR="006D6D75" w:rsidRDefault="006D6D75" w:rsidP="00574B25">
      <w:r>
        <w:continuationSeparator/>
      </w:r>
    </w:p>
  </w:footnote>
  <w:footnote w:id="1">
    <w:p w:rsidR="002C3990" w:rsidRPr="007A6607" w:rsidRDefault="002C399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990" w:rsidRPr="00DF730D" w:rsidRDefault="002C399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6">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2">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9">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0">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41">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2">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4">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20"/>
  </w:num>
  <w:num w:numId="4">
    <w:abstractNumId w:val="1"/>
  </w:num>
  <w:num w:numId="5">
    <w:abstractNumId w:val="31"/>
  </w:num>
  <w:num w:numId="6">
    <w:abstractNumId w:val="18"/>
  </w:num>
  <w:num w:numId="7">
    <w:abstractNumId w:val="15"/>
  </w:num>
  <w:num w:numId="8">
    <w:abstractNumId w:val="9"/>
  </w:num>
  <w:num w:numId="9">
    <w:abstractNumId w:val="8"/>
  </w:num>
  <w:num w:numId="10">
    <w:abstractNumId w:val="36"/>
  </w:num>
  <w:num w:numId="11">
    <w:abstractNumId w:val="38"/>
  </w:num>
  <w:num w:numId="12">
    <w:abstractNumId w:val="37"/>
  </w:num>
  <w:num w:numId="13">
    <w:abstractNumId w:val="42"/>
  </w:num>
  <w:num w:numId="14">
    <w:abstractNumId w:val="12"/>
  </w:num>
  <w:num w:numId="15">
    <w:abstractNumId w:val="21"/>
  </w:num>
  <w:num w:numId="16">
    <w:abstractNumId w:val="23"/>
  </w:num>
  <w:num w:numId="17">
    <w:abstractNumId w:val="22"/>
  </w:num>
  <w:num w:numId="18">
    <w:abstractNumId w:val="3"/>
  </w:num>
  <w:num w:numId="19">
    <w:abstractNumId w:val="27"/>
  </w:num>
  <w:num w:numId="20">
    <w:abstractNumId w:val="7"/>
  </w:num>
  <w:num w:numId="21">
    <w:abstractNumId w:val="45"/>
  </w:num>
  <w:num w:numId="22">
    <w:abstractNumId w:val="43"/>
  </w:num>
  <w:num w:numId="23">
    <w:abstractNumId w:val="10"/>
  </w:num>
  <w:num w:numId="24">
    <w:abstractNumId w:val="30"/>
  </w:num>
  <w:num w:numId="25">
    <w:abstractNumId w:val="25"/>
  </w:num>
  <w:num w:numId="26">
    <w:abstractNumId w:val="2"/>
  </w:num>
  <w:num w:numId="27">
    <w:abstractNumId w:val="44"/>
  </w:num>
  <w:num w:numId="28">
    <w:abstractNumId w:val="41"/>
  </w:num>
  <w:num w:numId="29">
    <w:abstractNumId w:val="19"/>
  </w:num>
  <w:num w:numId="30">
    <w:abstractNumId w:val="39"/>
  </w:num>
  <w:num w:numId="31">
    <w:abstractNumId w:val="4"/>
  </w:num>
  <w:num w:numId="32">
    <w:abstractNumId w:val="32"/>
  </w:num>
  <w:num w:numId="33">
    <w:abstractNumId w:val="29"/>
  </w:num>
  <w:num w:numId="34">
    <w:abstractNumId w:val="17"/>
  </w:num>
  <w:num w:numId="35">
    <w:abstractNumId w:val="6"/>
  </w:num>
  <w:num w:numId="36">
    <w:abstractNumId w:val="40"/>
  </w:num>
  <w:num w:numId="37">
    <w:abstractNumId w:val="28"/>
  </w:num>
  <w:num w:numId="38">
    <w:abstractNumId w:val="24"/>
  </w:num>
  <w:num w:numId="39">
    <w:abstractNumId w:val="0"/>
  </w:num>
  <w:num w:numId="40">
    <w:abstractNumId w:val="11"/>
  </w:num>
  <w:num w:numId="41">
    <w:abstractNumId w:val="14"/>
  </w:num>
  <w:num w:numId="42">
    <w:abstractNumId w:val="5"/>
  </w:num>
  <w:num w:numId="43">
    <w:abstractNumId w:val="34"/>
  </w:num>
  <w:num w:numId="44">
    <w:abstractNumId w:val="16"/>
  </w:num>
  <w:num w:numId="45">
    <w:abstractNumId w:val="13"/>
  </w:num>
  <w:num w:numId="46">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elena-lista.rs/" TargetMode="External"/><Relationship Id="rId18" Type="http://schemas.openxmlformats.org/officeDocument/2006/relationships/hyperlink" Target="http://www.ecoalbania.org/" TargetMode="External"/><Relationship Id="rId3" Type="http://schemas.openxmlformats.org/officeDocument/2006/relationships/styles" Target="styles.xml"/><Relationship Id="rId21" Type="http://schemas.openxmlformats.org/officeDocument/2006/relationships/hyperlink" Target="https://www.zeleni-kljuc.r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arcturos.gr/" TargetMode="External"/><Relationship Id="rId2" Type="http://schemas.openxmlformats.org/officeDocument/2006/relationships/numbering" Target="numbering.xml"/><Relationship Id="rId16" Type="http://schemas.openxmlformats.org/officeDocument/2006/relationships/hyperlink" Target="https://ekologija-grada.hr/" TargetMode="External"/><Relationship Id="rId20" Type="http://schemas.openxmlformats.org/officeDocument/2006/relationships/hyperlink" Target="http://www.bes.org.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ozon.org.mk/" TargetMode="External"/><Relationship Id="rId23"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s://www.bund.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rmepa.org.t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D0FA3-231D-4D9B-ACF9-119F57AF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337</TotalTime>
  <Pages>1</Pages>
  <Words>29778</Words>
  <Characters>169741</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199121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19</cp:revision>
  <cp:lastPrinted>2018-11-24T15:05:00Z</cp:lastPrinted>
  <dcterms:created xsi:type="dcterms:W3CDTF">2023-06-20T22:53:00Z</dcterms:created>
  <dcterms:modified xsi:type="dcterms:W3CDTF">2023-06-28T20:12:00Z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