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bookmarkStart w:id="0" w:name="_GoBack"/>
          <w:bookmarkEnd w:id="0"/>
          <w:p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F10A769" wp14:editId="0CF32351">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rsidR="00AF3DC0" w:rsidRDefault="00AF3DC0"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F10A769"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AF3DC0" w:rsidRDefault="00AF3DC0"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1" w:name="Text2"/>
    <w:p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1"/>
    </w:p>
    <w:p w:rsidR="00435324" w:rsidRPr="006F38CF" w:rsidRDefault="00435324" w:rsidP="00F64B5D">
      <w:pPr>
        <w:jc w:val="center"/>
        <w:rPr>
          <w:b/>
        </w:rPr>
      </w:pPr>
    </w:p>
    <w:p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rsidR="00CE169E" w:rsidRP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rsidR="00F64A7D" w:rsidRDefault="0012389B" w:rsidP="0012389B">
            <w:r w:rsidRPr="0012389B">
              <w:t xml:space="preserve"> - Partner</w:t>
            </w:r>
            <w:r w:rsidR="00151F4F">
              <w:t xml:space="preserve"> institution</w:t>
            </w:r>
            <w:r w:rsidRPr="0012389B">
              <w:t xml:space="preserve"> </w:t>
            </w:r>
            <w:r w:rsidR="00F64A7D" w:rsidRPr="00F64A7D">
              <w:t>[...]</w:t>
            </w:r>
          </w:p>
          <w:p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Pr="0012389B">
              <w:t xml:space="preserve"> </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12389B">
              <w:rPr>
                <w:szCs w:val="22"/>
              </w:rPr>
              <w:fldChar w:fldCharType="end"/>
            </w:r>
          </w:p>
        </w:tc>
      </w:tr>
    </w:tbl>
    <w:p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0F5346"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Pr>
          <w:p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rsidR="000D5268" w:rsidRPr="001D1CF2" w:rsidRDefault="000D5268" w:rsidP="00576E6B"/>
          <w:p w:rsidR="000D5268" w:rsidRDefault="000D5268" w:rsidP="00576E6B">
            <w:r w:rsidRPr="001D1CF2">
              <w:t xml:space="preserve">Partner Country [...]: </w:t>
            </w:r>
            <w:r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t xml:space="preserve">Please complete the following </w:t>
      </w:r>
      <w:r w:rsidRPr="00896F6E">
        <w:rPr>
          <w:b/>
          <w:i/>
        </w:rPr>
        <w:t>Logical Framework Matrix</w:t>
      </w:r>
      <w:r>
        <w:rPr>
          <w:i/>
        </w:rPr>
        <w:t>:</w:t>
      </w:r>
    </w:p>
    <w:p w:rsidR="00690CED" w:rsidRPr="001456C2" w:rsidRDefault="000F5346"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2"/>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3" w:name="_Toc179804429"/>
      <w:bookmarkStart w:id="4"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bookmarkEnd w:id="3"/>
      <w:bookmarkEnd w:id="4"/>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F5346"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F5346"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F5346"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F5346"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0F5346"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rsidR="005147E7" w:rsidRPr="00783797" w:rsidRDefault="000F5346"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rsidR="005147E7" w:rsidRPr="00783797" w:rsidRDefault="000F5346"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rsidR="005147E7" w:rsidRPr="00783797" w:rsidRDefault="000F5346"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rsidR="005147E7" w:rsidRPr="006F38CF" w:rsidRDefault="000F5346"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0F5346"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0F5346"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F5346"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0F5346"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F5346"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F5346"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F5346"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F5346"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F5346"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0F5346"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0F5346"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F5346"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0F5346"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F5346"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F5346"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F5346"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F5346"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F5346"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0F5346"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0F5346"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0F5346"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F5346"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0F5346"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F5346"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F5346"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F5346"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F5346"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F5346"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rsidR="005147E7" w:rsidRPr="006F38CF" w:rsidRDefault="000F5346"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0F5346"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0F5346"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0F5346"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F5346"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0F5346"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F5346"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F5346"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F5346"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F5346"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F5346"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F5346"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0F5346"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0F5346"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0F5346"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F5346"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0F5346"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F5346"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0F5346"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0F5346"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rsidR="00700762" w:rsidRPr="00AF7989" w:rsidRDefault="000F5346"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0F5346"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rsidR="001A6527" w:rsidRDefault="000F5346"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shd w:val="clear" w:color="auto" w:fill="DBE5F1" w:themeFill="accent1" w:themeFillTint="33"/>
            <w:vAlign w:val="center"/>
          </w:tcPr>
          <w:p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rsidR="001A6527" w:rsidRDefault="000F5346"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0F5346"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0F5346"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0F5346"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0F5346"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0F5346"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0F534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0F534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0F534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0F534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0F534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0F534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0F534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0F534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0F534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346" w:rsidRDefault="000F5346" w:rsidP="00574B25">
      <w:r>
        <w:separator/>
      </w:r>
    </w:p>
  </w:endnote>
  <w:endnote w:type="continuationSeparator" w:id="0">
    <w:p w:rsidR="000F5346" w:rsidRDefault="000F534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0F092C">
      <w:rPr>
        <w:bCs/>
        <w:i/>
        <w:noProof/>
        <w:sz w:val="18"/>
        <w:szCs w:val="18"/>
      </w:rPr>
      <w:t>Title of the Project / Acronym</w:t>
    </w:r>
    <w:r w:rsidR="000F092C">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0F092C">
      <w:rPr>
        <w:rStyle w:val="PageNumber"/>
        <w:i/>
        <w:noProof/>
        <w:sz w:val="18"/>
        <w:szCs w:val="18"/>
      </w:rPr>
      <w:t>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0F092C">
      <w:rPr>
        <w:rStyle w:val="PageNumber"/>
        <w:i/>
        <w:noProof/>
        <w:sz w:val="18"/>
        <w:szCs w:val="18"/>
      </w:rPr>
      <w:t>2</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346" w:rsidRDefault="000F5346" w:rsidP="00574B25">
      <w:r>
        <w:separator/>
      </w:r>
    </w:p>
  </w:footnote>
  <w:footnote w:type="continuationSeparator" w:id="0">
    <w:p w:rsidR="000F5346" w:rsidRDefault="000F5346" w:rsidP="00574B25">
      <w:r>
        <w:continuationSeparator/>
      </w:r>
    </w:p>
  </w:footnote>
  <w:footnote w:id="1">
    <w:p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1"/>
  </w:num>
  <w:num w:numId="2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8B911-9B63-4EAE-AA91-814796F3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0</TotalTime>
  <Pages>3</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2</cp:revision>
  <cp:lastPrinted>2018-11-24T15:05:00Z</cp:lastPrinted>
  <dcterms:created xsi:type="dcterms:W3CDTF">2023-06-18T13:55:00Z</dcterms:created>
  <dcterms:modified xsi:type="dcterms:W3CDTF">2023-06-18T13:55:00Z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