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23D2B" w14:textId="77777777" w:rsidR="00C317AE" w:rsidRPr="00C317AE" w:rsidRDefault="00C317AE" w:rsidP="00C317AE">
      <w:pPr>
        <w:pStyle w:val="1"/>
      </w:pPr>
      <w:bookmarkStart w:id="0" w:name="_Toc200125751"/>
      <w:r w:rsidRPr="00C317AE">
        <w:t>Анализ смертности в России</w:t>
      </w:r>
      <w:bookmarkEnd w:id="0"/>
    </w:p>
    <w:p w14:paraId="2AA17390" w14:textId="55C719F8" w:rsidR="00C317AE" w:rsidRPr="00C317AE" w:rsidRDefault="00C317AE" w:rsidP="00C317AE">
      <w:pPr>
        <w:pStyle w:val="3"/>
      </w:pPr>
      <w:bookmarkStart w:id="1" w:name="_Toc200125752"/>
      <w:r w:rsidRPr="00C317AE">
        <w:t>Дескриптивный анализ смертности в России (</w:t>
      </w:r>
      <w:proofErr w:type="gramStart"/>
      <w:r w:rsidRPr="00C317AE">
        <w:t>1950</w:t>
      </w:r>
      <w:r w:rsidR="008F27BA">
        <w:t>-</w:t>
      </w:r>
      <w:r w:rsidRPr="00C317AE">
        <w:t>2023</w:t>
      </w:r>
      <w:proofErr w:type="gramEnd"/>
      <w:r w:rsidRPr="00C317AE">
        <w:t>)</w:t>
      </w:r>
      <w:bookmarkEnd w:id="1"/>
    </w:p>
    <w:p w14:paraId="0EDB2618" w14:textId="77777777" w:rsidR="00C317AE" w:rsidRPr="00C21083" w:rsidRDefault="00C317AE" w:rsidP="00C317AE">
      <w:r w:rsidRPr="00C21083">
        <w:t>Исследование охватывает показатель смертности на 1000 человек населения с 1950 по 2023 год. Первоначальный временной ряд включал данные с шагом в 10 лет до 2000 года и ежегодные значения после.</w:t>
      </w:r>
    </w:p>
    <w:p w14:paraId="2BFEEF79" w14:textId="65AC84F8" w:rsidR="00C317AE" w:rsidRPr="008006EA" w:rsidRDefault="00C317AE" w:rsidP="00C317AE">
      <w:r w:rsidRPr="00C21083">
        <w:t>Однако анализ показал, что редкая дискретизация до 2000 года (раз в 10 лет) и резкие скачки и спады искажают общее распределение. Поэтому основной фокус анализа был смещён на период </w:t>
      </w:r>
      <w:proofErr w:type="gramStart"/>
      <w:r w:rsidRPr="00C21083">
        <w:t>2000</w:t>
      </w:r>
      <w:r w:rsidR="008F27BA">
        <w:t>-</w:t>
      </w:r>
      <w:r w:rsidRPr="00C21083">
        <w:t>2023</w:t>
      </w:r>
      <w:proofErr w:type="gramEnd"/>
      <w:r w:rsidRPr="00C21083">
        <w:t>, аналогично анализу рождаемости.</w:t>
      </w:r>
    </w:p>
    <w:p w14:paraId="6E35C49A" w14:textId="559F5533" w:rsidR="00C317AE" w:rsidRDefault="00C317AE" w:rsidP="00C317AE">
      <w:bookmarkStart w:id="2" w:name="OLE_LINK2"/>
      <w:r w:rsidRPr="001C2E0B">
        <w:rPr>
          <w:noProof/>
        </w:rPr>
        <w:drawing>
          <wp:anchor distT="0" distB="0" distL="114300" distR="114300" simplePos="0" relativeHeight="251659264" behindDoc="0" locked="0" layoutInCell="1" allowOverlap="1" wp14:anchorId="7088A0A2" wp14:editId="4487567F">
            <wp:simplePos x="0" y="0"/>
            <wp:positionH relativeFrom="column">
              <wp:posOffset>-63500</wp:posOffset>
            </wp:positionH>
            <wp:positionV relativeFrom="paragraph">
              <wp:posOffset>332105</wp:posOffset>
            </wp:positionV>
            <wp:extent cx="5731510" cy="2832735"/>
            <wp:effectExtent l="0" t="0" r="8890" b="12065"/>
            <wp:wrapTopAndBottom/>
            <wp:docPr id="22789584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4CDA88C-F8C4-13A8-47A1-63BFFFEBE5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7BA">
        <w:t xml:space="preserve">График 1. </w:t>
      </w:r>
      <w:r w:rsidRPr="001C2E0B">
        <w:t>Дескриптивная статистика (</w:t>
      </w:r>
      <w:proofErr w:type="gramStart"/>
      <w:r w:rsidRPr="001C2E0B">
        <w:t>1950-2023</w:t>
      </w:r>
      <w:proofErr w:type="gramEnd"/>
      <w:r w:rsidRPr="001C2E0B">
        <w:t>)</w:t>
      </w:r>
    </w:p>
    <w:p w14:paraId="1FC44B5F" w14:textId="77777777" w:rsidR="00C317AE" w:rsidRDefault="00C317AE" w:rsidP="00C317AE">
      <w:r>
        <w:t xml:space="preserve">По графику видно снижение смертности с 1950 по 1960, резкий рост с 1990 до пика в 2003 году. После видимо плавное снижение с </w:t>
      </w:r>
      <w:proofErr w:type="gramStart"/>
      <w:r>
        <w:t>2005-2019</w:t>
      </w:r>
      <w:proofErr w:type="gramEnd"/>
      <w:r>
        <w:t xml:space="preserve">. За этим следует резкий всплеск в </w:t>
      </w:r>
      <w:proofErr w:type="gramStart"/>
      <w:r>
        <w:t>2020-2021</w:t>
      </w:r>
      <w:proofErr w:type="gramEnd"/>
      <w:r>
        <w:t xml:space="preserve"> (пик в 2021), вероятнее всего связан с COVID</w:t>
      </w:r>
      <w:r w:rsidRPr="001C2E0B">
        <w:t>-19</w:t>
      </w:r>
      <w:r>
        <w:t>. После 2022 наблюдаем снижение смертности – восстановление после пандемии.</w:t>
      </w:r>
    </w:p>
    <w:p w14:paraId="45714FEC" w14:textId="5343FA1C" w:rsidR="008F27BA" w:rsidRPr="001C2E0B" w:rsidRDefault="008F27BA" w:rsidP="00C317AE">
      <w:r>
        <w:t xml:space="preserve">Таблица 1. </w:t>
      </w:r>
      <w:r w:rsidRPr="001C2E0B">
        <w:t>Дескриптивная статистика (</w:t>
      </w:r>
      <w:proofErr w:type="gramStart"/>
      <w:r w:rsidRPr="001C2E0B">
        <w:t>1950-2023</w:t>
      </w:r>
      <w:proofErr w:type="gramEnd"/>
      <w:r w:rsidRPr="001C2E0B">
        <w:t>)</w:t>
      </w:r>
    </w:p>
    <w:tbl>
      <w:tblPr>
        <w:tblW w:w="8640" w:type="dxa"/>
        <w:tblInd w:w="-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317AE" w14:paraId="53F74CFE" w14:textId="77777777" w:rsidTr="007219EB">
        <w:trPr>
          <w:trHeight w:val="302"/>
        </w:trPr>
        <w:tc>
          <w:tcPr>
            <w:tcW w:w="2880" w:type="dxa"/>
            <w:shd w:val="clear" w:color="auto" w:fill="A5C9EB" w:themeFill="text2" w:themeFillTint="40"/>
          </w:tcPr>
          <w:bookmarkEnd w:id="2"/>
          <w:p w14:paraId="488C4611" w14:textId="77777777" w:rsidR="00C317AE" w:rsidRPr="008006EA" w:rsidRDefault="00C317AE" w:rsidP="007219EB">
            <w:r w:rsidRPr="008006EA">
              <w:t>Показатель</w:t>
            </w:r>
          </w:p>
        </w:tc>
        <w:tc>
          <w:tcPr>
            <w:tcW w:w="2880" w:type="dxa"/>
            <w:shd w:val="clear" w:color="auto" w:fill="A5C9EB" w:themeFill="text2" w:themeFillTint="40"/>
          </w:tcPr>
          <w:p w14:paraId="4868C9C0" w14:textId="77777777" w:rsidR="00C317AE" w:rsidRPr="008006EA" w:rsidRDefault="00C317AE" w:rsidP="007219EB">
            <w:r w:rsidRPr="008006EA">
              <w:t>Значение</w:t>
            </w:r>
          </w:p>
        </w:tc>
        <w:tc>
          <w:tcPr>
            <w:tcW w:w="2880" w:type="dxa"/>
            <w:shd w:val="clear" w:color="auto" w:fill="A5C9EB" w:themeFill="text2" w:themeFillTint="40"/>
          </w:tcPr>
          <w:p w14:paraId="7710A0D7" w14:textId="77777777" w:rsidR="00C317AE" w:rsidRPr="008006EA" w:rsidRDefault="00C317AE" w:rsidP="007219EB">
            <w:r w:rsidRPr="008006EA">
              <w:t>Комментарий</w:t>
            </w:r>
          </w:p>
        </w:tc>
      </w:tr>
      <w:tr w:rsidR="00C317AE" w:rsidRPr="008006EA" w14:paraId="624C2779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515193E6" w14:textId="77777777" w:rsidR="00C317AE" w:rsidRPr="008006EA" w:rsidRDefault="00C317AE" w:rsidP="007219EB">
            <w:r w:rsidRPr="008006EA">
              <w:t>Max</w:t>
            </w:r>
          </w:p>
        </w:tc>
        <w:tc>
          <w:tcPr>
            <w:tcW w:w="2880" w:type="dxa"/>
            <w:vAlign w:val="bottom"/>
          </w:tcPr>
          <w:p w14:paraId="41A3C069" w14:textId="77777777" w:rsidR="00C317AE" w:rsidRPr="008006EA" w:rsidRDefault="00C317AE" w:rsidP="007219EB">
            <w:r w:rsidRPr="008006EA">
              <w:t>16,60</w:t>
            </w:r>
          </w:p>
        </w:tc>
        <w:tc>
          <w:tcPr>
            <w:tcW w:w="2880" w:type="dxa"/>
            <w:vAlign w:val="bottom"/>
          </w:tcPr>
          <w:p w14:paraId="42195E87" w14:textId="77777777" w:rsidR="00C317AE" w:rsidRPr="008006EA" w:rsidRDefault="00C317AE" w:rsidP="007219EB">
            <w:r w:rsidRPr="008006EA">
              <w:t>2021</w:t>
            </w:r>
          </w:p>
        </w:tc>
      </w:tr>
      <w:tr w:rsidR="00C317AE" w:rsidRPr="008006EA" w14:paraId="54C76AA3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1E934345" w14:textId="77777777" w:rsidR="00C317AE" w:rsidRPr="008006EA" w:rsidRDefault="00C317AE" w:rsidP="007219EB">
            <w:proofErr w:type="spellStart"/>
            <w:r w:rsidRPr="008006EA">
              <w:t>Min</w:t>
            </w:r>
            <w:proofErr w:type="spellEnd"/>
          </w:p>
        </w:tc>
        <w:tc>
          <w:tcPr>
            <w:tcW w:w="2880" w:type="dxa"/>
            <w:vAlign w:val="bottom"/>
          </w:tcPr>
          <w:p w14:paraId="128880A4" w14:textId="77777777" w:rsidR="00C317AE" w:rsidRPr="008006EA" w:rsidRDefault="00C317AE" w:rsidP="007219EB">
            <w:r w:rsidRPr="008006EA">
              <w:t>7,40</w:t>
            </w:r>
          </w:p>
        </w:tc>
        <w:tc>
          <w:tcPr>
            <w:tcW w:w="2880" w:type="dxa"/>
            <w:vAlign w:val="bottom"/>
          </w:tcPr>
          <w:p w14:paraId="19BBCD80" w14:textId="77777777" w:rsidR="00C317AE" w:rsidRPr="008006EA" w:rsidRDefault="00C317AE" w:rsidP="007219EB">
            <w:r w:rsidRPr="008006EA">
              <w:t>1960</w:t>
            </w:r>
          </w:p>
        </w:tc>
      </w:tr>
      <w:tr w:rsidR="00C317AE" w:rsidRPr="008006EA" w14:paraId="42400A62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0152BF78" w14:textId="77777777" w:rsidR="00C317AE" w:rsidRPr="008006EA" w:rsidRDefault="00C317AE" w:rsidP="007219EB">
            <w:r w:rsidRPr="008006EA">
              <w:lastRenderedPageBreak/>
              <w:t>Размах</w:t>
            </w:r>
          </w:p>
        </w:tc>
        <w:tc>
          <w:tcPr>
            <w:tcW w:w="2880" w:type="dxa"/>
            <w:vAlign w:val="bottom"/>
          </w:tcPr>
          <w:p w14:paraId="5E88004F" w14:textId="77777777" w:rsidR="00C317AE" w:rsidRPr="008006EA" w:rsidRDefault="00C317AE" w:rsidP="007219EB">
            <w:r w:rsidRPr="008006EA">
              <w:t>9,20</w:t>
            </w:r>
          </w:p>
        </w:tc>
        <w:tc>
          <w:tcPr>
            <w:tcW w:w="2880" w:type="dxa"/>
            <w:vAlign w:val="bottom"/>
          </w:tcPr>
          <w:p w14:paraId="2280CCDD" w14:textId="77777777" w:rsidR="00C317AE" w:rsidRPr="008006EA" w:rsidRDefault="00C317AE" w:rsidP="007219EB">
            <w:r w:rsidRPr="008006EA">
              <w:t>Очень большое колебание (почти в 2,2 раза)</w:t>
            </w:r>
          </w:p>
        </w:tc>
      </w:tr>
      <w:tr w:rsidR="00C317AE" w:rsidRPr="008006EA" w14:paraId="35103EDB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2DDB321C" w14:textId="77777777" w:rsidR="00C317AE" w:rsidRPr="008006EA" w:rsidRDefault="00C317AE" w:rsidP="007219EB">
            <w:r w:rsidRPr="008006EA">
              <w:t>Среднее</w:t>
            </w:r>
          </w:p>
        </w:tc>
        <w:tc>
          <w:tcPr>
            <w:tcW w:w="2880" w:type="dxa"/>
            <w:vAlign w:val="bottom"/>
          </w:tcPr>
          <w:p w14:paraId="4D1E3436" w14:textId="77777777" w:rsidR="00C317AE" w:rsidRPr="008006EA" w:rsidRDefault="00C317AE" w:rsidP="007219EB">
            <w:r w:rsidRPr="008006EA">
              <w:t>13,44</w:t>
            </w:r>
          </w:p>
        </w:tc>
        <w:tc>
          <w:tcPr>
            <w:tcW w:w="2880" w:type="dxa"/>
            <w:vAlign w:val="bottom"/>
          </w:tcPr>
          <w:p w14:paraId="1AC5E5DE" w14:textId="77777777" w:rsidR="00C317AE" w:rsidRPr="008006EA" w:rsidRDefault="00C317AE" w:rsidP="007219EB">
            <w:r w:rsidRPr="008006EA">
              <w:t>Среднее и медиана практически равны (распределение близко к симметричному)</w:t>
            </w:r>
          </w:p>
        </w:tc>
      </w:tr>
      <w:tr w:rsidR="00C317AE" w:rsidRPr="008006EA" w14:paraId="2945BAD5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4B481CCB" w14:textId="77777777" w:rsidR="00C317AE" w:rsidRPr="008006EA" w:rsidRDefault="00C317AE" w:rsidP="007219EB">
            <w:r w:rsidRPr="008006EA">
              <w:t>Медиана</w:t>
            </w:r>
          </w:p>
        </w:tc>
        <w:tc>
          <w:tcPr>
            <w:tcW w:w="2880" w:type="dxa"/>
            <w:vAlign w:val="bottom"/>
          </w:tcPr>
          <w:p w14:paraId="28856B4B" w14:textId="77777777" w:rsidR="00C317AE" w:rsidRPr="008006EA" w:rsidRDefault="00C317AE" w:rsidP="007219EB">
            <w:r w:rsidRPr="008006EA">
              <w:t>13,40</w:t>
            </w:r>
          </w:p>
        </w:tc>
        <w:tc>
          <w:tcPr>
            <w:tcW w:w="2880" w:type="dxa"/>
            <w:vAlign w:val="bottom"/>
          </w:tcPr>
          <w:p w14:paraId="2171E408" w14:textId="77777777" w:rsidR="00C317AE" w:rsidRPr="008006EA" w:rsidRDefault="00C317AE" w:rsidP="007219EB"/>
        </w:tc>
      </w:tr>
      <w:tr w:rsidR="00C317AE" w:rsidRPr="008006EA" w14:paraId="3546D2CB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731D527F" w14:textId="77777777" w:rsidR="00C317AE" w:rsidRPr="008006EA" w:rsidRDefault="00C317AE" w:rsidP="007219EB">
            <w:r w:rsidRPr="008006EA">
              <w:t>Мода</w:t>
            </w:r>
          </w:p>
        </w:tc>
        <w:tc>
          <w:tcPr>
            <w:tcW w:w="2880" w:type="dxa"/>
            <w:vAlign w:val="bottom"/>
          </w:tcPr>
          <w:p w14:paraId="46F2B92A" w14:textId="77777777" w:rsidR="00C317AE" w:rsidRPr="008006EA" w:rsidRDefault="00C317AE" w:rsidP="007219EB">
            <w:r w:rsidRPr="008006EA">
              <w:t>14,50</w:t>
            </w:r>
          </w:p>
        </w:tc>
        <w:tc>
          <w:tcPr>
            <w:tcW w:w="2880" w:type="dxa"/>
            <w:vAlign w:val="bottom"/>
          </w:tcPr>
          <w:p w14:paraId="68B650CE" w14:textId="77777777" w:rsidR="00C317AE" w:rsidRPr="008006EA" w:rsidRDefault="00C317AE" w:rsidP="007219EB">
            <w:r w:rsidRPr="008006EA">
              <w:t>Немного больше, чем среднее (больше лет с повышенной смертностью)</w:t>
            </w:r>
          </w:p>
        </w:tc>
      </w:tr>
      <w:tr w:rsidR="00C317AE" w:rsidRPr="008006EA" w14:paraId="3CCD51C0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7911750F" w14:textId="77777777" w:rsidR="00C317AE" w:rsidRPr="008006EA" w:rsidRDefault="00C317AE" w:rsidP="007219EB">
            <w:pPr>
              <w:rPr>
                <w:rFonts w:eastAsia="Cambria"/>
              </w:rPr>
            </w:pPr>
            <w:r w:rsidRPr="008006EA">
              <w:t>Дисперсия</w:t>
            </w:r>
          </w:p>
        </w:tc>
        <w:tc>
          <w:tcPr>
            <w:tcW w:w="2880" w:type="dxa"/>
            <w:vAlign w:val="bottom"/>
          </w:tcPr>
          <w:p w14:paraId="2DC4ACF2" w14:textId="77777777" w:rsidR="00C317AE" w:rsidRPr="008006EA" w:rsidRDefault="00C317AE" w:rsidP="007219EB">
            <w:r w:rsidRPr="008006EA">
              <w:t>4,84</w:t>
            </w:r>
          </w:p>
        </w:tc>
        <w:tc>
          <w:tcPr>
            <w:tcW w:w="2880" w:type="dxa"/>
            <w:vAlign w:val="bottom"/>
          </w:tcPr>
          <w:p w14:paraId="6D2B9A5A" w14:textId="77777777" w:rsidR="00C317AE" w:rsidRPr="008006EA" w:rsidRDefault="00C317AE" w:rsidP="007219EB"/>
        </w:tc>
      </w:tr>
      <w:tr w:rsidR="00C317AE" w:rsidRPr="008006EA" w14:paraId="3F9BC056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2BC611B0" w14:textId="77777777" w:rsidR="00C317AE" w:rsidRPr="008006EA" w:rsidRDefault="00C317AE" w:rsidP="007219EB">
            <w:r w:rsidRPr="008006EA">
              <w:t>Стандартное отклонение</w:t>
            </w:r>
          </w:p>
        </w:tc>
        <w:tc>
          <w:tcPr>
            <w:tcW w:w="2880" w:type="dxa"/>
            <w:vAlign w:val="bottom"/>
          </w:tcPr>
          <w:p w14:paraId="68A145BB" w14:textId="77777777" w:rsidR="00C317AE" w:rsidRPr="008006EA" w:rsidRDefault="00C317AE" w:rsidP="007219EB">
            <w:r w:rsidRPr="008006EA">
              <w:t>2,20</w:t>
            </w:r>
          </w:p>
        </w:tc>
        <w:tc>
          <w:tcPr>
            <w:tcW w:w="2880" w:type="dxa"/>
            <w:vAlign w:val="bottom"/>
          </w:tcPr>
          <w:p w14:paraId="0DFD0B00" w14:textId="77777777" w:rsidR="00C317AE" w:rsidRPr="008006EA" w:rsidRDefault="00C317AE" w:rsidP="007219EB"/>
        </w:tc>
      </w:tr>
      <w:tr w:rsidR="00C317AE" w:rsidRPr="008006EA" w14:paraId="79BBBDA3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552E8C11" w14:textId="77777777" w:rsidR="00C317AE" w:rsidRPr="008006EA" w:rsidRDefault="00C317AE" w:rsidP="007219EB">
            <w:r w:rsidRPr="008006EA">
              <w:t>Коэффициент вариации</w:t>
            </w:r>
          </w:p>
        </w:tc>
        <w:tc>
          <w:tcPr>
            <w:tcW w:w="2880" w:type="dxa"/>
            <w:vAlign w:val="bottom"/>
          </w:tcPr>
          <w:p w14:paraId="75C0466F" w14:textId="77777777" w:rsidR="00C317AE" w:rsidRPr="008006EA" w:rsidRDefault="00C317AE" w:rsidP="007219EB">
            <w:r w:rsidRPr="008006EA">
              <w:t>16,65%</w:t>
            </w:r>
          </w:p>
        </w:tc>
        <w:tc>
          <w:tcPr>
            <w:tcW w:w="2880" w:type="dxa"/>
            <w:vAlign w:val="bottom"/>
          </w:tcPr>
          <w:p w14:paraId="6C5AFD7E" w14:textId="77777777" w:rsidR="00C317AE" w:rsidRPr="008006EA" w:rsidRDefault="00C317AE" w:rsidP="007219EB">
            <w:r w:rsidRPr="008006EA">
              <w:t>Умеренный разброс, но явно сильнее, чем в "ровных" системах, например, в рождаемости</w:t>
            </w:r>
          </w:p>
        </w:tc>
      </w:tr>
      <w:tr w:rsidR="00C317AE" w:rsidRPr="008006EA" w14:paraId="334C9536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32670197" w14:textId="0C629D00" w:rsidR="00C317AE" w:rsidRPr="008006EA" w:rsidRDefault="008F27BA" w:rsidP="007219EB">
            <w:r w:rsidRPr="008006EA">
              <w:t>Асимметрия</w:t>
            </w:r>
            <w:r w:rsidR="00C317AE" w:rsidRPr="008006EA">
              <w:t xml:space="preserve"> (3 момент)</w:t>
            </w:r>
          </w:p>
        </w:tc>
        <w:tc>
          <w:tcPr>
            <w:tcW w:w="2880" w:type="dxa"/>
            <w:vAlign w:val="bottom"/>
          </w:tcPr>
          <w:p w14:paraId="34B4BC92" w14:textId="77777777" w:rsidR="00C317AE" w:rsidRPr="008006EA" w:rsidRDefault="00C317AE" w:rsidP="007219EB">
            <w:r w:rsidRPr="008006EA">
              <w:t>-0,80</w:t>
            </w:r>
          </w:p>
        </w:tc>
        <w:tc>
          <w:tcPr>
            <w:tcW w:w="2880" w:type="dxa"/>
            <w:vAlign w:val="bottom"/>
          </w:tcPr>
          <w:p w14:paraId="14B30828" w14:textId="7C6D9CF0" w:rsidR="00C317AE" w:rsidRPr="008006EA" w:rsidRDefault="00C317AE" w:rsidP="007219EB">
            <w:r w:rsidRPr="008006EA">
              <w:t xml:space="preserve">Скос в лево (отрицательная </w:t>
            </w:r>
            <w:r w:rsidR="008F27BA" w:rsidRPr="008006EA">
              <w:t>асимметрия</w:t>
            </w:r>
            <w:r w:rsidRPr="008006EA">
              <w:t>)</w:t>
            </w:r>
          </w:p>
        </w:tc>
      </w:tr>
      <w:tr w:rsidR="00C317AE" w:rsidRPr="008006EA" w14:paraId="1CDF00B8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1C0518AE" w14:textId="77777777" w:rsidR="00C317AE" w:rsidRPr="008006EA" w:rsidRDefault="00C317AE" w:rsidP="007219EB">
            <w:r w:rsidRPr="008006EA">
              <w:t>Эксцесс (4 момент)</w:t>
            </w:r>
          </w:p>
        </w:tc>
        <w:tc>
          <w:tcPr>
            <w:tcW w:w="2880" w:type="dxa"/>
            <w:vAlign w:val="bottom"/>
          </w:tcPr>
          <w:p w14:paraId="0A907972" w14:textId="77777777" w:rsidR="00C317AE" w:rsidRPr="008006EA" w:rsidRDefault="00C317AE" w:rsidP="007219EB">
            <w:r w:rsidRPr="008006EA">
              <w:t>0,73</w:t>
            </w:r>
          </w:p>
        </w:tc>
        <w:tc>
          <w:tcPr>
            <w:tcW w:w="2880" w:type="dxa"/>
            <w:vAlign w:val="bottom"/>
          </w:tcPr>
          <w:p w14:paraId="638FC0A9" w14:textId="77777777" w:rsidR="00C317AE" w:rsidRPr="008006EA" w:rsidRDefault="00C317AE" w:rsidP="007219EB">
            <w:r w:rsidRPr="008006EA">
              <w:t>Острый пик, возможны выбросы (распределение более заостренное, чем нормальное)</w:t>
            </w:r>
          </w:p>
        </w:tc>
      </w:tr>
    </w:tbl>
    <w:p w14:paraId="322B46D8" w14:textId="77777777" w:rsidR="00C317AE" w:rsidRDefault="00C317AE" w:rsidP="00C317AE">
      <w:r w:rsidRPr="008006EA">
        <w:rPr>
          <w:b/>
          <w:bCs/>
          <w:i/>
          <w:iCs/>
        </w:rPr>
        <w:t>Вывод</w:t>
      </w:r>
      <w:r w:rsidRPr="008006EA">
        <w:t>: распределение в целом близко к симметричному, но с умеренным разбросом и возможными выбросами.</w:t>
      </w:r>
    </w:p>
    <w:p w14:paraId="4149A88E" w14:textId="77777777" w:rsidR="00C317AE" w:rsidRPr="008006EA" w:rsidRDefault="00C317AE" w:rsidP="00C317AE">
      <w:r>
        <w:br w:type="page"/>
      </w:r>
    </w:p>
    <w:p w14:paraId="41D4327E" w14:textId="75E60FA3" w:rsidR="00C317AE" w:rsidRDefault="00C317AE" w:rsidP="00C317AE">
      <w:r w:rsidRPr="001C2E0B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70E127E" wp14:editId="11E822C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78500" cy="3581400"/>
            <wp:effectExtent l="0" t="0" r="12700" b="12700"/>
            <wp:wrapTight wrapText="bothSides">
              <wp:wrapPolygon edited="0">
                <wp:start x="152" y="0"/>
                <wp:lineTo x="0" y="366"/>
                <wp:lineTo x="0" y="21234"/>
                <wp:lineTo x="202" y="21600"/>
                <wp:lineTo x="21398" y="21600"/>
                <wp:lineTo x="21600" y="21234"/>
                <wp:lineTo x="21600" y="366"/>
                <wp:lineTo x="21398" y="0"/>
                <wp:lineTo x="152" y="0"/>
              </wp:wrapPolygon>
            </wp:wrapTight>
            <wp:docPr id="1456274223" name="Диаграмма 1" title="Диаграмма">
              <a:extLst xmlns:a="http://schemas.openxmlformats.org/drawingml/2006/main">
                <a:ext uri="{FF2B5EF4-FFF2-40B4-BE49-F238E27FC236}">
                  <a16:creationId xmlns:a16="http://schemas.microsoft.com/office/drawing/2014/main" id="{41A28979-A3A9-F341-95F8-4E3F4676B4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OLE_LINK3"/>
      <w:r w:rsidR="008F27BA">
        <w:t xml:space="preserve">График 2. </w:t>
      </w:r>
      <w:r w:rsidRPr="001C2E0B">
        <w:t>Дескриптивная статистика (</w:t>
      </w:r>
      <w:proofErr w:type="gramStart"/>
      <w:r w:rsidRPr="001C2E0B">
        <w:t>2000-2023</w:t>
      </w:r>
      <w:proofErr w:type="gramEnd"/>
      <w:r w:rsidRPr="001C2E0B">
        <w:t>)</w:t>
      </w:r>
      <w:bookmarkEnd w:id="3"/>
    </w:p>
    <w:p w14:paraId="04A1DCA0" w14:textId="7B96DC09" w:rsidR="00C317AE" w:rsidRPr="001C2E0B" w:rsidRDefault="008F27BA" w:rsidP="00C317AE">
      <w:r>
        <w:t xml:space="preserve">Таблица 2. </w:t>
      </w:r>
      <w:r w:rsidRPr="001C2E0B">
        <w:t>Дескриптивная статистика (</w:t>
      </w:r>
      <w:proofErr w:type="gramStart"/>
      <w:r w:rsidRPr="001C2E0B">
        <w:t>2000-2023</w:t>
      </w:r>
      <w:proofErr w:type="gramEnd"/>
      <w:r w:rsidRPr="001C2E0B">
        <w:t>)</w:t>
      </w:r>
    </w:p>
    <w:tbl>
      <w:tblPr>
        <w:tblW w:w="8640" w:type="dxa"/>
        <w:tblInd w:w="-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317AE" w14:paraId="2A9DFA99" w14:textId="77777777" w:rsidTr="007219EB">
        <w:trPr>
          <w:trHeight w:val="302"/>
        </w:trPr>
        <w:tc>
          <w:tcPr>
            <w:tcW w:w="2880" w:type="dxa"/>
            <w:shd w:val="clear" w:color="auto" w:fill="A5C9EB" w:themeFill="text2" w:themeFillTint="40"/>
          </w:tcPr>
          <w:p w14:paraId="5099993A" w14:textId="77777777" w:rsidR="00C317AE" w:rsidRPr="008006EA" w:rsidRDefault="00C317AE" w:rsidP="007219EB">
            <w:r w:rsidRPr="008006EA">
              <w:t>Показатель</w:t>
            </w:r>
          </w:p>
        </w:tc>
        <w:tc>
          <w:tcPr>
            <w:tcW w:w="2880" w:type="dxa"/>
            <w:shd w:val="clear" w:color="auto" w:fill="A5C9EB" w:themeFill="text2" w:themeFillTint="40"/>
          </w:tcPr>
          <w:p w14:paraId="2F981B44" w14:textId="77777777" w:rsidR="00C317AE" w:rsidRPr="008006EA" w:rsidRDefault="00C317AE" w:rsidP="007219EB">
            <w:r w:rsidRPr="008006EA">
              <w:t>Значение</w:t>
            </w:r>
          </w:p>
        </w:tc>
        <w:tc>
          <w:tcPr>
            <w:tcW w:w="2880" w:type="dxa"/>
            <w:shd w:val="clear" w:color="auto" w:fill="A5C9EB" w:themeFill="text2" w:themeFillTint="40"/>
          </w:tcPr>
          <w:p w14:paraId="795AC755" w14:textId="77777777" w:rsidR="00C317AE" w:rsidRPr="008006EA" w:rsidRDefault="00C317AE" w:rsidP="007219EB">
            <w:r w:rsidRPr="008006EA">
              <w:t>Комментарий</w:t>
            </w:r>
          </w:p>
        </w:tc>
      </w:tr>
      <w:tr w:rsidR="00C317AE" w:rsidRPr="008006EA" w14:paraId="5FEE3CA0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09A376A8" w14:textId="77777777" w:rsidR="00C317AE" w:rsidRPr="00A436D4" w:rsidRDefault="00C317AE" w:rsidP="007219EB">
            <w:r w:rsidRPr="00A436D4">
              <w:t>Max</w:t>
            </w:r>
          </w:p>
        </w:tc>
        <w:tc>
          <w:tcPr>
            <w:tcW w:w="2880" w:type="dxa"/>
            <w:vAlign w:val="bottom"/>
          </w:tcPr>
          <w:p w14:paraId="5F0BD1E9" w14:textId="77777777" w:rsidR="00C317AE" w:rsidRPr="00A436D4" w:rsidRDefault="00C317AE" w:rsidP="007219EB">
            <w:r w:rsidRPr="00A436D4">
              <w:t>16,60</w:t>
            </w:r>
          </w:p>
        </w:tc>
        <w:tc>
          <w:tcPr>
            <w:tcW w:w="2880" w:type="dxa"/>
            <w:vAlign w:val="bottom"/>
          </w:tcPr>
          <w:p w14:paraId="6380D167" w14:textId="77777777" w:rsidR="00C317AE" w:rsidRPr="00A436D4" w:rsidRDefault="00C317AE" w:rsidP="007219EB">
            <w:r w:rsidRPr="00A436D4">
              <w:t>2021</w:t>
            </w:r>
          </w:p>
        </w:tc>
      </w:tr>
      <w:tr w:rsidR="00C317AE" w:rsidRPr="008006EA" w14:paraId="164AAAF3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5198A8A8" w14:textId="77777777" w:rsidR="00C317AE" w:rsidRPr="00A436D4" w:rsidRDefault="00C317AE" w:rsidP="007219EB">
            <w:proofErr w:type="spellStart"/>
            <w:r w:rsidRPr="00A436D4">
              <w:t>Min</w:t>
            </w:r>
            <w:proofErr w:type="spellEnd"/>
          </w:p>
        </w:tc>
        <w:tc>
          <w:tcPr>
            <w:tcW w:w="2880" w:type="dxa"/>
            <w:vAlign w:val="bottom"/>
          </w:tcPr>
          <w:p w14:paraId="688B0966" w14:textId="77777777" w:rsidR="00C317AE" w:rsidRPr="00A436D4" w:rsidRDefault="00C317AE" w:rsidP="007219EB">
            <w:r w:rsidRPr="00A436D4">
              <w:t>12,10</w:t>
            </w:r>
          </w:p>
        </w:tc>
        <w:tc>
          <w:tcPr>
            <w:tcW w:w="2880" w:type="dxa"/>
            <w:vAlign w:val="bottom"/>
          </w:tcPr>
          <w:p w14:paraId="38F47C20" w14:textId="77777777" w:rsidR="00C317AE" w:rsidRPr="00A436D4" w:rsidRDefault="00C317AE" w:rsidP="007219EB">
            <w:r w:rsidRPr="00A436D4">
              <w:t>2023</w:t>
            </w:r>
          </w:p>
        </w:tc>
      </w:tr>
      <w:tr w:rsidR="00C317AE" w:rsidRPr="008006EA" w14:paraId="326CE0C0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498CDF27" w14:textId="77777777" w:rsidR="00C317AE" w:rsidRPr="00A436D4" w:rsidRDefault="00C317AE" w:rsidP="007219EB">
            <w:r w:rsidRPr="00A436D4">
              <w:t>Размах</w:t>
            </w:r>
          </w:p>
        </w:tc>
        <w:tc>
          <w:tcPr>
            <w:tcW w:w="2880" w:type="dxa"/>
            <w:vAlign w:val="bottom"/>
          </w:tcPr>
          <w:p w14:paraId="3C59C1D2" w14:textId="77777777" w:rsidR="00C317AE" w:rsidRPr="00A436D4" w:rsidRDefault="00C317AE" w:rsidP="007219EB">
            <w:r w:rsidRPr="00A436D4">
              <w:t>4,50</w:t>
            </w:r>
          </w:p>
        </w:tc>
        <w:tc>
          <w:tcPr>
            <w:tcW w:w="2880" w:type="dxa"/>
            <w:vAlign w:val="bottom"/>
          </w:tcPr>
          <w:p w14:paraId="5A6D6948" w14:textId="31D84347" w:rsidR="00C317AE" w:rsidRPr="00C317AE" w:rsidRDefault="00C317AE" w:rsidP="007219EB">
            <w:pPr>
              <w:rPr>
                <w:rFonts w:eastAsia="Cambria"/>
              </w:rPr>
            </w:pPr>
            <w:r w:rsidRPr="00C317AE">
              <w:t>Разница между максимумом и минимумом невелика, говорит о</w:t>
            </w:r>
            <w:r w:rsidRPr="00C317AE">
              <w:rPr>
                <w:rStyle w:val="apple-converted-space"/>
                <w:rFonts w:eastAsiaTheme="majorEastAsia"/>
                <w:i/>
                <w:iCs/>
                <w:color w:val="000000"/>
              </w:rPr>
              <w:t xml:space="preserve"> </w:t>
            </w:r>
            <w:r w:rsidRPr="00C317AE">
              <w:rPr>
                <w:rStyle w:val="ac"/>
                <w:rFonts w:eastAsiaTheme="majorEastAsia"/>
                <w:b w:val="0"/>
                <w:bCs w:val="0"/>
                <w:color w:val="000000"/>
              </w:rPr>
              <w:t>умеренной изменчивости</w:t>
            </w:r>
            <w:r w:rsidRPr="00C317AE">
              <w:t>.</w:t>
            </w:r>
          </w:p>
        </w:tc>
      </w:tr>
      <w:tr w:rsidR="00C317AE" w:rsidRPr="008006EA" w14:paraId="4C8DAFDA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15F6E751" w14:textId="77777777" w:rsidR="00C317AE" w:rsidRPr="00A436D4" w:rsidRDefault="00C317AE" w:rsidP="007219EB">
            <w:r w:rsidRPr="00A436D4">
              <w:t>Среднее</w:t>
            </w:r>
          </w:p>
        </w:tc>
        <w:tc>
          <w:tcPr>
            <w:tcW w:w="2880" w:type="dxa"/>
            <w:vAlign w:val="bottom"/>
          </w:tcPr>
          <w:p w14:paraId="3C14BF6E" w14:textId="77777777" w:rsidR="00C317AE" w:rsidRPr="00A436D4" w:rsidRDefault="00C317AE" w:rsidP="007219EB">
            <w:r w:rsidRPr="00A436D4">
              <w:t>14,16</w:t>
            </w:r>
          </w:p>
        </w:tc>
        <w:tc>
          <w:tcPr>
            <w:tcW w:w="2880" w:type="dxa"/>
            <w:vAlign w:val="bottom"/>
          </w:tcPr>
          <w:p w14:paraId="0300B0DD" w14:textId="1CEDB486" w:rsidR="00C317AE" w:rsidRPr="00C317AE" w:rsidRDefault="00C317AE" w:rsidP="007219EB">
            <w:r w:rsidRPr="00C317AE">
              <w:t xml:space="preserve">выше, чем в </w:t>
            </w:r>
            <w:proofErr w:type="gramStart"/>
            <w:r w:rsidRPr="00C317AE">
              <w:t>1950</w:t>
            </w:r>
            <w:r w:rsidR="008F27BA">
              <w:t>-</w:t>
            </w:r>
            <w:r w:rsidRPr="00C317AE">
              <w:t>2023</w:t>
            </w:r>
            <w:proofErr w:type="gramEnd"/>
            <w:r w:rsidRPr="00C317AE">
              <w:t>, что отражает</w:t>
            </w:r>
            <w:r w:rsidRPr="00C317AE">
              <w:rPr>
                <w:rStyle w:val="apple-converted-space"/>
                <w:rFonts w:eastAsiaTheme="majorEastAsia"/>
                <w:i/>
                <w:iCs/>
                <w:color w:val="000000"/>
              </w:rPr>
              <w:t xml:space="preserve"> </w:t>
            </w:r>
            <w:r w:rsidRPr="00C317AE">
              <w:rPr>
                <w:rStyle w:val="ac"/>
                <w:rFonts w:eastAsiaTheme="majorEastAsia"/>
                <w:b w:val="0"/>
                <w:bCs w:val="0"/>
                <w:color w:val="000000"/>
              </w:rPr>
              <w:t>высокий фон смертности</w:t>
            </w:r>
            <w:r w:rsidRPr="00C317AE">
              <w:rPr>
                <w:rStyle w:val="apple-converted-space"/>
                <w:rFonts w:eastAsiaTheme="majorEastAsia"/>
                <w:i/>
                <w:iCs/>
                <w:color w:val="000000"/>
              </w:rPr>
              <w:t xml:space="preserve"> </w:t>
            </w:r>
            <w:r w:rsidRPr="00C317AE">
              <w:t>в этот период.</w:t>
            </w:r>
          </w:p>
        </w:tc>
      </w:tr>
      <w:tr w:rsidR="00C317AE" w:rsidRPr="00A436D4" w14:paraId="192FBF04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72A0266C" w14:textId="77777777" w:rsidR="00C317AE" w:rsidRPr="00A436D4" w:rsidRDefault="00C317AE" w:rsidP="007219EB">
            <w:r w:rsidRPr="00A436D4">
              <w:t>Медиана</w:t>
            </w:r>
          </w:p>
        </w:tc>
        <w:tc>
          <w:tcPr>
            <w:tcW w:w="2880" w:type="dxa"/>
            <w:vAlign w:val="bottom"/>
          </w:tcPr>
          <w:p w14:paraId="04EEE11E" w14:textId="77777777" w:rsidR="00C317AE" w:rsidRPr="00A436D4" w:rsidRDefault="00C317AE" w:rsidP="007219EB">
            <w:r w:rsidRPr="00A436D4">
              <w:t>14,15</w:t>
            </w:r>
          </w:p>
        </w:tc>
        <w:tc>
          <w:tcPr>
            <w:tcW w:w="2880" w:type="dxa"/>
            <w:vAlign w:val="bottom"/>
          </w:tcPr>
          <w:p w14:paraId="5B3EF451" w14:textId="68BD8171" w:rsidR="00C317AE" w:rsidRPr="00C317AE" w:rsidRDefault="00C317AE" w:rsidP="007219EB">
            <w:r w:rsidRPr="00C317AE">
              <w:t xml:space="preserve">Почти равно среднему </w:t>
            </w:r>
            <w:r w:rsidRPr="008F27BA">
              <w:t>–</w:t>
            </w:r>
            <w:r w:rsidRPr="00C317AE">
              <w:t xml:space="preserve"> говорит о</w:t>
            </w:r>
            <w:r w:rsidRPr="00C317AE">
              <w:rPr>
                <w:rStyle w:val="apple-converted-space"/>
                <w:rFonts w:eastAsiaTheme="majorEastAsia"/>
                <w:i/>
                <w:iCs/>
                <w:color w:val="000000"/>
              </w:rPr>
              <w:t xml:space="preserve"> </w:t>
            </w:r>
            <w:r w:rsidRPr="00C317AE">
              <w:rPr>
                <w:rStyle w:val="ac"/>
                <w:rFonts w:eastAsiaTheme="majorEastAsia"/>
                <w:b w:val="0"/>
                <w:bCs w:val="0"/>
                <w:color w:val="000000"/>
              </w:rPr>
              <w:t>почти симметричном</w:t>
            </w:r>
            <w:r w:rsidRPr="00C317AE">
              <w:rPr>
                <w:rStyle w:val="ac"/>
                <w:rFonts w:eastAsiaTheme="majorEastAsia"/>
                <w:i/>
                <w:iCs/>
                <w:color w:val="000000"/>
              </w:rPr>
              <w:t xml:space="preserve"> </w:t>
            </w:r>
            <w:r w:rsidRPr="00C317AE">
              <w:rPr>
                <w:rStyle w:val="ac"/>
                <w:rFonts w:eastAsiaTheme="majorEastAsia"/>
                <w:b w:val="0"/>
                <w:bCs w:val="0"/>
                <w:color w:val="000000"/>
              </w:rPr>
              <w:lastRenderedPageBreak/>
              <w:t>распределении</w:t>
            </w:r>
            <w:r w:rsidRPr="00C317AE">
              <w:rPr>
                <w:rStyle w:val="apple-converted-space"/>
                <w:i/>
                <w:iCs/>
              </w:rPr>
              <w:t xml:space="preserve"> </w:t>
            </w:r>
            <w:r w:rsidRPr="00C317AE">
              <w:t>данных.</w:t>
            </w:r>
          </w:p>
        </w:tc>
      </w:tr>
      <w:tr w:rsidR="00C317AE" w:rsidRPr="008006EA" w14:paraId="4C0750C7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57BFAC08" w14:textId="77777777" w:rsidR="00C317AE" w:rsidRPr="00A436D4" w:rsidRDefault="00C317AE" w:rsidP="007219EB">
            <w:r w:rsidRPr="00A436D4">
              <w:t>Мода</w:t>
            </w:r>
          </w:p>
        </w:tc>
        <w:tc>
          <w:tcPr>
            <w:tcW w:w="2880" w:type="dxa"/>
            <w:vAlign w:val="bottom"/>
          </w:tcPr>
          <w:p w14:paraId="6F3795DB" w14:textId="77777777" w:rsidR="00C317AE" w:rsidRPr="00A436D4" w:rsidRDefault="00C317AE" w:rsidP="007219EB">
            <w:r w:rsidRPr="00A436D4">
              <w:t>14,50</w:t>
            </w:r>
          </w:p>
        </w:tc>
        <w:tc>
          <w:tcPr>
            <w:tcW w:w="2880" w:type="dxa"/>
            <w:vAlign w:val="bottom"/>
          </w:tcPr>
          <w:p w14:paraId="427CE26D" w14:textId="772CA900" w:rsidR="00C317AE" w:rsidRPr="00A436D4" w:rsidRDefault="00C317AE" w:rsidP="007219EB">
            <w:r w:rsidRPr="00A436D4">
              <w:t xml:space="preserve">Наиболее частое значение </w:t>
            </w:r>
            <w:r w:rsidRPr="00C317AE">
              <w:t>–</w:t>
            </w:r>
            <w:r w:rsidRPr="00C317AE">
              <w:rPr>
                <w:rStyle w:val="apple-converted-space"/>
                <w:rFonts w:eastAsiaTheme="majorEastAsia"/>
                <w:i/>
                <w:iCs/>
                <w:color w:val="000000"/>
              </w:rPr>
              <w:t xml:space="preserve"> </w:t>
            </w:r>
            <w:r w:rsidRPr="00C317AE">
              <w:rPr>
                <w:rStyle w:val="ac"/>
                <w:rFonts w:eastAsiaTheme="majorEastAsia"/>
                <w:b w:val="0"/>
                <w:bCs w:val="0"/>
                <w:color w:val="000000"/>
              </w:rPr>
              <w:t>высокая смертность</w:t>
            </w:r>
            <w:r w:rsidRPr="00A436D4">
              <w:t xml:space="preserve">, </w:t>
            </w:r>
            <w:proofErr w:type="gramStart"/>
            <w:r w:rsidRPr="00A436D4">
              <w:t>т.к.</w:t>
            </w:r>
            <w:proofErr w:type="gramEnd"/>
            <w:r w:rsidRPr="00A436D4">
              <w:t xml:space="preserve"> в 2000-х было много лет с &gt;14,5.</w:t>
            </w:r>
          </w:p>
        </w:tc>
      </w:tr>
      <w:tr w:rsidR="00C317AE" w:rsidRPr="008006EA" w14:paraId="1065C54D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4FB2D2AF" w14:textId="77777777" w:rsidR="00C317AE" w:rsidRPr="00A436D4" w:rsidRDefault="00C317AE" w:rsidP="007219EB">
            <w:pPr>
              <w:rPr>
                <w:rFonts w:eastAsia="Cambria"/>
              </w:rPr>
            </w:pPr>
            <w:r w:rsidRPr="00A436D4">
              <w:t>Дисперсия</w:t>
            </w:r>
          </w:p>
        </w:tc>
        <w:tc>
          <w:tcPr>
            <w:tcW w:w="2880" w:type="dxa"/>
            <w:vAlign w:val="bottom"/>
          </w:tcPr>
          <w:p w14:paraId="1A496F19" w14:textId="77777777" w:rsidR="00C317AE" w:rsidRPr="00A436D4" w:rsidRDefault="00C317AE" w:rsidP="007219EB">
            <w:r w:rsidRPr="00A436D4">
              <w:t>2,05</w:t>
            </w:r>
          </w:p>
        </w:tc>
        <w:tc>
          <w:tcPr>
            <w:tcW w:w="2880" w:type="dxa"/>
            <w:vAlign w:val="bottom"/>
          </w:tcPr>
          <w:p w14:paraId="0E37DEAA" w14:textId="6C181A6E" w:rsidR="00C317AE" w:rsidRPr="00A436D4" w:rsidRDefault="00C317AE" w:rsidP="007219EB">
            <w:r w:rsidRPr="00A436D4">
              <w:t xml:space="preserve">Умеренная </w:t>
            </w:r>
            <w:r w:rsidR="008F27BA">
              <w:t>–</w:t>
            </w:r>
            <w:r w:rsidRPr="00A436D4">
              <w:t xml:space="preserve"> разброс значений</w:t>
            </w:r>
            <w:r w:rsidR="008F27BA">
              <w:rPr>
                <w:rStyle w:val="apple-converted-space"/>
                <w:rFonts w:eastAsiaTheme="majorEastAsia"/>
                <w:i/>
                <w:iCs/>
                <w:color w:val="000000"/>
              </w:rPr>
              <w:t xml:space="preserve"> </w:t>
            </w:r>
            <w:r w:rsidRPr="008F27BA">
              <w:rPr>
                <w:rStyle w:val="ac"/>
                <w:rFonts w:eastAsiaTheme="majorEastAsia"/>
                <w:b w:val="0"/>
                <w:bCs w:val="0"/>
                <w:color w:val="000000"/>
              </w:rPr>
              <w:t>заметен</w:t>
            </w:r>
            <w:r w:rsidRPr="00A436D4">
              <w:t>, но не критичен.</w:t>
            </w:r>
          </w:p>
        </w:tc>
      </w:tr>
      <w:tr w:rsidR="00C317AE" w:rsidRPr="008006EA" w14:paraId="50166C0C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2B4ECE86" w14:textId="77777777" w:rsidR="00C317AE" w:rsidRPr="00A436D4" w:rsidRDefault="00C317AE" w:rsidP="007219EB">
            <w:r w:rsidRPr="00A436D4">
              <w:t>Стандартное отклонение</w:t>
            </w:r>
          </w:p>
        </w:tc>
        <w:tc>
          <w:tcPr>
            <w:tcW w:w="2880" w:type="dxa"/>
            <w:vAlign w:val="bottom"/>
          </w:tcPr>
          <w:p w14:paraId="0955C353" w14:textId="77777777" w:rsidR="00C317AE" w:rsidRPr="00A436D4" w:rsidRDefault="00C317AE" w:rsidP="007219EB">
            <w:r w:rsidRPr="00A436D4">
              <w:t>1,43</w:t>
            </w:r>
          </w:p>
        </w:tc>
        <w:tc>
          <w:tcPr>
            <w:tcW w:w="2880" w:type="dxa"/>
            <w:vAlign w:val="bottom"/>
          </w:tcPr>
          <w:p w14:paraId="3A32F60F" w14:textId="77777777" w:rsidR="00C317AE" w:rsidRPr="00A436D4" w:rsidRDefault="00C317AE" w:rsidP="007219EB">
            <w:r w:rsidRPr="00A436D4">
              <w:t>Умеренное.</w:t>
            </w:r>
          </w:p>
        </w:tc>
      </w:tr>
      <w:tr w:rsidR="00C317AE" w:rsidRPr="008006EA" w14:paraId="28AC46C4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073BF6F5" w14:textId="77777777" w:rsidR="00C317AE" w:rsidRPr="00A436D4" w:rsidRDefault="00C317AE" w:rsidP="007219EB">
            <w:r w:rsidRPr="00A436D4">
              <w:t>Коэффициент вариации</w:t>
            </w:r>
          </w:p>
        </w:tc>
        <w:tc>
          <w:tcPr>
            <w:tcW w:w="2880" w:type="dxa"/>
            <w:vAlign w:val="bottom"/>
          </w:tcPr>
          <w:p w14:paraId="227DCC61" w14:textId="77777777" w:rsidR="00C317AE" w:rsidRPr="00A436D4" w:rsidRDefault="00C317AE" w:rsidP="007219EB">
            <w:r w:rsidRPr="00A436D4">
              <w:t>10,34%</w:t>
            </w:r>
          </w:p>
        </w:tc>
        <w:tc>
          <w:tcPr>
            <w:tcW w:w="2880" w:type="dxa"/>
            <w:vAlign w:val="bottom"/>
          </w:tcPr>
          <w:p w14:paraId="4F1661A1" w14:textId="484D69B3" w:rsidR="00C317AE" w:rsidRPr="00A436D4" w:rsidRDefault="00C317AE" w:rsidP="007219EB">
            <w:r w:rsidRPr="00A436D4">
              <w:t xml:space="preserve">Ниже, чем в </w:t>
            </w:r>
            <w:proofErr w:type="gramStart"/>
            <w:r w:rsidRPr="00A436D4">
              <w:t>1950</w:t>
            </w:r>
            <w:r w:rsidR="008F27BA">
              <w:t>-</w:t>
            </w:r>
            <w:r w:rsidRPr="00A436D4">
              <w:t>2023</w:t>
            </w:r>
            <w:proofErr w:type="gramEnd"/>
            <w:r w:rsidR="008F27BA">
              <w:t xml:space="preserve"> (</w:t>
            </w:r>
            <w:r w:rsidRPr="008F27BA">
              <w:rPr>
                <w:rStyle w:val="ac"/>
                <w:rFonts w:eastAsiaTheme="majorEastAsia"/>
                <w:b w:val="0"/>
                <w:bCs w:val="0"/>
                <w:color w:val="000000"/>
              </w:rPr>
              <w:t>распределение более устойчивое</w:t>
            </w:r>
            <w:r w:rsidR="008F27BA">
              <w:rPr>
                <w:rStyle w:val="ac"/>
                <w:rFonts w:eastAsiaTheme="majorEastAsia"/>
                <w:b w:val="0"/>
                <w:bCs w:val="0"/>
                <w:color w:val="000000"/>
              </w:rPr>
              <w:t>)</w:t>
            </w:r>
            <w:r w:rsidRPr="00A436D4">
              <w:t>.</w:t>
            </w:r>
          </w:p>
        </w:tc>
      </w:tr>
      <w:tr w:rsidR="00C317AE" w:rsidRPr="008006EA" w14:paraId="69207428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7423888B" w14:textId="77777777" w:rsidR="00C317AE" w:rsidRPr="00A436D4" w:rsidRDefault="00C317AE" w:rsidP="007219EB">
            <w:proofErr w:type="spellStart"/>
            <w:r w:rsidRPr="00A436D4">
              <w:t>Ассиметрия</w:t>
            </w:r>
            <w:proofErr w:type="spellEnd"/>
            <w:r w:rsidRPr="00A436D4">
              <w:t xml:space="preserve"> (3 момент)</w:t>
            </w:r>
          </w:p>
        </w:tc>
        <w:tc>
          <w:tcPr>
            <w:tcW w:w="2880" w:type="dxa"/>
            <w:vAlign w:val="bottom"/>
          </w:tcPr>
          <w:p w14:paraId="123A374F" w14:textId="77777777" w:rsidR="00C317AE" w:rsidRPr="00A436D4" w:rsidRDefault="00C317AE" w:rsidP="007219EB">
            <w:r w:rsidRPr="00A436D4">
              <w:t>0,22</w:t>
            </w:r>
          </w:p>
        </w:tc>
        <w:tc>
          <w:tcPr>
            <w:tcW w:w="2880" w:type="dxa"/>
            <w:vAlign w:val="bottom"/>
          </w:tcPr>
          <w:p w14:paraId="5E687A16" w14:textId="77777777" w:rsidR="00C317AE" w:rsidRPr="00A436D4" w:rsidRDefault="00C317AE" w:rsidP="007219EB">
            <w:r w:rsidRPr="00A436D4">
              <w:t>Небольшой сдвиг вправо</w:t>
            </w:r>
          </w:p>
        </w:tc>
      </w:tr>
      <w:tr w:rsidR="00C317AE" w:rsidRPr="008006EA" w14:paraId="1C639D84" w14:textId="77777777" w:rsidTr="007219EB">
        <w:tc>
          <w:tcPr>
            <w:tcW w:w="2880" w:type="dxa"/>
            <w:shd w:val="clear" w:color="auto" w:fill="DAE9F7" w:themeFill="text2" w:themeFillTint="1A"/>
            <w:vAlign w:val="bottom"/>
          </w:tcPr>
          <w:p w14:paraId="1D151E64" w14:textId="77777777" w:rsidR="00C317AE" w:rsidRPr="00A436D4" w:rsidRDefault="00C317AE" w:rsidP="007219EB">
            <w:r w:rsidRPr="00A436D4">
              <w:t>Эксцесс (4 момент)</w:t>
            </w:r>
          </w:p>
        </w:tc>
        <w:tc>
          <w:tcPr>
            <w:tcW w:w="2880" w:type="dxa"/>
            <w:vAlign w:val="bottom"/>
          </w:tcPr>
          <w:p w14:paraId="4E3B9F78" w14:textId="77777777" w:rsidR="00C317AE" w:rsidRPr="00A436D4" w:rsidRDefault="00C317AE" w:rsidP="007219EB">
            <w:r w:rsidRPr="00A436D4">
              <w:t>-1,33</w:t>
            </w:r>
          </w:p>
        </w:tc>
        <w:tc>
          <w:tcPr>
            <w:tcW w:w="2880" w:type="dxa"/>
            <w:vAlign w:val="bottom"/>
          </w:tcPr>
          <w:p w14:paraId="6061A0D3" w14:textId="63C9225F" w:rsidR="00C317AE" w:rsidRPr="00A436D4" w:rsidRDefault="00C317AE" w:rsidP="007219EB">
            <w:pPr>
              <w:rPr>
                <w:b/>
                <w:bCs/>
              </w:rPr>
            </w:pPr>
            <w:r w:rsidRPr="008F27BA">
              <w:rPr>
                <w:rStyle w:val="ac"/>
                <w:rFonts w:eastAsiaTheme="majorEastAsia"/>
                <w:b w:val="0"/>
                <w:bCs w:val="0"/>
                <w:color w:val="000000"/>
              </w:rPr>
              <w:t>Плоское распределение</w:t>
            </w:r>
            <w:r w:rsidRPr="00A436D4">
              <w:rPr>
                <w:b/>
                <w:bCs/>
              </w:rPr>
              <w:t xml:space="preserve">, </w:t>
            </w:r>
            <w:r w:rsidRPr="00A436D4">
              <w:t xml:space="preserve">менее выражены пики </w:t>
            </w:r>
            <w:r w:rsidR="008F27BA">
              <w:t>(т</w:t>
            </w:r>
            <w:r w:rsidRPr="00A436D4">
              <w:t>ипично для стабильного периода</w:t>
            </w:r>
            <w:r w:rsidR="008F27BA">
              <w:t>)</w:t>
            </w:r>
            <w:r w:rsidRPr="00A436D4">
              <w:rPr>
                <w:b/>
                <w:bCs/>
              </w:rPr>
              <w:t>.</w:t>
            </w:r>
          </w:p>
        </w:tc>
      </w:tr>
    </w:tbl>
    <w:p w14:paraId="349E82C8" w14:textId="77777777" w:rsidR="00C317AE" w:rsidRDefault="00C317AE" w:rsidP="00C317AE">
      <w:r w:rsidRPr="00A436D4">
        <w:rPr>
          <w:rStyle w:val="ad"/>
          <w:rFonts w:eastAsiaTheme="majorEastAsia"/>
          <w:b/>
          <w:bCs/>
          <w:color w:val="000000"/>
        </w:rPr>
        <w:t>Вывод</w:t>
      </w:r>
      <w:r w:rsidRPr="00A436D4">
        <w:t>: для современного периода смертность стабильна, пики (например, 2021) — скорее исключения.</w:t>
      </w:r>
    </w:p>
    <w:p w14:paraId="400C047A" w14:textId="36388854" w:rsidR="008F27BA" w:rsidRDefault="008F27BA">
      <w:pPr>
        <w:jc w:val="left"/>
      </w:pPr>
      <w:r>
        <w:br w:type="page"/>
      </w:r>
    </w:p>
    <w:p w14:paraId="2814A3A6" w14:textId="47BD3E8C" w:rsidR="00C317AE" w:rsidRDefault="008F27BA" w:rsidP="00C317AE">
      <w:bookmarkStart w:id="4" w:name="OLE_LINK4"/>
      <w:r>
        <w:lastRenderedPageBreak/>
        <w:t xml:space="preserve">График 3. </w:t>
      </w:r>
      <w:r w:rsidR="00C317AE">
        <w:t>Гистограмма смертности</w:t>
      </w:r>
      <w:r w:rsidR="00C317AE" w:rsidRPr="001C2E0B">
        <w:t xml:space="preserve"> (</w:t>
      </w:r>
      <w:proofErr w:type="gramStart"/>
      <w:r w:rsidR="00C317AE" w:rsidRPr="001C2E0B">
        <w:t>2000-2023</w:t>
      </w:r>
      <w:proofErr w:type="gramEnd"/>
      <w:r w:rsidR="00C317AE" w:rsidRPr="001C2E0B">
        <w:t>)</w:t>
      </w:r>
    </w:p>
    <w:bookmarkEnd w:id="4"/>
    <w:p w14:paraId="3AD6DD4A" w14:textId="77777777" w:rsidR="00C317AE" w:rsidRPr="001C2E0B" w:rsidRDefault="00C317AE" w:rsidP="00C317AE">
      <w:pPr>
        <w:rPr>
          <w:u w:val="single"/>
        </w:rPr>
      </w:pPr>
      <w:r>
        <w:rPr>
          <w:noProof/>
        </w:rPr>
        <w:drawing>
          <wp:inline distT="0" distB="0" distL="0" distR="0" wp14:anchorId="118AC5D9" wp14:editId="13D4C6FD">
            <wp:extent cx="5435600" cy="3365500"/>
            <wp:effectExtent l="0" t="0" r="12700" b="12700"/>
            <wp:docPr id="92223877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2135590-A1CF-8B4D-9555-B8242C841E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55796E6" w14:textId="5565605C" w:rsidR="00C317AE" w:rsidRDefault="00C317AE" w:rsidP="00C317AE">
      <w:pPr>
        <w:pStyle w:val="TNR"/>
      </w:pPr>
      <w:r w:rsidRPr="001C2E0B">
        <w:rPr>
          <w:b/>
          <w:bCs/>
          <w:i/>
          <w:iCs/>
        </w:rPr>
        <w:t>Вывод</w:t>
      </w:r>
      <w:r>
        <w:t>: с</w:t>
      </w:r>
      <w:r w:rsidRPr="001C2E0B">
        <w:t>амый частый интервал:</w:t>
      </w:r>
      <w:r w:rsidR="008F27BA">
        <w:t xml:space="preserve"> </w:t>
      </w:r>
      <w:proofErr w:type="gramStart"/>
      <w:r w:rsidRPr="001C2E0B">
        <w:t>12,1</w:t>
      </w:r>
      <w:r w:rsidR="008F27BA">
        <w:t>-</w:t>
      </w:r>
      <w:r w:rsidRPr="001C2E0B">
        <w:t>13,0</w:t>
      </w:r>
      <w:proofErr w:type="gramEnd"/>
      <w:r w:rsidR="008F27BA">
        <w:t xml:space="preserve"> – </w:t>
      </w:r>
      <w:r w:rsidRPr="001C2E0B">
        <w:t>устойчивая низкая смертность</w:t>
      </w:r>
      <w:r>
        <w:t>, р</w:t>
      </w:r>
      <w:r w:rsidRPr="001C2E0B">
        <w:t>аспределение визуально плоское, признаки равномерного распределения</w:t>
      </w:r>
      <w:r>
        <w:t>.</w:t>
      </w:r>
    </w:p>
    <w:p w14:paraId="6E851AF4" w14:textId="77777777" w:rsidR="008F27BA" w:rsidRPr="00F409D2" w:rsidRDefault="008F27BA" w:rsidP="00C317AE">
      <w:pPr>
        <w:pStyle w:val="TNR"/>
      </w:pPr>
    </w:p>
    <w:p w14:paraId="7C44D396" w14:textId="58C74417" w:rsidR="00C317AE" w:rsidRDefault="00C317AE" w:rsidP="008F27BA">
      <w:pPr>
        <w:pStyle w:val="3"/>
      </w:pPr>
      <w:r>
        <w:t>Проверка критерия согласия К-С</w:t>
      </w:r>
      <w:r w:rsidRPr="001C2E0B">
        <w:t xml:space="preserve"> (</w:t>
      </w:r>
      <w:proofErr w:type="gramStart"/>
      <w:r w:rsidRPr="001C2E0B">
        <w:t>2000-2023</w:t>
      </w:r>
      <w:proofErr w:type="gramEnd"/>
      <w:r w:rsidRPr="001C2E0B">
        <w:t>)</w:t>
      </w:r>
    </w:p>
    <w:p w14:paraId="7776201E" w14:textId="77777777" w:rsidR="00C317AE" w:rsidRDefault="00C317AE" w:rsidP="00C317AE">
      <w:r>
        <w:t>Была проведена проверка на равномерность распределения.</w:t>
      </w:r>
    </w:p>
    <w:p w14:paraId="09BB1E35" w14:textId="7E8DDB12" w:rsidR="00C317AE" w:rsidRPr="00F409D2" w:rsidRDefault="00C317AE" w:rsidP="00C317AE">
      <w:pPr>
        <w:rPr>
          <w:rStyle w:val="ac"/>
          <w:b w:val="0"/>
          <w:bCs w:val="0"/>
          <w:color w:val="000000"/>
        </w:rPr>
      </w:pPr>
      <w:r>
        <w:t>Гипотеза H₀: распределение смертности —</w:t>
      </w:r>
      <w:r w:rsidR="008F27BA">
        <w:rPr>
          <w:rStyle w:val="apple-converted-space"/>
          <w:rFonts w:eastAsiaTheme="majorEastAsia"/>
          <w:color w:val="000000"/>
        </w:rPr>
        <w:t xml:space="preserve"> </w:t>
      </w:r>
      <w:r>
        <w:rPr>
          <w:rStyle w:val="ac"/>
          <w:rFonts w:eastAsiaTheme="majorEastAsia"/>
          <w:color w:val="000000"/>
        </w:rPr>
        <w:t>равномерное</w:t>
      </w:r>
      <w:r w:rsidR="008F27BA">
        <w:rPr>
          <w:rStyle w:val="ac"/>
          <w:rFonts w:eastAsiaTheme="majorEastAsia"/>
          <w:color w:val="000000"/>
        </w:rPr>
        <w:t>.</w:t>
      </w:r>
    </w:p>
    <w:p w14:paraId="6A827BBE" w14:textId="4A9F0526" w:rsidR="00C317AE" w:rsidRDefault="00C317AE" w:rsidP="00C317AE">
      <w:r>
        <w:t xml:space="preserve">D </w:t>
      </w:r>
      <w:r w:rsidRPr="00F409D2">
        <w:rPr>
          <w:b/>
          <w:bCs/>
        </w:rPr>
        <w:t>=</w:t>
      </w:r>
      <w:r w:rsidR="008F27BA">
        <w:rPr>
          <w:rStyle w:val="apple-converted-space"/>
          <w:rFonts w:eastAsiaTheme="majorEastAsia"/>
          <w:b/>
          <w:bCs/>
          <w:color w:val="000000"/>
        </w:rPr>
        <w:t xml:space="preserve"> </w:t>
      </w:r>
      <w:proofErr w:type="gramStart"/>
      <w:r w:rsidRPr="00F409D2">
        <w:rPr>
          <w:rStyle w:val="ac"/>
          <w:rFonts w:eastAsiaTheme="majorEastAsia"/>
          <w:color w:val="000000"/>
        </w:rPr>
        <w:t>0,1</w:t>
      </w:r>
      <w:r>
        <w:rPr>
          <w:rStyle w:val="ac"/>
          <w:rFonts w:eastAsiaTheme="majorEastAsia"/>
          <w:color w:val="000000"/>
        </w:rPr>
        <w:t>53</w:t>
      </w:r>
      <w:r w:rsidR="008F27BA">
        <w:rPr>
          <w:rStyle w:val="ac"/>
          <w:rFonts w:eastAsiaTheme="majorEastAsia"/>
          <w:color w:val="000000"/>
        </w:rPr>
        <w:t xml:space="preserve"> </w:t>
      </w:r>
      <w:r w:rsidR="008F27BA">
        <w:rPr>
          <w:rStyle w:val="apple-converted-space"/>
          <w:rFonts w:eastAsiaTheme="majorEastAsia"/>
          <w:color w:val="000000"/>
        </w:rPr>
        <w:t xml:space="preserve"> </w:t>
      </w:r>
      <w:r w:rsidRPr="008F27BA">
        <w:t>&lt;</w:t>
      </w:r>
      <w:proofErr w:type="gramEnd"/>
      <w:r>
        <w:t xml:space="preserve"> </w:t>
      </w:r>
      <w:r w:rsidR="008F27BA">
        <w:t xml:space="preserve"> </w:t>
      </w:r>
      <w:r>
        <w:t xml:space="preserve">D </w:t>
      </w:r>
      <w:proofErr w:type="spellStart"/>
      <w:r>
        <w:t>крит</w:t>
      </w:r>
      <w:proofErr w:type="spellEnd"/>
      <w:r>
        <w:t>. =</w:t>
      </w:r>
      <w:r w:rsidR="008F27BA">
        <w:rPr>
          <w:rStyle w:val="apple-converted-space"/>
          <w:rFonts w:eastAsiaTheme="majorEastAsia"/>
          <w:color w:val="000000"/>
        </w:rPr>
        <w:t xml:space="preserve"> </w:t>
      </w:r>
      <w:r w:rsidRPr="00F409D2">
        <w:rPr>
          <w:rStyle w:val="ac"/>
          <w:rFonts w:eastAsiaTheme="majorEastAsia"/>
          <w:color w:val="000000"/>
        </w:rPr>
        <w:t>0,278</w:t>
      </w:r>
    </w:p>
    <w:p w14:paraId="2AD21379" w14:textId="1DED0430" w:rsidR="00C317AE" w:rsidRDefault="00C317AE" w:rsidP="00C317AE">
      <w:r w:rsidRPr="00F409D2">
        <w:rPr>
          <w:rStyle w:val="ad"/>
          <w:rFonts w:eastAsiaTheme="majorEastAsia"/>
          <w:b/>
          <w:bCs/>
          <w:color w:val="000000"/>
        </w:rPr>
        <w:t>Вывод</w:t>
      </w:r>
      <w:r>
        <w:t>:</w:t>
      </w:r>
      <w:r w:rsidR="008F27BA">
        <w:rPr>
          <w:rStyle w:val="apple-converted-space"/>
          <w:rFonts w:eastAsiaTheme="majorEastAsia"/>
          <w:color w:val="000000"/>
        </w:rPr>
        <w:t xml:space="preserve"> </w:t>
      </w:r>
      <w:r w:rsidRPr="008F27BA">
        <w:rPr>
          <w:rStyle w:val="ac"/>
          <w:rFonts w:eastAsiaTheme="majorEastAsia"/>
          <w:b w:val="0"/>
          <w:bCs w:val="0"/>
          <w:color w:val="000000"/>
        </w:rPr>
        <w:t>нет оснований отвергать гипотезу</w:t>
      </w:r>
      <w:r w:rsidR="008F27BA">
        <w:rPr>
          <w:rStyle w:val="apple-converted-space"/>
          <w:rFonts w:eastAsiaTheme="majorEastAsia"/>
          <w:color w:val="000000"/>
        </w:rPr>
        <w:t xml:space="preserve"> </w:t>
      </w:r>
      <w:r>
        <w:t>том, что выборка имеет равномерный закон распределения.</w:t>
      </w:r>
    </w:p>
    <w:p w14:paraId="0459A604" w14:textId="77777777" w:rsidR="008F27BA" w:rsidRDefault="008F27BA" w:rsidP="00C317AE"/>
    <w:p w14:paraId="5841CE90" w14:textId="215CDB06" w:rsidR="00C317AE" w:rsidRDefault="00C317AE" w:rsidP="008F27BA">
      <w:pPr>
        <w:pStyle w:val="3"/>
      </w:pPr>
      <w:r>
        <w:t>Возрастная и половая динамика смертности</w:t>
      </w:r>
      <w:r w:rsidRPr="001C2E0B">
        <w:t xml:space="preserve"> (</w:t>
      </w:r>
      <w:proofErr w:type="gramStart"/>
      <w:r w:rsidRPr="001C2E0B">
        <w:t>2000-2023</w:t>
      </w:r>
      <w:proofErr w:type="gramEnd"/>
      <w:r w:rsidRPr="001C2E0B">
        <w:t>)</w:t>
      </w:r>
    </w:p>
    <w:p w14:paraId="29F08C91" w14:textId="6DA3E75D" w:rsidR="00C317AE" w:rsidRDefault="00C317AE" w:rsidP="00C317AE">
      <w:r w:rsidRPr="00CF4B03">
        <w:t>Рассматривались 2000, 2010 и 2020 года для следующих возрастны</w:t>
      </w:r>
      <w:r w:rsidR="008F27BA">
        <w:t>х</w:t>
      </w:r>
      <w:r w:rsidRPr="00CF4B03">
        <w:t xml:space="preserve"> интервалов: [0; 4][5; 14][15; 29][30; 49][50; 59][60; 69][70+]</w:t>
      </w:r>
      <w:bookmarkStart w:id="5" w:name="OLE_LINK5"/>
      <w:r w:rsidR="008F27BA">
        <w:t>.</w:t>
      </w:r>
    </w:p>
    <w:p w14:paraId="0C4D72EA" w14:textId="77777777" w:rsidR="00C317AE" w:rsidRDefault="00C317AE" w:rsidP="00C317AE">
      <w:pPr>
        <w:rPr>
          <w:b/>
          <w:bCs/>
        </w:rPr>
      </w:pPr>
    </w:p>
    <w:p w14:paraId="123E457D" w14:textId="77777777" w:rsidR="00C317AE" w:rsidRDefault="00C317AE" w:rsidP="00C317AE">
      <w:pPr>
        <w:rPr>
          <w:b/>
          <w:bCs/>
        </w:rPr>
      </w:pPr>
    </w:p>
    <w:p w14:paraId="69ED94AA" w14:textId="77777777" w:rsidR="00C317AE" w:rsidRDefault="00C317AE" w:rsidP="00C317AE">
      <w:pPr>
        <w:rPr>
          <w:b/>
          <w:bCs/>
        </w:rPr>
      </w:pPr>
    </w:p>
    <w:p w14:paraId="5A6D3245" w14:textId="1126B4B8" w:rsidR="00C317AE" w:rsidRPr="00C21083" w:rsidRDefault="008F27BA" w:rsidP="00C317AE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4E29161" wp14:editId="121B73E7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359400" cy="3238500"/>
            <wp:effectExtent l="0" t="0" r="12700" b="12700"/>
            <wp:wrapTopAndBottom/>
            <wp:docPr id="47771220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02843B6-4043-D81E-46DF-22E0DD9872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7AE" w:rsidRPr="00C21083">
        <w:rPr>
          <w:b/>
          <w:bCs/>
        </w:rPr>
        <w:t>Мужчины</w:t>
      </w:r>
      <w:bookmarkEnd w:id="5"/>
      <w:r w:rsidR="00C317AE" w:rsidRPr="00C21083">
        <w:rPr>
          <w:b/>
          <w:bCs/>
        </w:rPr>
        <w:t>:</w:t>
      </w:r>
    </w:p>
    <w:p w14:paraId="2A2E6C37" w14:textId="0B45D5C6" w:rsidR="00C317AE" w:rsidRPr="00F409D2" w:rsidRDefault="00C317AE" w:rsidP="00C317AE"/>
    <w:p w14:paraId="51FA4A14" w14:textId="77777777" w:rsidR="00C317AE" w:rsidRDefault="00C317AE" w:rsidP="00C317AE">
      <w:pPr>
        <w:pStyle w:val="TNR"/>
      </w:pPr>
      <w:r w:rsidRPr="00CF4B03">
        <w:rPr>
          <w:noProof/>
        </w:rPr>
        <w:drawing>
          <wp:inline distT="0" distB="0" distL="0" distR="0" wp14:anchorId="307A2BDC" wp14:editId="59F15CC1">
            <wp:extent cx="4724400" cy="4254500"/>
            <wp:effectExtent l="0" t="0" r="0" b="0"/>
            <wp:docPr id="1061106804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06804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3A4F" w14:textId="423A0DAE" w:rsidR="008F27BA" w:rsidRDefault="00C317AE" w:rsidP="00C317AE">
      <w:pPr>
        <w:pStyle w:val="TNR"/>
      </w:pPr>
      <w:r w:rsidRPr="00CF4B03">
        <w:rPr>
          <w:b/>
          <w:bCs/>
          <w:i/>
          <w:iCs/>
        </w:rPr>
        <w:t>Вывод</w:t>
      </w:r>
      <w:proofErr w:type="gramStart"/>
      <w:r>
        <w:t>: Заметно</w:t>
      </w:r>
      <w:proofErr w:type="gramEnd"/>
      <w:r>
        <w:t xml:space="preserve"> снижение смертности в младших возрастах, значительный рост в среднем </w:t>
      </w:r>
      <w:proofErr w:type="gramStart"/>
      <w:r>
        <w:t>возрасте ,</w:t>
      </w:r>
      <w:proofErr w:type="gramEnd"/>
      <w:r>
        <w:t xml:space="preserve"> и стремительный в группе 70+. Коэффициент вариации стабильно высок.</w:t>
      </w:r>
    </w:p>
    <w:p w14:paraId="42E23458" w14:textId="77777777" w:rsidR="00C317AE" w:rsidRPr="00C21083" w:rsidRDefault="00C317AE" w:rsidP="00C317AE">
      <w:pPr>
        <w:pStyle w:val="TNR"/>
        <w:rPr>
          <w:b/>
          <w:bCs/>
        </w:rPr>
      </w:pPr>
      <w:r w:rsidRPr="00C21083">
        <w:rPr>
          <w:b/>
          <w:bCs/>
        </w:rPr>
        <w:lastRenderedPageBreak/>
        <w:t>Женщины:</w:t>
      </w:r>
    </w:p>
    <w:p w14:paraId="7AFEDD2C" w14:textId="77777777" w:rsidR="00C317AE" w:rsidRDefault="00C317AE" w:rsidP="00C317AE">
      <w:pPr>
        <w:pStyle w:val="TNR"/>
        <w:rPr>
          <w:noProof/>
        </w:rPr>
      </w:pPr>
      <w:r>
        <w:rPr>
          <w:noProof/>
        </w:rPr>
        <w:drawing>
          <wp:inline distT="0" distB="0" distL="0" distR="0" wp14:anchorId="1B803D0B" wp14:editId="017E4DFE">
            <wp:extent cx="5334000" cy="3111500"/>
            <wp:effectExtent l="0" t="0" r="12700" b="12700"/>
            <wp:docPr id="131546672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5C6FDE0-3F0F-9D42-8FA8-9EBF25CDE3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E77CC95" w14:textId="77777777" w:rsidR="00C317AE" w:rsidRPr="00CF4B03" w:rsidRDefault="00C317AE" w:rsidP="00C317AE">
      <w:pPr>
        <w:rPr>
          <w:noProof/>
        </w:rPr>
      </w:pPr>
    </w:p>
    <w:p w14:paraId="74F043AC" w14:textId="77777777" w:rsidR="00C317AE" w:rsidRDefault="00C317AE" w:rsidP="00C317AE">
      <w:r w:rsidRPr="00CF4B03">
        <w:rPr>
          <w:noProof/>
        </w:rPr>
        <w:drawing>
          <wp:inline distT="0" distB="0" distL="0" distR="0" wp14:anchorId="5C1E2145" wp14:editId="0AEF3361">
            <wp:extent cx="4724400" cy="4254500"/>
            <wp:effectExtent l="0" t="0" r="0" b="0"/>
            <wp:docPr id="959627667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27667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0BA1" w14:textId="77777777" w:rsidR="00C317AE" w:rsidRDefault="00C317AE" w:rsidP="00C317AE">
      <w:pPr>
        <w:pStyle w:val="TNR"/>
      </w:pPr>
      <w:r w:rsidRPr="00CF4B03">
        <w:rPr>
          <w:b/>
          <w:bCs/>
          <w:i/>
          <w:iCs/>
        </w:rPr>
        <w:t>Вывод</w:t>
      </w:r>
      <w:proofErr w:type="gramStart"/>
      <w:r>
        <w:t>: Аналогично</w:t>
      </w:r>
      <w:proofErr w:type="gramEnd"/>
      <w:r>
        <w:t xml:space="preserve"> мужчинам резкое увеличение смертности после 60 лет. </w:t>
      </w:r>
      <w:proofErr w:type="spellStart"/>
      <w:r>
        <w:t>Присутсвует</w:t>
      </w:r>
      <w:proofErr w:type="spellEnd"/>
      <w:r>
        <w:t xml:space="preserve"> явная </w:t>
      </w:r>
      <w:proofErr w:type="spellStart"/>
      <w:r>
        <w:t>ассиметрия</w:t>
      </w:r>
      <w:proofErr w:type="spellEnd"/>
      <w:r>
        <w:t xml:space="preserve"> и эксцесс: умирают в основном </w:t>
      </w:r>
      <w:proofErr w:type="gramStart"/>
      <w:r>
        <w:t>с старшем</w:t>
      </w:r>
      <w:proofErr w:type="gramEnd"/>
      <w:r>
        <w:t xml:space="preserve"> возрасте. Крайне высокий коэффициент вариации.</w:t>
      </w:r>
    </w:p>
    <w:p w14:paraId="6607F9ED" w14:textId="77777777" w:rsidR="00C317AE" w:rsidRPr="00EF10F6" w:rsidRDefault="00C317AE" w:rsidP="00C317AE">
      <w:pPr>
        <w:pStyle w:val="3"/>
        <w:rPr>
          <w:lang w:val="en-US"/>
        </w:rPr>
      </w:pPr>
      <w:bookmarkStart w:id="6" w:name="_Toc200125753"/>
      <w:r w:rsidRPr="00C21083">
        <w:lastRenderedPageBreak/>
        <w:t>Основные выводы по исследованию смертности</w:t>
      </w:r>
      <w:bookmarkEnd w:id="6"/>
    </w:p>
    <w:p w14:paraId="5B0BDC27" w14:textId="77777777" w:rsidR="00C317AE" w:rsidRDefault="00C317AE" w:rsidP="00C317AE">
      <w:pPr>
        <w:pStyle w:val="TNR"/>
      </w:pPr>
    </w:p>
    <w:p w14:paraId="7109A2F3" w14:textId="77777777" w:rsidR="00C317AE" w:rsidRPr="00C21083" w:rsidRDefault="00C317AE" w:rsidP="00C317AE">
      <w:pPr>
        <w:pStyle w:val="a7"/>
        <w:numPr>
          <w:ilvl w:val="0"/>
          <w:numId w:val="1"/>
        </w:numPr>
        <w:rPr>
          <w:lang w:eastAsia="ru-RU"/>
        </w:rPr>
      </w:pPr>
      <w:r w:rsidRPr="00C21083">
        <w:rPr>
          <w:lang w:eastAsia="ru-RU"/>
        </w:rPr>
        <w:t>Смертность с 1950 по 2023 имеет сложную динамику, включая периоды резких изменений</w:t>
      </w:r>
    </w:p>
    <w:p w14:paraId="19BD3BDE" w14:textId="77777777" w:rsidR="00C317AE" w:rsidRPr="00C21083" w:rsidRDefault="00C317AE" w:rsidP="00C317AE">
      <w:pPr>
        <w:pStyle w:val="a7"/>
        <w:numPr>
          <w:ilvl w:val="0"/>
          <w:numId w:val="1"/>
        </w:numPr>
        <w:rPr>
          <w:lang w:eastAsia="ru-RU"/>
        </w:rPr>
      </w:pPr>
      <w:r w:rsidRPr="00C21083">
        <w:rPr>
          <w:lang w:eastAsia="ru-RU"/>
        </w:rPr>
        <w:t xml:space="preserve">COVID-19 в </w:t>
      </w:r>
      <w:proofErr w:type="gramStart"/>
      <w:r w:rsidRPr="00C21083">
        <w:rPr>
          <w:lang w:eastAsia="ru-RU"/>
        </w:rPr>
        <w:t>2020-2021</w:t>
      </w:r>
      <w:proofErr w:type="gramEnd"/>
      <w:r w:rsidRPr="00C21083">
        <w:rPr>
          <w:lang w:eastAsia="ru-RU"/>
        </w:rPr>
        <w:t xml:space="preserve"> годах – ключевой фактор всплеска смертности</w:t>
      </w:r>
    </w:p>
    <w:p w14:paraId="0BAE633B" w14:textId="6D643D2F" w:rsidR="00C317AE" w:rsidRPr="00C21083" w:rsidRDefault="00C317AE" w:rsidP="00C317AE">
      <w:pPr>
        <w:pStyle w:val="a7"/>
        <w:numPr>
          <w:ilvl w:val="0"/>
          <w:numId w:val="1"/>
        </w:numPr>
        <w:rPr>
          <w:lang w:eastAsia="ru-RU"/>
        </w:rPr>
      </w:pPr>
      <w:r w:rsidRPr="00C21083">
        <w:rPr>
          <w:lang w:eastAsia="ru-RU"/>
        </w:rPr>
        <w:t>С 2000-х годов распределение стало более стабильным и ближе к</w:t>
      </w:r>
      <w:r w:rsidR="008F27BA">
        <w:rPr>
          <w:lang w:eastAsia="ru-RU"/>
        </w:rPr>
        <w:t xml:space="preserve"> </w:t>
      </w:r>
      <w:r w:rsidRPr="00C21083">
        <w:rPr>
          <w:lang w:eastAsia="ru-RU"/>
        </w:rPr>
        <w:t>равномерному.</w:t>
      </w:r>
    </w:p>
    <w:p w14:paraId="3C218F06" w14:textId="77777777" w:rsidR="00C317AE" w:rsidRPr="00C21083" w:rsidRDefault="00C317AE" w:rsidP="00C317AE">
      <w:pPr>
        <w:pStyle w:val="a7"/>
        <w:numPr>
          <w:ilvl w:val="0"/>
          <w:numId w:val="1"/>
        </w:numPr>
        <w:rPr>
          <w:lang w:eastAsia="ru-RU"/>
        </w:rPr>
      </w:pPr>
      <w:r w:rsidRPr="00C21083">
        <w:rPr>
          <w:lang w:eastAsia="ru-RU"/>
        </w:rPr>
        <w:t>У мужчин и женщин наблюдается пик смертности в возрастной категории 70+</w:t>
      </w:r>
    </w:p>
    <w:p w14:paraId="6E78A2AF" w14:textId="77777777" w:rsidR="00C317AE" w:rsidRPr="00C21083" w:rsidRDefault="00C317AE" w:rsidP="00C317AE">
      <w:pPr>
        <w:pStyle w:val="a7"/>
        <w:numPr>
          <w:ilvl w:val="0"/>
          <w:numId w:val="1"/>
        </w:numPr>
        <w:rPr>
          <w:lang w:eastAsia="ru-RU"/>
        </w:rPr>
      </w:pPr>
      <w:r w:rsidRPr="00C21083">
        <w:rPr>
          <w:lang w:eastAsia="ru-RU"/>
        </w:rPr>
        <w:t>Мужчины ввиду различных причин имеют повышенную смертность в среднем возрасте (</w:t>
      </w:r>
      <w:proofErr w:type="gramStart"/>
      <w:r w:rsidRPr="00C21083">
        <w:rPr>
          <w:lang w:eastAsia="ru-RU"/>
        </w:rPr>
        <w:t>30-49</w:t>
      </w:r>
      <w:proofErr w:type="gramEnd"/>
      <w:r w:rsidRPr="00C21083">
        <w:rPr>
          <w:lang w:eastAsia="ru-RU"/>
        </w:rPr>
        <w:t>), когда как у женщин смертность стабильно низкая до уже упомянутого пика.</w:t>
      </w:r>
    </w:p>
    <w:p w14:paraId="2505F4AF" w14:textId="77777777" w:rsidR="00C317AE" w:rsidRPr="00C21083" w:rsidRDefault="00C317AE" w:rsidP="00C317AE">
      <w:pPr>
        <w:rPr>
          <w:lang w:eastAsia="ru-RU"/>
        </w:rPr>
      </w:pPr>
      <w:r w:rsidRPr="00C21083">
        <w:rPr>
          <w:lang w:eastAsia="ru-RU"/>
        </w:rPr>
        <w:t>Соответственно, был проведен комплексный анализ смертности на территории РФ с 1950 по 2023 год. Построена дескриптивная статистика, была проведена проверка на нормальность и равномерность с помощью критерия согласия Колмогорова-Смирнова, также был проведен возрастной анализ смертности за 2000, 2010 и 2020 года.</w:t>
      </w:r>
    </w:p>
    <w:p w14:paraId="28445DF0" w14:textId="77777777" w:rsidR="003366C3" w:rsidRDefault="003366C3"/>
    <w:sectPr w:rsidR="00336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907C09"/>
    <w:multiLevelType w:val="hybridMultilevel"/>
    <w:tmpl w:val="8C74D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31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AE"/>
    <w:rsid w:val="003366C3"/>
    <w:rsid w:val="005468AD"/>
    <w:rsid w:val="008F27BA"/>
    <w:rsid w:val="00AD4690"/>
    <w:rsid w:val="00C3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810373"/>
  <w15:chartTrackingRefBased/>
  <w15:docId w15:val="{6C8C842F-8076-164F-8777-4CB441A4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7AE"/>
    <w:pPr>
      <w:jc w:val="both"/>
    </w:pPr>
    <w:rPr>
      <w:rFonts w:ascii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317AE"/>
    <w:pPr>
      <w:keepNext/>
      <w:keepLines/>
      <w:spacing w:before="360" w:after="80"/>
      <w:jc w:val="center"/>
      <w:outlineLvl w:val="0"/>
    </w:pPr>
    <w:rPr>
      <w:rFonts w:eastAsiaTheme="majorEastAsia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17A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1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1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1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1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1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1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7AE"/>
    <w:rPr>
      <w:rFonts w:ascii="Times New Roman" w:eastAsiaTheme="majorEastAsia" w:hAnsi="Times New Roman" w:cs="Times New Roman"/>
      <w:sz w:val="40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31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317AE"/>
    <w:rPr>
      <w:rFonts w:ascii="Times New Roman" w:eastAsiaTheme="majorEastAsia" w:hAnsi="Times New Roman" w:cstheme="majorBidi"/>
      <w:sz w:val="32"/>
      <w:szCs w:val="32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C317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17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17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17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17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17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1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1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1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1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1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17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17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17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1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17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317AE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C317AE"/>
    <w:rPr>
      <w:b/>
      <w:bCs/>
    </w:rPr>
  </w:style>
  <w:style w:type="character" w:customStyle="1" w:styleId="apple-converted-space">
    <w:name w:val="apple-converted-space"/>
    <w:basedOn w:val="a0"/>
    <w:rsid w:val="00C317AE"/>
  </w:style>
  <w:style w:type="character" w:styleId="ad">
    <w:name w:val="Emphasis"/>
    <w:basedOn w:val="a0"/>
    <w:uiPriority w:val="20"/>
    <w:qFormat/>
    <w:rsid w:val="00C317AE"/>
    <w:rPr>
      <w:i/>
      <w:iCs/>
    </w:rPr>
  </w:style>
  <w:style w:type="paragraph" w:customStyle="1" w:styleId="TNR">
    <w:name w:val="Стиль_TNR"/>
    <w:basedOn w:val="a"/>
    <w:qFormat/>
    <w:rsid w:val="00C317AE"/>
    <w:pPr>
      <w:spacing w:after="0" w:line="240" w:lineRule="auto"/>
    </w:pPr>
    <w:rPr>
      <w:rFonts w:eastAsia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2.png"/><Relationship Id="rId5" Type="http://schemas.openxmlformats.org/officeDocument/2006/relationships/chart" Target="charts/chart1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astasijakazakova/Documents/&#1059;&#1085;&#1080;&#1074;&#1077;&#1088;/&#1040;&#1085;&#1072;&#1083;&#1080;&#1079;%20&#1089;&#1084;&#1077;&#1088;&#1090;&#1085;&#1086;&#1089;&#1090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nastasijakazakova/Documents/&#1059;&#1085;&#1080;&#1074;&#1077;&#1088;/&#1040;&#1085;&#1072;&#1083;&#1080;&#1079;%20&#1089;&#1084;&#1077;&#1088;&#1090;&#1085;&#1086;&#1089;&#1090;&#1080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astasijakazakova/Documents/&#1059;&#1085;&#1080;&#1074;&#1077;&#1088;/&#1040;&#1085;&#1072;&#1083;&#1080;&#1079;%20&#1089;&#1084;&#1077;&#1088;&#1090;&#1085;&#1086;&#1089;&#1090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astasijakazakova/Documents/&#1059;&#1085;&#1080;&#1074;&#1077;&#1088;/&#1040;&#1085;&#1072;&#1083;&#1080;&#1079;%20&#1089;&#1084;&#1077;&#1088;&#1090;&#1085;&#1086;&#1089;&#1090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astasijakazakova/Documents/&#1059;&#1085;&#1080;&#1074;&#1077;&#1088;/&#1040;&#1085;&#1072;&#1083;&#1080;&#1079;%20&#1089;&#1084;&#1077;&#1088;&#1090;&#1085;&#1086;&#1089;&#1090;&#108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Смертей на 1000 чел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LV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Смертность!$B$1</c:f>
              <c:strCache>
                <c:ptCount val="1"/>
                <c:pt idx="0">
                  <c:v>Смертность на 1000 чел</c:v>
                </c:pt>
              </c:strCache>
            </c:strRef>
          </c:tx>
          <c:spPr>
            <a:ln w="19050" cap="rnd">
              <a:solidFill>
                <a:schemeClr val="tx2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Смертность!$A$2:$A$31</c:f>
              <c:numCache>
                <c:formatCode>General</c:formatCode>
                <c:ptCount val="30"/>
                <c:pt idx="0">
                  <c:v>1950</c:v>
                </c:pt>
                <c:pt idx="1">
                  <c:v>1960</c:v>
                </c:pt>
                <c:pt idx="2">
                  <c:v>1970</c:v>
                </c:pt>
                <c:pt idx="3">
                  <c:v>1980</c:v>
                </c:pt>
                <c:pt idx="4">
                  <c:v>1990</c:v>
                </c:pt>
                <c:pt idx="5">
                  <c:v>1995</c:v>
                </c:pt>
                <c:pt idx="6">
                  <c:v>2000</c:v>
                </c:pt>
                <c:pt idx="7">
                  <c:v>2001</c:v>
                </c:pt>
                <c:pt idx="8">
                  <c:v>2002</c:v>
                </c:pt>
                <c:pt idx="9">
                  <c:v>2003</c:v>
                </c:pt>
                <c:pt idx="10">
                  <c:v>2004</c:v>
                </c:pt>
                <c:pt idx="11">
                  <c:v>2005</c:v>
                </c:pt>
                <c:pt idx="12">
                  <c:v>2006</c:v>
                </c:pt>
                <c:pt idx="13">
                  <c:v>2007</c:v>
                </c:pt>
                <c:pt idx="14">
                  <c:v>2008</c:v>
                </c:pt>
                <c:pt idx="15">
                  <c:v>2009</c:v>
                </c:pt>
                <c:pt idx="16">
                  <c:v>2010</c:v>
                </c:pt>
                <c:pt idx="17">
                  <c:v>2011</c:v>
                </c:pt>
                <c:pt idx="18">
                  <c:v>2012</c:v>
                </c:pt>
                <c:pt idx="19">
                  <c:v>2013</c:v>
                </c:pt>
                <c:pt idx="20">
                  <c:v>2014</c:v>
                </c:pt>
                <c:pt idx="21">
                  <c:v>2015</c:v>
                </c:pt>
                <c:pt idx="22">
                  <c:v>2016</c:v>
                </c:pt>
                <c:pt idx="23">
                  <c:v>2017</c:v>
                </c:pt>
                <c:pt idx="24">
                  <c:v>2018</c:v>
                </c:pt>
                <c:pt idx="25">
                  <c:v>2019</c:v>
                </c:pt>
                <c:pt idx="26">
                  <c:v>2020</c:v>
                </c:pt>
                <c:pt idx="27">
                  <c:v>2021</c:v>
                </c:pt>
                <c:pt idx="28">
                  <c:v>2022</c:v>
                </c:pt>
                <c:pt idx="29">
                  <c:v>2023</c:v>
                </c:pt>
              </c:numCache>
            </c:numRef>
          </c:xVal>
          <c:yVal>
            <c:numRef>
              <c:f>Смертность!$B$2:$B$31</c:f>
              <c:numCache>
                <c:formatCode>0.0</c:formatCode>
                <c:ptCount val="30"/>
                <c:pt idx="0">
                  <c:v>10.1</c:v>
                </c:pt>
                <c:pt idx="1">
                  <c:v>7.4</c:v>
                </c:pt>
                <c:pt idx="2">
                  <c:v>8.6999999999999993</c:v>
                </c:pt>
                <c:pt idx="3">
                  <c:v>11</c:v>
                </c:pt>
                <c:pt idx="4">
                  <c:v>11.2</c:v>
                </c:pt>
                <c:pt idx="5">
                  <c:v>15</c:v>
                </c:pt>
                <c:pt idx="6">
                  <c:v>15.3</c:v>
                </c:pt>
                <c:pt idx="7">
                  <c:v>15.6</c:v>
                </c:pt>
                <c:pt idx="8">
                  <c:v>16.2</c:v>
                </c:pt>
                <c:pt idx="9">
                  <c:v>16.399999999999999</c:v>
                </c:pt>
                <c:pt idx="10">
                  <c:v>15.9</c:v>
                </c:pt>
                <c:pt idx="11">
                  <c:v>16.100000000000001</c:v>
                </c:pt>
                <c:pt idx="12">
                  <c:v>15.1</c:v>
                </c:pt>
                <c:pt idx="13">
                  <c:v>14.6</c:v>
                </c:pt>
                <c:pt idx="14">
                  <c:v>14.5</c:v>
                </c:pt>
                <c:pt idx="15">
                  <c:v>14.1</c:v>
                </c:pt>
                <c:pt idx="16">
                  <c:v>14.2</c:v>
                </c:pt>
                <c:pt idx="17">
                  <c:v>13.5</c:v>
                </c:pt>
                <c:pt idx="18">
                  <c:v>13.3</c:v>
                </c:pt>
                <c:pt idx="19">
                  <c:v>13</c:v>
                </c:pt>
                <c:pt idx="20">
                  <c:v>13.1</c:v>
                </c:pt>
                <c:pt idx="21">
                  <c:v>13</c:v>
                </c:pt>
                <c:pt idx="22">
                  <c:v>12.8</c:v>
                </c:pt>
                <c:pt idx="23">
                  <c:v>12.4</c:v>
                </c:pt>
                <c:pt idx="24">
                  <c:v>12.4</c:v>
                </c:pt>
                <c:pt idx="25">
                  <c:v>12.2</c:v>
                </c:pt>
                <c:pt idx="26">
                  <c:v>14.5</c:v>
                </c:pt>
                <c:pt idx="27">
                  <c:v>16.600000000000001</c:v>
                </c:pt>
                <c:pt idx="28">
                  <c:v>12.9</c:v>
                </c:pt>
                <c:pt idx="29">
                  <c:v>12.1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4A-8D4A-A098-D66DC7CE1C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9077088"/>
        <c:axId val="312889328"/>
      </c:scatterChart>
      <c:valAx>
        <c:axId val="369077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8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LV"/>
          </a:p>
        </c:txPr>
        <c:crossAx val="312889328"/>
        <c:crosses val="autoZero"/>
        <c:crossBetween val="midCat"/>
      </c:valAx>
      <c:valAx>
        <c:axId val="31288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LV"/>
          </a:p>
        </c:txPr>
        <c:crossAx val="369077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LV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ru-RU" b="0">
                <a:solidFill>
                  <a:srgbClr val="757575"/>
                </a:solidFill>
                <a:latin typeface="+mn-lt"/>
              </a:rPr>
              <a:t>Смертей на 1000 человек 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circle"/>
            <c:size val="5"/>
            <c:spPr>
              <a:ln w="28575"/>
            </c:spPr>
          </c:marker>
          <c:cat>
            <c:numRef>
              <c:f>Смертность!$A$63:$A$86</c:f>
              <c:numCache>
                <c:formatCode>General</c:formatCode>
                <c:ptCount val="2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</c:numCache>
            </c:numRef>
          </c:cat>
          <c:val>
            <c:numRef>
              <c:f>Смертность!$A$63:$A$86</c:f>
              <c:numCache>
                <c:formatCode>General</c:formatCode>
                <c:ptCount val="2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7C-C946-ADFA-0E706B5814EF}"/>
            </c:ext>
          </c:extLst>
        </c:ser>
        <c:ser>
          <c:idx val="1"/>
          <c:order val="1"/>
          <c:spPr>
            <a:ln w="38100">
              <a:solidFill>
                <a:srgbClr val="FFC000"/>
              </a:solidFill>
            </a:ln>
          </c:spPr>
          <c:marker>
            <c:symbol val="circle"/>
            <c:size val="7"/>
            <c:spPr>
              <a:ln w="1270"/>
            </c:spPr>
          </c:marker>
          <c:cat>
            <c:numRef>
              <c:f>Смертность!$A$63:$A$86</c:f>
              <c:numCache>
                <c:formatCode>General</c:formatCode>
                <c:ptCount val="2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</c:numCache>
            </c:numRef>
          </c:cat>
          <c:val>
            <c:numRef>
              <c:f>Смертность!$B$63:$B$86</c:f>
              <c:numCache>
                <c:formatCode>0.0</c:formatCode>
                <c:ptCount val="24"/>
                <c:pt idx="0">
                  <c:v>15.3</c:v>
                </c:pt>
                <c:pt idx="1">
                  <c:v>15.6</c:v>
                </c:pt>
                <c:pt idx="2">
                  <c:v>16.2</c:v>
                </c:pt>
                <c:pt idx="3">
                  <c:v>16.399999999999999</c:v>
                </c:pt>
                <c:pt idx="4">
                  <c:v>15.9</c:v>
                </c:pt>
                <c:pt idx="5">
                  <c:v>16.100000000000001</c:v>
                </c:pt>
                <c:pt idx="6">
                  <c:v>15.1</c:v>
                </c:pt>
                <c:pt idx="7">
                  <c:v>14.6</c:v>
                </c:pt>
                <c:pt idx="8">
                  <c:v>14.5</c:v>
                </c:pt>
                <c:pt idx="9">
                  <c:v>14.1</c:v>
                </c:pt>
                <c:pt idx="10">
                  <c:v>14.2</c:v>
                </c:pt>
                <c:pt idx="11">
                  <c:v>13.5</c:v>
                </c:pt>
                <c:pt idx="12">
                  <c:v>13.3</c:v>
                </c:pt>
                <c:pt idx="13">
                  <c:v>13</c:v>
                </c:pt>
                <c:pt idx="14">
                  <c:v>13.1</c:v>
                </c:pt>
                <c:pt idx="15">
                  <c:v>13</c:v>
                </c:pt>
                <c:pt idx="16">
                  <c:v>12.8</c:v>
                </c:pt>
                <c:pt idx="17">
                  <c:v>12.4</c:v>
                </c:pt>
                <c:pt idx="18">
                  <c:v>12.4</c:v>
                </c:pt>
                <c:pt idx="19">
                  <c:v>12.2</c:v>
                </c:pt>
                <c:pt idx="20">
                  <c:v>14.5</c:v>
                </c:pt>
                <c:pt idx="21">
                  <c:v>16.600000000000001</c:v>
                </c:pt>
                <c:pt idx="22">
                  <c:v>12.9</c:v>
                </c:pt>
                <c:pt idx="23">
                  <c:v>12.1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7C-C946-ADFA-0E706B5814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698788"/>
        <c:axId val="298843430"/>
      </c:lineChart>
      <c:catAx>
        <c:axId val="2076987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ru-RU" b="0">
                    <a:solidFill>
                      <a:srgbClr val="000000"/>
                    </a:solidFill>
                    <a:latin typeface="+mn-lt"/>
                  </a:rPr>
                  <a:t>Годы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 rot="-2700000" vert="horz" anchor="ctr" anchorCtr="0"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LV"/>
          </a:p>
        </c:txPr>
        <c:crossAx val="298843430"/>
        <c:crosses val="autoZero"/>
        <c:auto val="1"/>
        <c:lblAlgn val="ctr"/>
        <c:lblOffset val="100"/>
        <c:noMultiLvlLbl val="1"/>
      </c:catAx>
      <c:valAx>
        <c:axId val="298843430"/>
        <c:scaling>
          <c:orientation val="minMax"/>
          <c:max val="17"/>
          <c:min val="12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ru-RU" b="0">
                    <a:solidFill>
                      <a:srgbClr val="000000"/>
                    </a:solidFill>
                    <a:latin typeface="+mn-lt"/>
                  </a:rPr>
                  <a:t>смертей на 1000 человек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LV"/>
          </a:p>
        </c:txPr>
        <c:crossAx val="207698788"/>
        <c:crosses val="autoZero"/>
        <c:crossBetween val="between"/>
      </c:valAx>
    </c:plotArea>
    <c:plotVisOnly val="1"/>
    <c:dispBlanksAs val="zero"/>
    <c:showDLblsOverMax val="1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 смертности</a:t>
            </a:r>
            <a:r>
              <a:rPr lang="ru-RU" baseline="0"/>
              <a:t> на 1000 человек </a:t>
            </a:r>
          </a:p>
          <a:p>
            <a:pPr>
              <a:defRPr/>
            </a:pPr>
            <a:r>
              <a:rPr lang="ru-RU" baseline="0"/>
              <a:t>(2020-2023)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Смертность!$B$115</c:f>
              <c:strCache>
                <c:ptCount val="1"/>
                <c:pt idx="0">
                  <c:v>Частота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Смертность!$A$116:$A$120</c:f>
              <c:strCache>
                <c:ptCount val="5"/>
                <c:pt idx="0">
                  <c:v>12.1–13.0</c:v>
                </c:pt>
                <c:pt idx="1">
                  <c:v>13.0–13.9</c:v>
                </c:pt>
                <c:pt idx="2">
                  <c:v>13.9–14.8</c:v>
                </c:pt>
                <c:pt idx="3">
                  <c:v>14.8–15.7</c:v>
                </c:pt>
                <c:pt idx="4">
                  <c:v>15.7–16.6</c:v>
                </c:pt>
              </c:strCache>
            </c:strRef>
          </c:cat>
          <c:val>
            <c:numRef>
              <c:f>Смертность!$B$116:$B$120</c:f>
              <c:numCache>
                <c:formatCode>General</c:formatCode>
                <c:ptCount val="5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3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C9-664D-9CC5-6A8F5BFEC4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5"/>
        <c:overlap val="7"/>
        <c:axId val="236663920"/>
        <c:axId val="138541008"/>
      </c:barChart>
      <c:catAx>
        <c:axId val="236663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Смертность на 1000 человек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LV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LV"/>
          </a:p>
        </c:txPr>
        <c:crossAx val="138541008"/>
        <c:crosses val="autoZero"/>
        <c:auto val="1"/>
        <c:lblAlgn val="ctr"/>
        <c:lblOffset val="100"/>
        <c:noMultiLvlLbl val="0"/>
      </c:catAx>
      <c:valAx>
        <c:axId val="13854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LV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LV"/>
          </a:p>
        </c:txPr>
        <c:crossAx val="236663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LV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смертности мужчин по возрасту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LV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Смертность!$A$168:$A$174</c:f>
              <c:strCache>
                <c:ptCount val="7"/>
                <c:pt idx="0">
                  <c:v>0; 4</c:v>
                </c:pt>
                <c:pt idx="1">
                  <c:v>5; 14</c:v>
                </c:pt>
                <c:pt idx="2">
                  <c:v>15; 29</c:v>
                </c:pt>
                <c:pt idx="3">
                  <c:v>30; 49</c:v>
                </c:pt>
                <c:pt idx="4">
                  <c:v>50; 59</c:v>
                </c:pt>
                <c:pt idx="5">
                  <c:v>60; 69</c:v>
                </c:pt>
                <c:pt idx="6">
                  <c:v>70+</c:v>
                </c:pt>
              </c:strCache>
            </c:strRef>
          </c:cat>
          <c:val>
            <c:numRef>
              <c:f>Смертность!$B$168:$B$174</c:f>
              <c:numCache>
                <c:formatCode>#,##0.00</c:formatCode>
                <c:ptCount val="7"/>
                <c:pt idx="0">
                  <c:v>0.14400000000000002</c:v>
                </c:pt>
                <c:pt idx="1">
                  <c:v>6.2E-2</c:v>
                </c:pt>
                <c:pt idx="2">
                  <c:v>0.76800000000000002</c:v>
                </c:pt>
                <c:pt idx="3">
                  <c:v>2.6139999999999999</c:v>
                </c:pt>
                <c:pt idx="4">
                  <c:v>1.8009999999999999</c:v>
                </c:pt>
                <c:pt idx="5">
                  <c:v>3.0680000000000001</c:v>
                </c:pt>
                <c:pt idx="6">
                  <c:v>3.3480000000000003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82-F346-B552-22BEDD1FBE4F}"/>
            </c:ext>
          </c:extLst>
        </c:ser>
        <c:ser>
          <c:idx val="1"/>
          <c:order val="1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Смертность!$A$168:$A$174</c:f>
              <c:strCache>
                <c:ptCount val="7"/>
                <c:pt idx="0">
                  <c:v>0; 4</c:v>
                </c:pt>
                <c:pt idx="1">
                  <c:v>5; 14</c:v>
                </c:pt>
                <c:pt idx="2">
                  <c:v>15; 29</c:v>
                </c:pt>
                <c:pt idx="3">
                  <c:v>30; 49</c:v>
                </c:pt>
                <c:pt idx="4">
                  <c:v>50; 59</c:v>
                </c:pt>
                <c:pt idx="5">
                  <c:v>60; 69</c:v>
                </c:pt>
                <c:pt idx="6">
                  <c:v>70+</c:v>
                </c:pt>
              </c:strCache>
            </c:strRef>
          </c:cat>
          <c:val>
            <c:numRef>
              <c:f>Смертность!$C$168:$C$174</c:f>
              <c:numCache>
                <c:formatCode>#,##0.00</c:formatCode>
                <c:ptCount val="7"/>
                <c:pt idx="0">
                  <c:v>9.6948949909382201E-2</c:v>
                </c:pt>
                <c:pt idx="1">
                  <c:v>2.6000000000000002E-2</c:v>
                </c:pt>
                <c:pt idx="2">
                  <c:v>0.48499999999999999</c:v>
                </c:pt>
                <c:pt idx="3">
                  <c:v>1.9240000000000002</c:v>
                </c:pt>
                <c:pt idx="4">
                  <c:v>2.117</c:v>
                </c:pt>
                <c:pt idx="5">
                  <c:v>1.94354219744696</c:v>
                </c:pt>
                <c:pt idx="6">
                  <c:v>3.94561313162423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82-F346-B552-22BEDD1FBE4F}"/>
            </c:ext>
          </c:extLst>
        </c:ser>
        <c:ser>
          <c:idx val="2"/>
          <c:order val="2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Смертность!$A$168:$A$174</c:f>
              <c:strCache>
                <c:ptCount val="7"/>
                <c:pt idx="0">
                  <c:v>0; 4</c:v>
                </c:pt>
                <c:pt idx="1">
                  <c:v>5; 14</c:v>
                </c:pt>
                <c:pt idx="2">
                  <c:v>15; 29</c:v>
                </c:pt>
                <c:pt idx="3">
                  <c:v>30; 49</c:v>
                </c:pt>
                <c:pt idx="4">
                  <c:v>50; 59</c:v>
                </c:pt>
                <c:pt idx="5">
                  <c:v>60; 69</c:v>
                </c:pt>
                <c:pt idx="6">
                  <c:v>70+</c:v>
                </c:pt>
              </c:strCache>
            </c:strRef>
          </c:cat>
          <c:val>
            <c:numRef>
              <c:f>Смертность!$D$168:$D$174</c:f>
              <c:numCache>
                <c:formatCode>#,##0.00</c:formatCode>
                <c:ptCount val="7"/>
                <c:pt idx="0">
                  <c:v>4.6620715285377499E-2</c:v>
                </c:pt>
                <c:pt idx="1">
                  <c:v>1.9619592182909998E-2</c:v>
                </c:pt>
                <c:pt idx="2">
                  <c:v>0.16</c:v>
                </c:pt>
                <c:pt idx="3">
                  <c:v>1.4923633918199299</c:v>
                </c:pt>
                <c:pt idx="4">
                  <c:v>1.5640000000000001</c:v>
                </c:pt>
                <c:pt idx="5">
                  <c:v>2.9256473641543197</c:v>
                </c:pt>
                <c:pt idx="6">
                  <c:v>4.57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82-F346-B552-22BEDD1FBE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4866959"/>
        <c:axId val="5506688"/>
      </c:lineChart>
      <c:catAx>
        <c:axId val="2134866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LV"/>
          </a:p>
        </c:txPr>
        <c:crossAx val="5506688"/>
        <c:crosses val="autoZero"/>
        <c:auto val="1"/>
        <c:lblAlgn val="ctr"/>
        <c:lblOffset val="100"/>
        <c:noMultiLvlLbl val="0"/>
      </c:catAx>
      <c:valAx>
        <c:axId val="550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LV"/>
          </a:p>
        </c:txPr>
        <c:crossAx val="21348669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LV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смертности женщин по возрасту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LV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Смертность!$A$192:$A$198</c:f>
              <c:strCache>
                <c:ptCount val="7"/>
                <c:pt idx="0">
                  <c:v>0; 4</c:v>
                </c:pt>
                <c:pt idx="1">
                  <c:v>5; 14</c:v>
                </c:pt>
                <c:pt idx="2">
                  <c:v>15; 29</c:v>
                </c:pt>
                <c:pt idx="3">
                  <c:v>30; 49</c:v>
                </c:pt>
                <c:pt idx="4">
                  <c:v>50; 59</c:v>
                </c:pt>
                <c:pt idx="5">
                  <c:v>60; 69</c:v>
                </c:pt>
                <c:pt idx="6">
                  <c:v>70+</c:v>
                </c:pt>
              </c:strCache>
            </c:strRef>
          </c:cat>
          <c:val>
            <c:numRef>
              <c:f>Смертность!$B$192:$B$198</c:f>
              <c:numCache>
                <c:formatCode>#,##0.00</c:formatCode>
                <c:ptCount val="7"/>
                <c:pt idx="0">
                  <c:v>0.10400000000000001</c:v>
                </c:pt>
                <c:pt idx="1">
                  <c:v>3.3986134336640002E-2</c:v>
                </c:pt>
                <c:pt idx="2">
                  <c:v>0.188</c:v>
                </c:pt>
                <c:pt idx="3">
                  <c:v>0.752</c:v>
                </c:pt>
                <c:pt idx="4">
                  <c:v>0.71599999999999997</c:v>
                </c:pt>
                <c:pt idx="5">
                  <c:v>1.7730000000000001</c:v>
                </c:pt>
                <c:pt idx="6">
                  <c:v>6.7810000000000006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D9-B746-A302-867A1025F107}"/>
            </c:ext>
          </c:extLst>
        </c:ser>
        <c:ser>
          <c:idx val="1"/>
          <c:order val="1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Смертность!$A$192:$A$198</c:f>
              <c:strCache>
                <c:ptCount val="7"/>
                <c:pt idx="0">
                  <c:v>0; 4</c:v>
                </c:pt>
                <c:pt idx="1">
                  <c:v>5; 14</c:v>
                </c:pt>
                <c:pt idx="2">
                  <c:v>15; 29</c:v>
                </c:pt>
                <c:pt idx="3">
                  <c:v>30; 49</c:v>
                </c:pt>
                <c:pt idx="4">
                  <c:v>50; 59</c:v>
                </c:pt>
                <c:pt idx="5">
                  <c:v>60; 69</c:v>
                </c:pt>
                <c:pt idx="6">
                  <c:v>70+</c:v>
                </c:pt>
              </c:strCache>
            </c:strRef>
          </c:cat>
          <c:val>
            <c:numRef>
              <c:f>Смертность!$C$192:$C$198</c:f>
              <c:numCache>
                <c:formatCode>#,##0.00</c:formatCode>
                <c:ptCount val="7"/>
                <c:pt idx="0">
                  <c:v>7.2999999999999995E-2</c:v>
                </c:pt>
                <c:pt idx="1">
                  <c:v>1.7000000000000001E-2</c:v>
                </c:pt>
                <c:pt idx="2">
                  <c:v>0.14800000000000002</c:v>
                </c:pt>
                <c:pt idx="3">
                  <c:v>0.63</c:v>
                </c:pt>
                <c:pt idx="4">
                  <c:v>0.89429157777574009</c:v>
                </c:pt>
                <c:pt idx="5">
                  <c:v>1.11865675186622</c:v>
                </c:pt>
                <c:pt idx="6">
                  <c:v>6.8374427804457198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D9-B746-A302-867A1025F107}"/>
            </c:ext>
          </c:extLst>
        </c:ser>
        <c:ser>
          <c:idx val="2"/>
          <c:order val="2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Смертность!$A$192:$A$198</c:f>
              <c:strCache>
                <c:ptCount val="7"/>
                <c:pt idx="0">
                  <c:v>0; 4</c:v>
                </c:pt>
                <c:pt idx="1">
                  <c:v>5; 14</c:v>
                </c:pt>
                <c:pt idx="2">
                  <c:v>15; 29</c:v>
                </c:pt>
                <c:pt idx="3">
                  <c:v>30; 49</c:v>
                </c:pt>
                <c:pt idx="4">
                  <c:v>50; 59</c:v>
                </c:pt>
                <c:pt idx="5">
                  <c:v>60; 69</c:v>
                </c:pt>
                <c:pt idx="6">
                  <c:v>70+</c:v>
                </c:pt>
              </c:strCache>
            </c:strRef>
          </c:cat>
          <c:val>
            <c:numRef>
              <c:f>Смертность!$D$192:$D$198</c:f>
              <c:numCache>
                <c:formatCode>#,##0.00</c:formatCode>
                <c:ptCount val="7"/>
                <c:pt idx="0">
                  <c:v>3.5816056873162895E-2</c:v>
                </c:pt>
                <c:pt idx="1">
                  <c:v>1.2533596065449999E-2</c:v>
                </c:pt>
                <c:pt idx="2">
                  <c:v>5.9955652595729998E-2</c:v>
                </c:pt>
                <c:pt idx="3">
                  <c:v>0.59315648258894005</c:v>
                </c:pt>
                <c:pt idx="4">
                  <c:v>0.71700000000000008</c:v>
                </c:pt>
                <c:pt idx="5">
                  <c:v>1.673</c:v>
                </c:pt>
                <c:pt idx="6">
                  <c:v>7.718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D9-B746-A302-867A1025F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4866959"/>
        <c:axId val="5506688"/>
      </c:lineChart>
      <c:catAx>
        <c:axId val="2134866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LV"/>
          </a:p>
        </c:txPr>
        <c:crossAx val="5506688"/>
        <c:crosses val="autoZero"/>
        <c:auto val="1"/>
        <c:lblAlgn val="ctr"/>
        <c:lblOffset val="100"/>
        <c:noMultiLvlLbl val="0"/>
      </c:catAx>
      <c:valAx>
        <c:axId val="550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LV"/>
          </a:p>
        </c:txPr>
        <c:crossAx val="21348669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LV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Kazakova</dc:creator>
  <cp:keywords/>
  <dc:description/>
  <cp:lastModifiedBy>Anastasiya Kazakova</cp:lastModifiedBy>
  <cp:revision>1</cp:revision>
  <dcterms:created xsi:type="dcterms:W3CDTF">2025-07-17T10:53:00Z</dcterms:created>
  <dcterms:modified xsi:type="dcterms:W3CDTF">2025-07-17T11:11:00Z</dcterms:modified>
</cp:coreProperties>
</file>