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4278B9">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4278B9">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4278B9">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4278B9">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4278B9">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4278B9">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4278B9">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4278B9">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4278B9">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4278B9">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4278B9">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4278B9">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4278B9">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4278B9">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4278B9">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4278B9">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10205A50"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5E4FA511"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0FE549E9"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0C40F764" w:rsidR="00545D07" w:rsidRDefault="00400865" w:rsidP="00545D07">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w:t>
      </w:r>
      <w:r>
        <w:rPr>
          <w:lang w:val="en-US"/>
        </w:rPr>
        <w:lastRenderedPageBreak/>
        <w:t>States, show that the decline in the wage gap between 1990 and 2003 explains nine percent of the decrease of domestic violence against women in the same period.</w:t>
      </w:r>
    </w:p>
    <w:p w14:paraId="68EC2073" w14:textId="657B7100" w:rsidR="00F4072F" w:rsidRPr="00F4072F" w:rsidRDefault="00F4072F" w:rsidP="00F4072F">
      <w:pPr>
        <w:rPr>
          <w:lang w:val="en-US" w:eastAsia="pt-PT"/>
        </w:rPr>
      </w:pPr>
      <w:r w:rsidRPr="00F4072F">
        <w:rPr>
          <w:highlight w:val="red"/>
          <w:lang w:val="en-US" w:eastAsia="pt-PT"/>
        </w:rPr>
        <w:t>INCLUIR ANDERBERG2015</w:t>
      </w:r>
    </w:p>
    <w:p w14:paraId="4275630D" w14:textId="6AAA9B4C"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9CB5CF2"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00CE1DD2">
        <w:rPr>
          <w:noProof/>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00CE1DD2">
        <w:rPr>
          <w:noProof/>
          <w:sz w:val="18"/>
          <w:szCs w:val="14"/>
          <w:lang w:val="en-US"/>
        </w:rPr>
        <w:t>1</w:t>
      </w:r>
      <w:r w:rsidRPr="005D5A86">
        <w:rPr>
          <w:sz w:val="18"/>
          <w:szCs w:val="14"/>
          <w:lang w:val="en-US"/>
        </w:rPr>
        <w:fldChar w:fldCharType="end"/>
      </w:r>
      <w:r w:rsidRPr="005D5A86">
        <w:rPr>
          <w:sz w:val="18"/>
          <w:szCs w:val="14"/>
          <w:lang w:val="en-US"/>
        </w:rPr>
        <w:t xml:space="preserve"> - Age of Domestic Violence Victims (2013-2017)</w:t>
      </w:r>
      <w:bookmarkEnd w:id="22"/>
    </w:p>
    <w:p w14:paraId="65F7BA69" w14:textId="2F1B7E8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17BEA8A6"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3B7A3E97"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1000 inhabitants</w:t>
      </w:r>
      <w:r w:rsidR="00214BBC">
        <w:rPr>
          <w:lang w:val="en-US" w:eastAsia="pt-PT"/>
        </w:rPr>
        <w:t>.</w:t>
      </w:r>
    </w:p>
    <w:p w14:paraId="19DA7AD7" w14:textId="09DE5BD7" w:rsidR="00394EFA" w:rsidRPr="00BD2F6F" w:rsidRDefault="004278B9"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2" w:name="_Toc69496402"/>
      <w:r>
        <w:lastRenderedPageBreak/>
        <w:t>Explanatory Variables</w:t>
      </w:r>
      <w:bookmarkEnd w:id="32"/>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224BD4A3" w:rsidR="00E45AAA" w:rsidRPr="00BD2F6F" w:rsidRDefault="004278B9"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979123E" w14:textId="0EC09FB8"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569A" w:rsidRPr="006F569A">
        <w:rPr>
          <w:highlight w:val="red"/>
          <w:lang w:val="en-US" w:eastAsia="pt-PT"/>
        </w:rPr>
        <w:t>INCLUIR IDADE MULHERES</w:t>
      </w:r>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42E830E2"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The variable here referred to as wage gap is the percentage of the men’s monthly gain that women receive on average and was calculated as following:</w:t>
      </w:r>
    </w:p>
    <w:p w14:paraId="60A81F06" w14:textId="4E74A883" w:rsidR="00BD2F6F" w:rsidRPr="00BD2F6F"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tbl>
      <w:tblPr>
        <w:tblStyle w:val="MasterThesis"/>
        <w:tblW w:w="0" w:type="auto"/>
        <w:tblLook w:val="04A0" w:firstRow="1" w:lastRow="0" w:firstColumn="1" w:lastColumn="0" w:noHBand="0" w:noVBand="1"/>
      </w:tblPr>
      <w:tblGrid>
        <w:gridCol w:w="2610"/>
        <w:gridCol w:w="2610"/>
      </w:tblGrid>
      <w:tr w:rsidR="00392E9F" w14:paraId="7AAD468D" w14:textId="77777777" w:rsidTr="00392E9F">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610" w:type="dxa"/>
            <w:shd w:val="clear" w:color="auto" w:fill="8FBC8F"/>
          </w:tcPr>
          <w:p w14:paraId="17399C6F" w14:textId="6F162A6C" w:rsidR="00392E9F" w:rsidRPr="00392E9F" w:rsidRDefault="00392E9F" w:rsidP="00392E9F">
            <w:pPr>
              <w:spacing w:after="0"/>
              <w:rPr>
                <w:sz w:val="18"/>
                <w:szCs w:val="18"/>
                <w:lang w:val="en-US"/>
              </w:rPr>
            </w:pPr>
            <w:r w:rsidRPr="00392E9F">
              <w:rPr>
                <w:sz w:val="18"/>
                <w:szCs w:val="18"/>
                <w:lang w:val="en-US"/>
              </w:rPr>
              <w:t>Variable Name</w:t>
            </w:r>
          </w:p>
        </w:tc>
        <w:tc>
          <w:tcPr>
            <w:tcW w:w="2610" w:type="dxa"/>
          </w:tcPr>
          <w:p w14:paraId="183314AF" w14:textId="159B2833" w:rsidR="00392E9F" w:rsidRPr="00392E9F" w:rsidRDefault="00392E9F" w:rsidP="00392E9F">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392E9F" w14:paraId="462922EB" w14:textId="77777777" w:rsidTr="00392E9F">
        <w:trPr>
          <w:trHeight w:val="297"/>
        </w:trPr>
        <w:tc>
          <w:tcPr>
            <w:cnfStyle w:val="001000000000" w:firstRow="0" w:lastRow="0" w:firstColumn="1" w:lastColumn="0" w:oddVBand="0" w:evenVBand="0" w:oddHBand="0" w:evenHBand="0" w:firstRowFirstColumn="0" w:firstRowLastColumn="0" w:lastRowFirstColumn="0" w:lastRowLastColumn="0"/>
            <w:tcW w:w="2610" w:type="dxa"/>
            <w:shd w:val="clear" w:color="auto" w:fill="FFFFFF" w:themeFill="background1"/>
          </w:tcPr>
          <w:p w14:paraId="64788C47" w14:textId="77777777" w:rsidR="00392E9F" w:rsidRPr="00392E9F" w:rsidRDefault="00392E9F" w:rsidP="00392E9F">
            <w:pPr>
              <w:spacing w:after="0"/>
              <w:rPr>
                <w:sz w:val="18"/>
                <w:szCs w:val="18"/>
                <w:lang w:val="en-US" w:eastAsia="pt-PT"/>
              </w:rPr>
            </w:pPr>
          </w:p>
        </w:tc>
        <w:tc>
          <w:tcPr>
            <w:tcW w:w="2610" w:type="dxa"/>
          </w:tcPr>
          <w:p w14:paraId="7FAA5FC6" w14:textId="77777777" w:rsidR="00392E9F" w:rsidRPr="00392E9F" w:rsidRDefault="00392E9F" w:rsidP="00392E9F">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p>
        </w:tc>
      </w:tr>
    </w:tbl>
    <w:p w14:paraId="520809A7" w14:textId="77777777" w:rsidR="00392E9F" w:rsidRDefault="00392E9F"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596E4" w14:textId="77777777" w:rsidR="00FF7165" w:rsidRDefault="00FF7165" w:rsidP="00940100">
      <w:pPr>
        <w:spacing w:after="0" w:line="240" w:lineRule="auto"/>
      </w:pPr>
      <w:r>
        <w:separator/>
      </w:r>
    </w:p>
  </w:endnote>
  <w:endnote w:type="continuationSeparator" w:id="0">
    <w:p w14:paraId="16B31476" w14:textId="77777777" w:rsidR="00FF7165" w:rsidRDefault="00FF7165"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278B9" w:rsidRDefault="004278B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278B9" w:rsidRDefault="004278B9">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278B9" w:rsidRPr="004E0019" w:rsidRDefault="004278B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58A6E" w14:textId="77777777" w:rsidR="00FF7165" w:rsidRDefault="00FF7165" w:rsidP="00940100">
      <w:pPr>
        <w:spacing w:after="0" w:line="240" w:lineRule="auto"/>
      </w:pPr>
      <w:r>
        <w:separator/>
      </w:r>
    </w:p>
  </w:footnote>
  <w:footnote w:type="continuationSeparator" w:id="0">
    <w:p w14:paraId="648A0C88" w14:textId="77777777" w:rsidR="00FF7165" w:rsidRDefault="00FF7165" w:rsidP="00940100">
      <w:pPr>
        <w:spacing w:after="0" w:line="240" w:lineRule="auto"/>
      </w:pPr>
      <w:r>
        <w:continuationSeparator/>
      </w:r>
    </w:p>
  </w:footnote>
  <w:footnote w:id="1">
    <w:p w14:paraId="5AA06FF2" w14:textId="7CF28D31" w:rsidR="004278B9" w:rsidRDefault="004278B9">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278B9" w:rsidRDefault="004278B9">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278B9" w:rsidRDefault="004278B9">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278B9" w:rsidRDefault="004278B9"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4278B9" w:rsidRDefault="004278B9">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4278B9" w:rsidRDefault="004278B9">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4278B9" w:rsidRDefault="004278B9"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23B9358C" w14:textId="4A0204C6" w:rsidR="004278B9" w:rsidRDefault="004278B9">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4278B9" w:rsidRDefault="004278B9">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B30F3"/>
    <w:rsid w:val="002D6E81"/>
    <w:rsid w:val="002F44E8"/>
    <w:rsid w:val="003270ED"/>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569A"/>
    <w:rsid w:val="00702A62"/>
    <w:rsid w:val="00702D26"/>
    <w:rsid w:val="0071470B"/>
    <w:rsid w:val="0073773A"/>
    <w:rsid w:val="00745181"/>
    <w:rsid w:val="00747A25"/>
    <w:rsid w:val="00753214"/>
    <w:rsid w:val="00756134"/>
    <w:rsid w:val="00793B55"/>
    <w:rsid w:val="007B19F5"/>
    <w:rsid w:val="007D0231"/>
    <w:rsid w:val="007D35F0"/>
    <w:rsid w:val="00822E63"/>
    <w:rsid w:val="00823BE5"/>
    <w:rsid w:val="00842B96"/>
    <w:rsid w:val="00857043"/>
    <w:rsid w:val="008822F8"/>
    <w:rsid w:val="00893663"/>
    <w:rsid w:val="008A22CC"/>
    <w:rsid w:val="008B5906"/>
    <w:rsid w:val="008C0083"/>
    <w:rsid w:val="008C30C4"/>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45AAA"/>
    <w:rsid w:val="00E54250"/>
    <w:rsid w:val="00E632EA"/>
    <w:rsid w:val="00E678D3"/>
    <w:rsid w:val="00E77C87"/>
    <w:rsid w:val="00EB1DB2"/>
    <w:rsid w:val="00EB3792"/>
    <w:rsid w:val="00EB5EEF"/>
    <w:rsid w:val="00EC57B4"/>
    <w:rsid w:val="00EF4AB6"/>
    <w:rsid w:val="00EF69AE"/>
    <w:rsid w:val="00EF7AEC"/>
    <w:rsid w:val="00F20A68"/>
    <w:rsid w:val="00F2613D"/>
    <w:rsid w:val="00F3437E"/>
    <w:rsid w:val="00F4072F"/>
    <w:rsid w:val="00F434D5"/>
    <w:rsid w:val="00FB7409"/>
    <w:rsid w:val="00FF7165"/>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5</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6</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7</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8</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9</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4</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3</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2</b:RefOrder>
  </b:Source>
</b:Sources>
</file>

<file path=customXml/itemProps1.xml><?xml version="1.0" encoding="utf-8"?>
<ds:datastoreItem xmlns:ds="http://schemas.openxmlformats.org/officeDocument/2006/customXml" ds:itemID="{04C89B47-487F-4F28-970C-04479536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8635</TotalTime>
  <Pages>29</Pages>
  <Words>5759</Words>
  <Characters>31102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36788</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44</cp:revision>
  <cp:lastPrinted>2021-04-16T19:52:00Z</cp:lastPrinted>
  <dcterms:created xsi:type="dcterms:W3CDTF">2021-03-15T09:37:00Z</dcterms:created>
  <dcterms:modified xsi:type="dcterms:W3CDTF">2021-04-27T12:56:00Z</dcterms:modified>
</cp:coreProperties>
</file>