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57992623"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3252E6">
          <w:rPr>
            <w:webHidden/>
          </w:rPr>
          <w:t>1</w:t>
        </w:r>
        <w:r w:rsidR="00E51445">
          <w:rPr>
            <w:webHidden/>
          </w:rPr>
          <w:fldChar w:fldCharType="end"/>
        </w:r>
      </w:hyperlink>
    </w:p>
    <w:p w14:paraId="48B9BEAC" w14:textId="1678D432" w:rsidR="00E51445" w:rsidRDefault="008D7D84">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3252E6">
          <w:rPr>
            <w:webHidden/>
          </w:rPr>
          <w:t>1</w:t>
        </w:r>
        <w:r w:rsidR="00E51445">
          <w:rPr>
            <w:webHidden/>
          </w:rPr>
          <w:fldChar w:fldCharType="end"/>
        </w:r>
      </w:hyperlink>
    </w:p>
    <w:p w14:paraId="18D4BAEE" w14:textId="75886D3B" w:rsidR="00E51445" w:rsidRDefault="008D7D84">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3252E6">
          <w:rPr>
            <w:webHidden/>
          </w:rPr>
          <w:t>2</w:t>
        </w:r>
        <w:r w:rsidR="00E51445">
          <w:rPr>
            <w:webHidden/>
          </w:rPr>
          <w:fldChar w:fldCharType="end"/>
        </w:r>
      </w:hyperlink>
    </w:p>
    <w:p w14:paraId="34140C43" w14:textId="025E7CEF" w:rsidR="00E51445" w:rsidRDefault="008D7D84">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3252E6">
          <w:rPr>
            <w:webHidden/>
          </w:rPr>
          <w:t>4</w:t>
        </w:r>
        <w:r w:rsidR="00E51445">
          <w:rPr>
            <w:webHidden/>
          </w:rPr>
          <w:fldChar w:fldCharType="end"/>
        </w:r>
      </w:hyperlink>
    </w:p>
    <w:p w14:paraId="00272AFA" w14:textId="4FBB5AC7" w:rsidR="00E51445" w:rsidRDefault="008D7D84">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3252E6">
          <w:rPr>
            <w:webHidden/>
          </w:rPr>
          <w:t>9</w:t>
        </w:r>
        <w:r w:rsidR="00E51445">
          <w:rPr>
            <w:webHidden/>
          </w:rPr>
          <w:fldChar w:fldCharType="end"/>
        </w:r>
      </w:hyperlink>
    </w:p>
    <w:p w14:paraId="79A87AFB" w14:textId="618C05AD" w:rsidR="00E51445" w:rsidRDefault="008D7D84">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3252E6">
          <w:rPr>
            <w:webHidden/>
          </w:rPr>
          <w:t>9</w:t>
        </w:r>
        <w:r w:rsidR="00E51445">
          <w:rPr>
            <w:webHidden/>
          </w:rPr>
          <w:fldChar w:fldCharType="end"/>
        </w:r>
      </w:hyperlink>
    </w:p>
    <w:p w14:paraId="4F82D7EF" w14:textId="6D86B27C" w:rsidR="00E51445" w:rsidRDefault="008D7D84">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3252E6">
          <w:rPr>
            <w:webHidden/>
          </w:rPr>
          <w:t>9</w:t>
        </w:r>
        <w:r w:rsidR="00E51445">
          <w:rPr>
            <w:webHidden/>
          </w:rPr>
          <w:fldChar w:fldCharType="end"/>
        </w:r>
      </w:hyperlink>
    </w:p>
    <w:p w14:paraId="69A2D180" w14:textId="5FC2FB12" w:rsidR="00E51445" w:rsidRDefault="008D7D84">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3252E6">
          <w:rPr>
            <w:webHidden/>
          </w:rPr>
          <w:t>11</w:t>
        </w:r>
        <w:r w:rsidR="00E51445">
          <w:rPr>
            <w:webHidden/>
          </w:rPr>
          <w:fldChar w:fldCharType="end"/>
        </w:r>
      </w:hyperlink>
    </w:p>
    <w:p w14:paraId="264C0800" w14:textId="287ED7F0" w:rsidR="00E51445" w:rsidRDefault="008D7D84">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3252E6">
          <w:rPr>
            <w:webHidden/>
          </w:rPr>
          <w:t>12</w:t>
        </w:r>
        <w:r w:rsidR="00E51445">
          <w:rPr>
            <w:webHidden/>
          </w:rPr>
          <w:fldChar w:fldCharType="end"/>
        </w:r>
      </w:hyperlink>
    </w:p>
    <w:p w14:paraId="4DDB9C13" w14:textId="0EB538AF" w:rsidR="00E51445" w:rsidRDefault="008D7D84">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3252E6">
          <w:rPr>
            <w:webHidden/>
          </w:rPr>
          <w:t>15</w:t>
        </w:r>
        <w:r w:rsidR="00E51445">
          <w:rPr>
            <w:webHidden/>
          </w:rPr>
          <w:fldChar w:fldCharType="end"/>
        </w:r>
      </w:hyperlink>
    </w:p>
    <w:p w14:paraId="7CFF67F4" w14:textId="5D46FDCD" w:rsidR="00E51445" w:rsidRDefault="008D7D84">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3252E6">
          <w:rPr>
            <w:webHidden/>
          </w:rPr>
          <w:t>19</w:t>
        </w:r>
        <w:r w:rsidR="00E51445">
          <w:rPr>
            <w:webHidden/>
          </w:rPr>
          <w:fldChar w:fldCharType="end"/>
        </w:r>
      </w:hyperlink>
    </w:p>
    <w:p w14:paraId="6D4400C9" w14:textId="59F35FAC" w:rsidR="00E51445" w:rsidRDefault="008D7D84">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3252E6">
          <w:rPr>
            <w:webHidden/>
          </w:rPr>
          <w:t>20</w:t>
        </w:r>
        <w:r w:rsidR="00E51445">
          <w:rPr>
            <w:webHidden/>
          </w:rPr>
          <w:fldChar w:fldCharType="end"/>
        </w:r>
      </w:hyperlink>
    </w:p>
    <w:p w14:paraId="64DF16AE" w14:textId="658C711F" w:rsidR="00E51445" w:rsidRDefault="008D7D84">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3252E6">
          <w:rPr>
            <w:webHidden/>
          </w:rPr>
          <w:t>21</w:t>
        </w:r>
        <w:r w:rsidR="00E51445">
          <w:rPr>
            <w:webHidden/>
          </w:rPr>
          <w:fldChar w:fldCharType="end"/>
        </w:r>
      </w:hyperlink>
    </w:p>
    <w:p w14:paraId="5D75EE32" w14:textId="4305F278" w:rsidR="00E51445" w:rsidRDefault="008D7D84">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3252E6">
          <w:rPr>
            <w:webHidden/>
          </w:rPr>
          <w:t>22</w:t>
        </w:r>
        <w:r w:rsidR="00E51445">
          <w:rPr>
            <w:webHidden/>
          </w:rPr>
          <w:fldChar w:fldCharType="end"/>
        </w:r>
      </w:hyperlink>
    </w:p>
    <w:p w14:paraId="103FDDF7" w14:textId="1CDBD920" w:rsidR="00E51445" w:rsidRDefault="008D7D84">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3252E6">
          <w:rPr>
            <w:webHidden/>
          </w:rPr>
          <w:t>23</w:t>
        </w:r>
        <w:r w:rsidR="00E51445">
          <w:rPr>
            <w:webHidden/>
          </w:rPr>
          <w:fldChar w:fldCharType="end"/>
        </w:r>
      </w:hyperlink>
    </w:p>
    <w:p w14:paraId="7D33127C" w14:textId="69180F9B" w:rsidR="00E51445" w:rsidRDefault="008D7D84">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3252E6">
          <w:rPr>
            <w:webHidden/>
          </w:rPr>
          <w:t>24</w:t>
        </w:r>
        <w:r w:rsidR="00E51445">
          <w:rPr>
            <w:webHidden/>
          </w:rPr>
          <w:fldChar w:fldCharType="end"/>
        </w:r>
      </w:hyperlink>
    </w:p>
    <w:p w14:paraId="2B59235F" w14:textId="4C921227" w:rsidR="00E51445" w:rsidRDefault="008D7D84">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3252E6">
          <w:rPr>
            <w:webHidden/>
          </w:rPr>
          <w:t>25</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314FEBAF"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3252E6">
          <w:rPr>
            <w:noProof/>
            <w:webHidden/>
          </w:rPr>
          <w:t>2</w:t>
        </w:r>
        <w:r w:rsidR="00FB38C1">
          <w:rPr>
            <w:noProof/>
            <w:webHidden/>
          </w:rPr>
          <w:fldChar w:fldCharType="end"/>
        </w:r>
      </w:hyperlink>
    </w:p>
    <w:p w14:paraId="65CBA554" w14:textId="50F7CE58" w:rsidR="00FB38C1" w:rsidRDefault="008D7D84">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50928565" w14:textId="0B021E54" w:rsidR="00FB38C1" w:rsidRDefault="008D7D84">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20145387" w14:textId="4BA60DD5" w:rsidR="00FB38C1" w:rsidRDefault="008D7D84">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3252E6">
          <w:rPr>
            <w:noProof/>
            <w:webHidden/>
          </w:rPr>
          <w:t>7</w:t>
        </w:r>
        <w:r w:rsidR="00FB38C1">
          <w:rPr>
            <w:noProof/>
            <w:webHidden/>
          </w:rPr>
          <w:fldChar w:fldCharType="end"/>
        </w:r>
      </w:hyperlink>
    </w:p>
    <w:p w14:paraId="46D521BB" w14:textId="5008B695" w:rsidR="00FB38C1" w:rsidRDefault="008D7D84">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3252E6">
          <w:rPr>
            <w:noProof/>
            <w:webHidden/>
          </w:rPr>
          <w:t>13</w:t>
        </w:r>
        <w:r w:rsidR="00FB38C1">
          <w:rPr>
            <w:noProof/>
            <w:webHidden/>
          </w:rPr>
          <w:fldChar w:fldCharType="end"/>
        </w:r>
      </w:hyperlink>
    </w:p>
    <w:p w14:paraId="797BEBE8" w14:textId="41999B36" w:rsidR="00FB38C1" w:rsidRDefault="008D7D84">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3252E6">
          <w:rPr>
            <w:noProof/>
            <w:webHidden/>
          </w:rPr>
          <w:t>17</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1A47A8AA"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3252E6">
        <w:rPr>
          <w:noProof/>
          <w:lang w:val="en-US"/>
        </w:rPr>
        <w:t>12</w:t>
      </w:r>
      <w:r w:rsidR="009E26FA">
        <w:rPr>
          <w:noProof/>
        </w:rPr>
        <w:fldChar w:fldCharType="end"/>
      </w:r>
    </w:p>
    <w:p w14:paraId="63E22423" w14:textId="0409CF2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3252E6">
        <w:rPr>
          <w:noProof/>
          <w:lang w:val="en-US"/>
        </w:rPr>
        <w:t>13</w:t>
      </w:r>
      <w:r>
        <w:rPr>
          <w:noProof/>
        </w:rPr>
        <w:fldChar w:fldCharType="end"/>
      </w:r>
    </w:p>
    <w:p w14:paraId="7591316C" w14:textId="33CA47C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3252E6">
        <w:rPr>
          <w:noProof/>
          <w:lang w:val="en-US"/>
        </w:rPr>
        <w:t>14</w:t>
      </w:r>
      <w:r>
        <w:rPr>
          <w:noProof/>
        </w:rPr>
        <w:fldChar w:fldCharType="end"/>
      </w:r>
    </w:p>
    <w:p w14:paraId="5E21ECDA" w14:textId="6931EA9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3252E6">
        <w:rPr>
          <w:noProof/>
          <w:lang w:val="en-US"/>
        </w:rPr>
        <w:t>14</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1C1E7D89" w:rsidR="00C07459" w:rsidRDefault="00C07459" w:rsidP="00CE79F8">
      <w:pPr>
        <w:ind w:left="1134" w:hanging="1134"/>
        <w:rPr>
          <w:b/>
          <w:bCs/>
          <w:lang w:val="en-US"/>
        </w:rPr>
      </w:pPr>
      <w:r>
        <w:rPr>
          <w:b/>
          <w:bCs/>
          <w:lang w:val="en-US"/>
        </w:rPr>
        <w:t>GBV</w:t>
      </w:r>
      <w:r>
        <w:rPr>
          <w:b/>
          <w:bCs/>
          <w:lang w:val="en-US"/>
        </w:rPr>
        <w:tab/>
      </w:r>
      <w:r w:rsidRPr="00C07459">
        <w:rPr>
          <w:lang w:val="en-US"/>
        </w:rPr>
        <w:t>Gender Based Violence</w:t>
      </w:r>
    </w:p>
    <w:p w14:paraId="396996A7" w14:textId="3750E67D" w:rsidR="00753214" w:rsidRPr="00D917C5"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19B213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D00B982"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w:t>
      </w:r>
      <w:proofErr w:type="gramStart"/>
      <w:r>
        <w:rPr>
          <w:lang w:val="en-US" w:eastAsia="pt-PT"/>
        </w:rPr>
        <w:t>the majority of</w:t>
      </w:r>
      <w:proofErr w:type="gramEnd"/>
      <w:r>
        <w:rPr>
          <w:lang w:val="en-US" w:eastAsia="pt-PT"/>
        </w:rPr>
        <w:t xml:space="preserve">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1F8E5981"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650C5650" w:rsidR="006A08D1" w:rsidRDefault="002146CC" w:rsidP="00A533B2">
      <w:pPr>
        <w:jc w:val="both"/>
        <w:rPr>
          <w:lang w:val="en-US"/>
        </w:rPr>
      </w:pPr>
      <w:r>
        <w:rPr>
          <w:lang w:val="en-US"/>
        </w:rPr>
        <w:t xml:space="preserve">Domestic violence is not the only term 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4E19F7B6" w:rsidR="00DD316D" w:rsidRPr="00DD316D" w:rsidRDefault="008D7D84"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w:t>
      </w:r>
      <w:r w:rsidR="00E82AD0" w:rsidRPr="00D835AB">
        <w:rPr>
          <w:b/>
          <w:bCs/>
          <w:lang w:val="en-US"/>
        </w:rPr>
        <w:t>ecological model</w:t>
      </w:r>
      <w:r w:rsidR="00E82AD0">
        <w:rPr>
          <w:lang w:val="en-US"/>
        </w:rPr>
        <w:t xml:space="preserve"> and contemplates four levels of influence: individual, relationship, community and societal. Further explanation </w:t>
      </w:r>
      <w:r w:rsidR="00D835AB">
        <w:rPr>
          <w:lang w:val="en-US"/>
        </w:rPr>
        <w:t>on</w:t>
      </w:r>
      <w:r w:rsidR="00E82AD0">
        <w:rPr>
          <w:lang w:val="en-US"/>
        </w:rPr>
        <w:t xml:space="preserve">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w:t>
      </w:r>
      <w:r w:rsidR="00545D07">
        <w:rPr>
          <w:lang w:val="en-US"/>
        </w:rPr>
        <w:lastRenderedPageBreak/>
        <w:t xml:space="preserve">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Pr>
          <w:lang w:val="en-US"/>
        </w:rPr>
        <w:t>actually arrested</w:t>
      </w:r>
      <w:proofErr w:type="gramEnd"/>
      <w:r>
        <w:rPr>
          <w:lang w:val="en-US"/>
        </w:rPr>
        <w:t>. One can conclude that, due to the nature of the crime and to preconceptions in the way Society works, domestic violence occurrences are almost always underreported.</w:t>
      </w:r>
    </w:p>
    <w:p w14:paraId="27E11BE6" w14:textId="500A54B3" w:rsidR="0071602C" w:rsidRDefault="0071602C" w:rsidP="00A533B2">
      <w:pPr>
        <w:spacing w:after="240"/>
        <w:jc w:val="both"/>
        <w:rPr>
          <w:lang w:val="en-US"/>
        </w:rPr>
      </w:pPr>
      <w:r>
        <w:rPr>
          <w:lang w:val="en-US"/>
        </w:rPr>
        <w:t xml:space="preserve">Healthcare workers are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w:t>
      </w:r>
      <w:proofErr w:type="gramStart"/>
      <w:r w:rsidR="00947E45">
        <w:rPr>
          <w:lang w:val="en-US"/>
        </w:rPr>
        <w:t>role</w:t>
      </w:r>
      <w:proofErr w:type="gramEnd"/>
      <w:r w:rsidR="00947E45">
        <w:rPr>
          <w:lang w:val="en-US"/>
        </w:rPr>
        <w:t xml:space="preserve"> and specialty) that has better responses and knowledge </w:t>
      </w:r>
      <w:r w:rsidR="00D835AB">
        <w:rPr>
          <w:lang w:val="en-US"/>
        </w:rPr>
        <w:t>when it comes to</w:t>
      </w:r>
      <w:r w:rsidR="00947E45">
        <w:rPr>
          <w:lang w:val="en-US"/>
        </w:rPr>
        <w:t xml:space="preserve"> domestic violence reporting and detection. This study contemplates healthcare workers from primary care, mental health, </w:t>
      </w:r>
      <w:proofErr w:type="gramStart"/>
      <w:r w:rsidR="00947E45">
        <w:rPr>
          <w:lang w:val="en-US"/>
        </w:rPr>
        <w:t>obstetrics</w:t>
      </w:r>
      <w:proofErr w:type="gramEnd"/>
      <w:r w:rsidR="00947E45">
        <w:rPr>
          <w:lang w:val="en-US"/>
        </w:rPr>
        <w:t xml:space="preserve"> and gynecology in the county of </w:t>
      </w:r>
      <w:proofErr w:type="spellStart"/>
      <w:r w:rsidR="00947E45">
        <w:rPr>
          <w:lang w:val="en-US"/>
        </w:rPr>
        <w:t>Oxfordshire</w:t>
      </w:r>
      <w:proofErr w:type="spellEnd"/>
      <w:r w:rsidR="00947E45">
        <w:rPr>
          <w:lang w:val="en-US"/>
        </w:rPr>
        <w:t xml:space="preserve">, in England. A questionnaire was presented to each of the </w:t>
      </w:r>
      <w:proofErr w:type="gramStart"/>
      <w:r w:rsidR="00947E45">
        <w:rPr>
          <w:lang w:val="en-US"/>
        </w:rPr>
        <w:t>workers</w:t>
      </w:r>
      <w:proofErr w:type="gramEnd"/>
      <w:r w:rsidR="00947E45">
        <w:rPr>
          <w:lang w:val="en-US"/>
        </w:rPr>
        <w:t xml:space="preserve"> and they were assessed according to a rating system on both knowledge and correct response. </w:t>
      </w:r>
      <w:r w:rsidR="00DA29EF">
        <w:rPr>
          <w:lang w:val="en-US"/>
        </w:rPr>
        <w:t xml:space="preserve">Women, </w:t>
      </w:r>
      <w:proofErr w:type="gramStart"/>
      <w:r w:rsidR="00DA29EF">
        <w:rPr>
          <w:lang w:val="en-US"/>
        </w:rPr>
        <w:t>nurses</w:t>
      </w:r>
      <w:proofErr w:type="gramEnd"/>
      <w:r w:rsidR="00DA29EF">
        <w:rPr>
          <w:lang w:val="en-US"/>
        </w:rPr>
        <w:t xml:space="preserve"> and mental health workers showed better results in dealing with domestic violence. </w:t>
      </w:r>
      <w:r w:rsidR="00DA29EF" w:rsidRPr="00DA29EF">
        <w:rPr>
          <w:b/>
          <w:bCs/>
          <w:lang w:val="en-US"/>
        </w:rPr>
        <w:t>It is possible that municipalities with more healthcare workers that fit into these categories have lower domestic violence rates</w:t>
      </w:r>
      <w:r w:rsidR="00DA29EF">
        <w:rPr>
          <w:lang w:val="en-US"/>
        </w:rPr>
        <w:t xml:space="preserve">. A lot of victims of abuse seek medical help, making it important for healthcare workers to have experience in handling these situations. </w:t>
      </w:r>
    </w:p>
    <w:p w14:paraId="57B39690" w14:textId="1DADCE73"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 xml:space="preserve">middle-level socioeconomic and </w:t>
      </w:r>
      <w:r w:rsidR="00D835AB" w:rsidRPr="005A0A1C">
        <w:rPr>
          <w:b/>
          <w:bCs w:val="0"/>
          <w:lang w:val="en-US"/>
        </w:rPr>
        <w:t>well-educated</w:t>
      </w:r>
      <w:r w:rsidRPr="005A0A1C">
        <w:rPr>
          <w:b/>
          <w:bCs w:val="0"/>
          <w:lang w:val="en-US"/>
        </w:rPr>
        <w:t xml:space="preserve">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xml:space="preserve">. Domestic violence can also be related to gender inequality. As explained in </w:t>
      </w:r>
      <w:sdt>
        <w:sdtPr>
          <w:rPr>
            <w:lang w:val="en-US"/>
          </w:rPr>
          <w:id w:val="-1806998317"/>
          <w:citation/>
        </w:sdtPr>
        <w:sdtContent>
          <w:r w:rsidR="00D835AB">
            <w:rPr>
              <w:lang w:val="en-US"/>
            </w:rPr>
            <w:fldChar w:fldCharType="begin"/>
          </w:r>
          <w:r w:rsidR="00D835AB" w:rsidRPr="00D835AB">
            <w:rPr>
              <w:lang w:val="en-US"/>
            </w:rPr>
            <w:instrText xml:space="preserve"> CITATION Ann10 \l 2070 </w:instrText>
          </w:r>
          <w:r w:rsidR="00D835AB">
            <w:rPr>
              <w:lang w:val="en-US"/>
            </w:rPr>
            <w:fldChar w:fldCharType="separate"/>
          </w:r>
          <w:r w:rsidR="00D835AB" w:rsidRPr="00D835AB">
            <w:rPr>
              <w:noProof/>
              <w:lang w:val="en-US"/>
            </w:rPr>
            <w:t>(Aizer, 2010)</w:t>
          </w:r>
          <w:r w:rsidR="00D835AB">
            <w:rPr>
              <w:lang w:val="en-US"/>
            </w:rPr>
            <w:fldChar w:fldCharType="end"/>
          </w:r>
        </w:sdtContent>
      </w:sdt>
      <w:r w:rsidR="00D835AB">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w:t>
      </w:r>
      <w:r w:rsidR="00D835AB">
        <w:rPr>
          <w:lang w:val="en-US"/>
        </w:rPr>
        <w:t>possible</w:t>
      </w:r>
      <w:r w:rsidR="00D835AB">
        <w:rPr>
          <w:lang w:val="en-US"/>
        </w:rPr>
        <w:t xml:space="preserve"> </w:t>
      </w:r>
      <w:r>
        <w:rPr>
          <w:lang w:val="en-US"/>
        </w:rPr>
        <w:t xml:space="preserve">hypotheses.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t>
      </w:r>
      <w:r>
        <w:rPr>
          <w:lang w:val="en-US"/>
        </w:rPr>
        <w:lastRenderedPageBreak/>
        <w:t xml:space="preserve">women vs. men instead of the actual wage gap. The results of this study, conducted in the state of California, in the United States, show that the decline in the wage gap between 1990 and 2003 explains nine percent of the decrease of domestic violence against women in </w:t>
      </w:r>
      <w:r w:rsidR="00D835AB">
        <w:rPr>
          <w:lang w:val="en-US"/>
        </w:rPr>
        <w:t>that</w:t>
      </w:r>
      <w:r>
        <w:rPr>
          <w:lang w:val="en-US"/>
        </w:rPr>
        <w:t xml:space="preserve"> same period.</w:t>
      </w:r>
    </w:p>
    <w:p w14:paraId="685FD87B" w14:textId="0D8B5E39" w:rsidR="000C0B88" w:rsidRPr="000C0B88" w:rsidRDefault="008D7D84"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7"/>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65FE6F1"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divorces can not only be a consequence of domestic violence, but also a cause.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 xml:space="preserve">with a </w:t>
      </w:r>
      <w:r w:rsidR="006016A0" w:rsidRPr="006016A0">
        <w:rPr>
          <w:lang w:val="en-US" w:eastAsia="pt-PT"/>
        </w:rPr>
        <w:t>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C565B7" w:rsidP="00C565B7">
      <w:pPr>
        <w:jc w:val="both"/>
        <w:rPr>
          <w:lang w:val="en-US" w:eastAsia="pt-PT"/>
        </w:rPr>
      </w:pPr>
      <w:sdt>
        <w:sdtPr>
          <w:rPr>
            <w:lang w:val="en-US" w:eastAsia="pt-PT"/>
          </w:rPr>
          <w:id w:val="-1039968183"/>
          <w:citation/>
        </w:sdtPr>
        <w:sdtContent>
          <w:r>
            <w:rPr>
              <w:lang w:val="en-US" w:eastAsia="pt-PT"/>
            </w:rPr>
            <w:fldChar w:fldCharType="begin"/>
          </w:r>
          <w:r w:rsidRPr="00C565B7">
            <w:rPr>
              <w:lang w:val="en-US" w:eastAsia="pt-PT"/>
            </w:rPr>
            <w:instrText xml:space="preserve"> CITATION Lel08 \l 2070 </w:instrText>
          </w:r>
          <w:r>
            <w:rPr>
              <w:lang w:val="en-US" w:eastAsia="pt-PT"/>
            </w:rPr>
            <w:fldChar w:fldCharType="separate"/>
          </w:r>
          <w:r w:rsidRPr="00C565B7">
            <w:rPr>
              <w:noProof/>
              <w:lang w:val="en-US" w:eastAsia="pt-PT"/>
            </w:rPr>
            <w:t>(Ackerson, Kawachi, Barbeau, &amp; Subramanian, 2008)</w:t>
          </w:r>
          <w:r>
            <w:rPr>
              <w:lang w:val="en-US" w:eastAsia="pt-PT"/>
            </w:rPr>
            <w:fldChar w:fldCharType="end"/>
          </w:r>
        </w:sdtContent>
      </w:sdt>
      <w:r>
        <w:rPr>
          <w:lang w:val="en-US" w:eastAsia="pt-PT"/>
        </w:rPr>
        <w:t xml:space="preserve"> </w:t>
      </w:r>
      <w:r w:rsidRPr="00C565B7">
        <w:rPr>
          <w:lang w:val="en-US" w:eastAsia="pt-PT"/>
        </w:rPr>
        <w:t>examined the role of women’s education and proximate educational</w:t>
      </w:r>
      <w:r>
        <w:rPr>
          <w:lang w:val="en-US" w:eastAsia="pt-PT"/>
        </w:rPr>
        <w:t xml:space="preserve"> </w:t>
      </w:r>
      <w:r w:rsidRPr="00C565B7">
        <w:rPr>
          <w:lang w:val="en-US" w:eastAsia="pt-PT"/>
        </w:rPr>
        <w:t>context on</w:t>
      </w:r>
      <w:r>
        <w:rPr>
          <w:lang w:val="en-US" w:eastAsia="pt-PT"/>
        </w:rPr>
        <w:t xml:space="preserve"> </w:t>
      </w:r>
      <w:r w:rsidR="00E602A9">
        <w:rPr>
          <w:lang w:val="en-US" w:eastAsia="pt-PT"/>
        </w:rPr>
        <w:t>GBV</w:t>
      </w:r>
      <w:r>
        <w:rPr>
          <w:lang w:val="en-US" w:eastAsia="pt-PT"/>
        </w:rPr>
        <w:t xml:space="preserve"> in India. A</w:t>
      </w:r>
      <w:r w:rsidRPr="00C565B7">
        <w:rPr>
          <w:lang w:val="en-US" w:eastAsia="pt-PT"/>
        </w:rPr>
        <w:t xml:space="preserve"> sample of 83627 married women aged 15 to 49 years</w:t>
      </w:r>
      <w:r>
        <w:rPr>
          <w:lang w:val="en-US" w:eastAsia="pt-PT"/>
        </w:rPr>
        <w:t xml:space="preserve"> </w:t>
      </w:r>
      <w:r w:rsidRPr="00C565B7">
        <w:rPr>
          <w:lang w:val="en-US" w:eastAsia="pt-PT"/>
        </w:rPr>
        <w:t>from the 1998 to 1999 Indian National Family Health Survey</w:t>
      </w:r>
      <w:r>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 xml:space="preserve">the middle and lowest </w:t>
      </w:r>
      <w:proofErr w:type="spellStart"/>
      <w:r w:rsidR="00C95FBA">
        <w:rPr>
          <w:lang w:val="en-US" w:eastAsia="pt-PT"/>
        </w:rPr>
        <w:t>tertiles</w:t>
      </w:r>
      <w:proofErr w:type="spellEnd"/>
      <w:r w:rsidR="00C95FBA">
        <w:rPr>
          <w:lang w:val="en-US" w:eastAsia="pt-PT"/>
        </w:rPr>
        <w:t xml:space="preserve"> of female literacy to suffer from domestic violence at some point in her life were 1,18 and 1,10 times greater, respectively, than those of women living in the highest </w:t>
      </w:r>
      <w:proofErr w:type="spellStart"/>
      <w:r w:rsidR="00C95FBA">
        <w:rPr>
          <w:lang w:val="en-US" w:eastAsia="pt-PT"/>
        </w:rPr>
        <w:t>tertile</w:t>
      </w:r>
      <w:proofErr w:type="spellEnd"/>
      <w:r w:rsidR="00C95FBA">
        <w:rPr>
          <w:lang w:val="en-US" w:eastAsia="pt-PT"/>
        </w:rPr>
        <w:t xml:space="preserv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w:t>
      </w:r>
      <w:proofErr w:type="gramStart"/>
      <w:r>
        <w:rPr>
          <w:lang w:val="en-US"/>
        </w:rPr>
        <w:t>it may</w:t>
      </w:r>
      <w:proofErr w:type="gramEnd"/>
      <w:r>
        <w:rPr>
          <w:lang w:val="en-US"/>
        </w:rPr>
        <w:t xml:space="preserve">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 xml:space="preserve">Stating the difference between explanatory variables and control variables may be hard. Even if some variables can be considered control variables </w:t>
      </w:r>
      <w:proofErr w:type="gramStart"/>
      <w:r>
        <w:rPr>
          <w:lang w:val="en-US" w:eastAsia="pt-PT"/>
        </w:rPr>
        <w:t>in</w:t>
      </w:r>
      <w:proofErr w:type="gramEnd"/>
      <w:r>
        <w:rPr>
          <w:lang w:val="en-US" w:eastAsia="pt-PT"/>
        </w:rPr>
        <w:t xml:space="preserve">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w:t>
      </w:r>
      <w:proofErr w:type="gramStart"/>
      <w:r>
        <w:rPr>
          <w:lang w:val="en-US" w:eastAsia="pt-PT"/>
        </w:rPr>
        <w:t>all of</w:t>
      </w:r>
      <w:proofErr w:type="gramEnd"/>
      <w:r>
        <w:rPr>
          <w:lang w:val="en-US" w:eastAsia="pt-PT"/>
        </w:rPr>
        <w:t xml:space="preserve">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D917C5"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D917C5"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D917C5"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D917C5"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D917C5"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proofErr w:type="spellStart"/>
            <w:r w:rsidRPr="0032770B">
              <w:rPr>
                <w:b w:val="0"/>
                <w:bCs/>
                <w:color w:val="auto"/>
                <w:sz w:val="18"/>
                <w:szCs w:val="18"/>
                <w:lang w:val="en-US" w:eastAsia="pt-PT"/>
              </w:rPr>
              <w:t>Elderly_Dependency</w:t>
            </w:r>
            <w:proofErr w:type="spellEnd"/>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D917C5"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proofErr w:type="spellStart"/>
            <w:r w:rsidRPr="007A764E">
              <w:rPr>
                <w:b w:val="0"/>
                <w:color w:val="auto"/>
                <w:sz w:val="18"/>
                <w:szCs w:val="18"/>
                <w:lang w:val="en-US" w:eastAsia="pt-PT"/>
              </w:rPr>
              <w:t>Female_Doctors</w:t>
            </w:r>
            <w:proofErr w:type="spellEnd"/>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D917C5"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D917C5"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D917C5"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D917C5"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Mental_Health</w:t>
            </w:r>
            <w:proofErr w:type="spellEnd"/>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 xml:space="preserve">Percentage of </w:t>
            </w:r>
            <w:proofErr w:type="spellStart"/>
            <w:r>
              <w:rPr>
                <w:sz w:val="18"/>
                <w:szCs w:val="18"/>
                <w:lang w:val="en-US" w:eastAsia="pt-PT"/>
              </w:rPr>
              <w:t>Total_Doctors</w:t>
            </w:r>
            <w:proofErr w:type="spellEnd"/>
            <w:r>
              <w:rPr>
                <w:sz w:val="18"/>
                <w:szCs w:val="18"/>
                <w:lang w:val="en-US" w:eastAsia="pt-PT"/>
              </w:rPr>
              <w:t xml:space="preserve"> that are Specialized in Psychiatry according to the Doctor’s Order.</w:t>
            </w:r>
          </w:p>
        </w:tc>
      </w:tr>
      <w:tr w:rsidR="00E17719" w:rsidRPr="00D917C5"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D917C5"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D917C5"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proofErr w:type="spellStart"/>
            <w:r w:rsidRPr="00D40210">
              <w:rPr>
                <w:b w:val="0"/>
                <w:bCs/>
                <w:color w:val="auto"/>
                <w:sz w:val="18"/>
                <w:szCs w:val="18"/>
                <w:lang w:val="en-US" w:eastAsia="pt-PT"/>
              </w:rPr>
              <w:t>SS_Pensions</w:t>
            </w:r>
            <w:proofErr w:type="spellEnd"/>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D917C5"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Total_Doctors</w:t>
            </w:r>
            <w:proofErr w:type="spellEnd"/>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D917C5"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D917C5"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D917C5"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lastRenderedPageBreak/>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D917C5"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proofErr w:type="spellStart"/>
            <w:r w:rsidRPr="00A244B4">
              <w:rPr>
                <w:b w:val="0"/>
                <w:bCs/>
                <w:color w:val="auto"/>
                <w:sz w:val="18"/>
                <w:szCs w:val="18"/>
                <w:lang w:val="en-US" w:eastAsia="pt-PT"/>
              </w:rPr>
              <w:t>Youth_Dependency</w:t>
            </w:r>
            <w:proofErr w:type="spellEnd"/>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D917C5"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37840616"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3252E6">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3252E6">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3AF91DE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71256B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proofErr w:type="gramStart"/>
      <w:r>
        <w:rPr>
          <w:lang w:val="en-US" w:eastAsia="pt-PT"/>
        </w:rPr>
        <w:t>years</w:t>
      </w:r>
      <w:proofErr w:type="gramEnd"/>
      <w:r>
        <w:rPr>
          <w:lang w:val="en-US" w:eastAsia="pt-PT"/>
        </w:rPr>
        <w:t xml:space="preserve">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7120D261"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proofErr w:type="gramStart"/>
      <w:r>
        <w:rPr>
          <w:lang w:val="en-US" w:eastAsia="pt-PT"/>
        </w:rPr>
        <w:t>In order to</w:t>
      </w:r>
      <w:proofErr w:type="gramEnd"/>
      <w:r>
        <w:rPr>
          <w:lang w:val="en-US" w:eastAsia="pt-PT"/>
        </w:rPr>
        <w:t xml:space="preserve">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9319CEF"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8D7D84"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xml:space="preserve">. The data for this variable was retrieved from the </w:t>
      </w:r>
      <w:proofErr w:type="spellStart"/>
      <w:r>
        <w:rPr>
          <w:lang w:val="en-US" w:eastAsia="pt-PT"/>
        </w:rPr>
        <w:t>Pordata</w:t>
      </w:r>
      <w:proofErr w:type="spellEnd"/>
      <w:r>
        <w:rPr>
          <w:lang w:val="en-US" w:eastAsia="pt-PT"/>
        </w:rPr>
        <w:t xml:space="preserve">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xml:space="preserve">, among healthcare workers, women, </w:t>
      </w:r>
      <w:proofErr w:type="gramStart"/>
      <w:r>
        <w:rPr>
          <w:lang w:val="en-US" w:eastAsia="pt-PT"/>
        </w:rPr>
        <w:t>nurses</w:t>
      </w:r>
      <w:proofErr w:type="gramEnd"/>
      <w:r>
        <w:rPr>
          <w:lang w:val="en-US" w:eastAsia="pt-PT"/>
        </w:rPr>
        <w:t xml:space="preserve"> and mental health workers tend to respond better to domestic violence cases. Keeping this in mind, data regarding the total number of doctors and the number of female doctors for each municipality was retrieved from the </w:t>
      </w:r>
      <w:proofErr w:type="spellStart"/>
      <w:r>
        <w:rPr>
          <w:lang w:val="en-US" w:eastAsia="pt-PT"/>
        </w:rPr>
        <w:t>Pordata</w:t>
      </w:r>
      <w:proofErr w:type="spellEnd"/>
      <w:r>
        <w:rPr>
          <w:lang w:val="en-US" w:eastAsia="pt-PT"/>
        </w:rPr>
        <w:t xml:space="preserve"> website on the 10</w:t>
      </w:r>
      <w:r w:rsidRPr="00DA29EF">
        <w:rPr>
          <w:vertAlign w:val="superscript"/>
          <w:lang w:val="en-US" w:eastAsia="pt-PT"/>
        </w:rPr>
        <w:t>th</w:t>
      </w:r>
      <w:r>
        <w:rPr>
          <w:lang w:val="en-US" w:eastAsia="pt-PT"/>
        </w:rPr>
        <w:t xml:space="preserve"> of May of 2021</w:t>
      </w:r>
      <w:r w:rsidR="007A764E">
        <w:rPr>
          <w:lang w:val="en-US" w:eastAsia="pt-PT"/>
        </w:rPr>
        <w:t xml:space="preserve"> </w:t>
      </w:r>
      <w:proofErr w:type="gramStart"/>
      <w:r w:rsidR="007A764E">
        <w:rPr>
          <w:lang w:val="en-US" w:eastAsia="pt-PT"/>
        </w:rPr>
        <w:t>in order to</w:t>
      </w:r>
      <w:proofErr w:type="gramEnd"/>
      <w:r w:rsidR="007A764E">
        <w:rPr>
          <w:lang w:val="en-US" w:eastAsia="pt-PT"/>
        </w:rPr>
        <w:t xml:space="preserve">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w:t>
      </w:r>
      <w:proofErr w:type="spellStart"/>
      <w:r w:rsidR="007A764E">
        <w:rPr>
          <w:lang w:val="en-US" w:eastAsia="pt-PT"/>
        </w:rPr>
        <w:t>Pampilhosa</w:t>
      </w:r>
      <w:proofErr w:type="spellEnd"/>
      <w:r w:rsidR="007A764E">
        <w:rPr>
          <w:lang w:val="en-US" w:eastAsia="pt-PT"/>
        </w:rPr>
        <w:t xml:space="preserve"> da Serra, </w:t>
      </w:r>
      <w:proofErr w:type="spellStart"/>
      <w:r w:rsidR="007A764E">
        <w:rPr>
          <w:lang w:val="en-US" w:eastAsia="pt-PT"/>
        </w:rPr>
        <w:t>Oleiros</w:t>
      </w:r>
      <w:proofErr w:type="spellEnd"/>
      <w:r w:rsidR="007A764E">
        <w:rPr>
          <w:lang w:val="en-US" w:eastAsia="pt-PT"/>
        </w:rPr>
        <w:t xml:space="preserve"> and </w:t>
      </w:r>
      <w:proofErr w:type="spellStart"/>
      <w:r w:rsidR="007A764E">
        <w:rPr>
          <w:lang w:val="en-US" w:eastAsia="pt-PT"/>
        </w:rPr>
        <w:t>Lajes</w:t>
      </w:r>
      <w:proofErr w:type="spellEnd"/>
      <w:r w:rsidR="007A764E">
        <w:rPr>
          <w:lang w:val="en-US" w:eastAsia="pt-PT"/>
        </w:rPr>
        <w:t xml:space="preserve">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 xml:space="preserve">was retrieved from the </w:t>
      </w:r>
      <w:proofErr w:type="spellStart"/>
      <w:r>
        <w:rPr>
          <w:lang w:val="en-US" w:eastAsia="pt-PT"/>
        </w:rPr>
        <w:t>Pordata</w:t>
      </w:r>
      <w:proofErr w:type="spellEnd"/>
      <w:r>
        <w:rPr>
          <w:lang w:val="en-US" w:eastAsia="pt-PT"/>
        </w:rPr>
        <w:t xml:space="preserve">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proofErr w:type="spellStart"/>
      <w:r w:rsidR="006215E1">
        <w:rPr>
          <w:lang w:val="en-US" w:eastAsia="pt-PT"/>
        </w:rPr>
        <w:t>Pampilhosa</w:t>
      </w:r>
      <w:proofErr w:type="spellEnd"/>
      <w:r w:rsidR="006215E1">
        <w:rPr>
          <w:lang w:val="en-US" w:eastAsia="pt-PT"/>
        </w:rPr>
        <w:t xml:space="preserve"> da Serra, </w:t>
      </w:r>
      <w:proofErr w:type="spellStart"/>
      <w:r w:rsidR="006215E1">
        <w:rPr>
          <w:lang w:val="en-US" w:eastAsia="pt-PT"/>
        </w:rPr>
        <w:t>Oleiros</w:t>
      </w:r>
      <w:proofErr w:type="spellEnd"/>
      <w:r w:rsidR="006215E1">
        <w:rPr>
          <w:lang w:val="en-US" w:eastAsia="pt-PT"/>
        </w:rPr>
        <w:t xml:space="preserve"> and </w:t>
      </w:r>
      <w:proofErr w:type="spellStart"/>
      <w:r w:rsidR="006215E1">
        <w:rPr>
          <w:lang w:val="en-US" w:eastAsia="pt-PT"/>
        </w:rPr>
        <w:t>Lajes</w:t>
      </w:r>
      <w:proofErr w:type="spellEnd"/>
      <w:r w:rsidR="006215E1">
        <w:rPr>
          <w:lang w:val="en-US" w:eastAsia="pt-PT"/>
        </w:rPr>
        <w:t xml:space="preserve">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8D7D84"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 xml:space="preserve">in the event of disability, old age, occupational </w:t>
      </w:r>
      <w:proofErr w:type="gramStart"/>
      <w:r w:rsidRPr="008168BA">
        <w:rPr>
          <w:lang w:val="en-US" w:eastAsia="pt-PT"/>
        </w:rPr>
        <w:t>disease</w:t>
      </w:r>
      <w:proofErr w:type="gramEnd"/>
      <w:r w:rsidRPr="008168BA">
        <w:rPr>
          <w:lang w:val="en-US" w:eastAsia="pt-PT"/>
        </w:rPr>
        <w:t xml:space="preserv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w:t>
      </w:r>
      <w:proofErr w:type="spellStart"/>
      <w:r w:rsidR="00B846AA">
        <w:rPr>
          <w:lang w:val="en-US" w:eastAsia="pt-PT"/>
        </w:rPr>
        <w:t>Alenquer</w:t>
      </w:r>
      <w:proofErr w:type="spellEnd"/>
      <w:r w:rsidR="00B846AA">
        <w:rPr>
          <w:lang w:val="en-US" w:eastAsia="pt-PT"/>
        </w:rPr>
        <w:t xml:space="preserve">, </w:t>
      </w:r>
      <w:proofErr w:type="spellStart"/>
      <w:r w:rsidR="00B846AA">
        <w:rPr>
          <w:lang w:val="en-US" w:eastAsia="pt-PT"/>
        </w:rPr>
        <w:t>Lagoa</w:t>
      </w:r>
      <w:proofErr w:type="spellEnd"/>
      <w:r w:rsidR="00B846AA">
        <w:rPr>
          <w:lang w:val="en-US" w:eastAsia="pt-PT"/>
        </w:rPr>
        <w:t xml:space="preserve"> (Azores), </w:t>
      </w:r>
      <w:proofErr w:type="spellStart"/>
      <w:r w:rsidR="00B846AA">
        <w:rPr>
          <w:lang w:val="en-US" w:eastAsia="pt-PT"/>
        </w:rPr>
        <w:t>Lajes</w:t>
      </w:r>
      <w:proofErr w:type="spellEnd"/>
      <w:r w:rsidR="00B846AA">
        <w:rPr>
          <w:lang w:val="en-US" w:eastAsia="pt-PT"/>
        </w:rPr>
        <w:t xml:space="preserve"> das Flores, Santa Cruz das Flores and </w:t>
      </w:r>
      <w:proofErr w:type="spellStart"/>
      <w:r w:rsidR="00B846AA">
        <w:rPr>
          <w:lang w:val="en-US" w:eastAsia="pt-PT"/>
        </w:rPr>
        <w:t>Corvo</w:t>
      </w:r>
      <w:proofErr w:type="spellEnd"/>
      <w:r w:rsidR="00B846AA">
        <w:rPr>
          <w:lang w:val="en-US" w:eastAsia="pt-PT"/>
        </w:rPr>
        <w:t>.</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sidRPr="00F80E06">
        <w:rPr>
          <w:lang w:val="en-US" w:eastAsia="pt-PT"/>
        </w:rPr>
        <w:t>in a given year</w:t>
      </w:r>
      <w:proofErr w:type="gramEnd"/>
      <w:r w:rsidRPr="00F80E06">
        <w:rPr>
          <w:lang w:val="en-US" w:eastAsia="pt-PT"/>
        </w:rPr>
        <w:t xml:space="preserve">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w:t>
      </w:r>
      <w:proofErr w:type="spellStart"/>
      <w:r w:rsidRPr="00F80E06">
        <w:rPr>
          <w:lang w:val="en-US" w:eastAsia="pt-PT"/>
        </w:rPr>
        <w:t>Pordata</w:t>
      </w:r>
      <w:proofErr w:type="spellEnd"/>
      <w:r w:rsidRPr="00F80E06">
        <w:rPr>
          <w:lang w:val="en-US" w:eastAsia="pt-PT"/>
        </w:rPr>
        <w:t xml:space="preserve">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EC2617">
        <w:rPr>
          <w:highlight w:val="yellow"/>
          <w:lang w:val="en-US" w:eastAsia="pt-PT"/>
        </w:rPr>
        <w:t>Pordata</w:t>
      </w:r>
      <w:proofErr w:type="spellEnd"/>
      <w:r w:rsidR="002B681D" w:rsidRPr="00EC2617">
        <w:rPr>
          <w:highlight w:val="yellow"/>
          <w:lang w:val="en-US" w:eastAsia="pt-PT"/>
        </w:rPr>
        <w:t xml:space="preserve">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05D8192B"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3252E6">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3252E6">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349B35F4"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w:t>
      </w:r>
      <w:proofErr w:type="gramStart"/>
      <w:r>
        <w:rPr>
          <w:lang w:val="en-US" w:eastAsia="pt-PT"/>
        </w:rPr>
        <w:t>However</w:t>
      </w:r>
      <w:proofErr w:type="gramEnd"/>
      <w:r>
        <w:rPr>
          <w:lang w:val="en-US" w:eastAsia="pt-PT"/>
        </w:rPr>
        <w:t xml:space="preserve">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Content>
          <w:r w:rsidR="00D917C5">
            <w:rPr>
              <w:lang w:val="en-US" w:eastAsia="pt-PT"/>
            </w:rPr>
            <w:fldChar w:fldCharType="begin"/>
          </w:r>
          <w:r w:rsidR="00D917C5">
            <w:rPr>
              <w:lang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 not only a consequence, as separated or divorced people tend to be more vulnerable, thus becoming more prone to being victims in a following relationship. </w:t>
      </w:r>
      <w:r w:rsidR="005804E4">
        <w:rPr>
          <w:lang w:val="en-US" w:eastAsia="pt-PT"/>
        </w:rPr>
        <w:t xml:space="preserve">Data regarding divorces was retrieved from the </w:t>
      </w:r>
      <w:proofErr w:type="spellStart"/>
      <w:r w:rsidR="005804E4">
        <w:rPr>
          <w:lang w:val="en-US" w:eastAsia="pt-PT"/>
        </w:rPr>
        <w:t>Pordata</w:t>
      </w:r>
      <w:proofErr w:type="spellEnd"/>
      <w:r w:rsidR="005804E4">
        <w:rPr>
          <w:lang w:val="en-US" w:eastAsia="pt-PT"/>
        </w:rPr>
        <w:t xml:space="preserve">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w:t>
      </w:r>
      <w:proofErr w:type="spellStart"/>
      <w:r w:rsidR="00E10BDE">
        <w:rPr>
          <w:lang w:val="en-US" w:eastAsia="pt-PT"/>
        </w:rPr>
        <w:t>Odivelas</w:t>
      </w:r>
      <w:proofErr w:type="spellEnd"/>
      <w:r w:rsidR="00E10BDE">
        <w:rPr>
          <w:lang w:val="en-US" w:eastAsia="pt-PT"/>
        </w:rPr>
        <w:t xml:space="preserve">, no data for </w:t>
      </w:r>
      <w:proofErr w:type="spellStart"/>
      <w:r w:rsidR="00E10BDE">
        <w:rPr>
          <w:lang w:val="en-US" w:eastAsia="pt-PT"/>
        </w:rPr>
        <w:t>Castanheira</w:t>
      </w:r>
      <w:proofErr w:type="spellEnd"/>
      <w:r w:rsidR="00E10BDE">
        <w:rPr>
          <w:lang w:val="en-US" w:eastAsia="pt-PT"/>
        </w:rPr>
        <w:t xml:space="preserve"> de </w:t>
      </w:r>
      <w:proofErr w:type="spellStart"/>
      <w:r w:rsidR="00E10BDE">
        <w:rPr>
          <w:lang w:val="en-US" w:eastAsia="pt-PT"/>
        </w:rPr>
        <w:t>Pêra</w:t>
      </w:r>
      <w:proofErr w:type="spellEnd"/>
      <w:r w:rsidR="00E10BDE">
        <w:rPr>
          <w:lang w:val="en-US" w:eastAsia="pt-PT"/>
        </w:rPr>
        <w:t xml:space="preserve"> in 2013, no data for </w:t>
      </w:r>
      <w:proofErr w:type="spellStart"/>
      <w:r w:rsidR="00E10BDE">
        <w:rPr>
          <w:lang w:val="en-US" w:eastAsia="pt-PT"/>
        </w:rPr>
        <w:t>Barrancos</w:t>
      </w:r>
      <w:proofErr w:type="spellEnd"/>
      <w:r w:rsidR="00E10BDE">
        <w:rPr>
          <w:lang w:val="en-US" w:eastAsia="pt-PT"/>
        </w:rPr>
        <w:t xml:space="preserve"> in 2019, no data for Porto Moniz for 2016 and 2018, no data for </w:t>
      </w:r>
      <w:proofErr w:type="spellStart"/>
      <w:r w:rsidR="00E10BDE">
        <w:rPr>
          <w:lang w:val="en-US" w:eastAsia="pt-PT"/>
        </w:rPr>
        <w:t>Corvo</w:t>
      </w:r>
      <w:proofErr w:type="spellEnd"/>
      <w:r w:rsidR="00E10BDE">
        <w:rPr>
          <w:lang w:val="en-US" w:eastAsia="pt-PT"/>
        </w:rPr>
        <w:t xml:space="preserve">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w:t>
      </w:r>
      <w:proofErr w:type="gramStart"/>
      <w:r w:rsidR="006F569A">
        <w:rPr>
          <w:lang w:val="en-US" w:eastAsia="pt-PT"/>
        </w:rPr>
        <w:t>2021</w:t>
      </w:r>
      <w:proofErr w:type="gramEnd"/>
      <w:r w:rsidR="006F569A">
        <w:rPr>
          <w:lang w:val="en-US" w:eastAsia="pt-PT"/>
        </w:rPr>
        <w:t xml:space="preserve">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w:t>
      </w:r>
      <w:proofErr w:type="gramStart"/>
      <w:r w:rsidRPr="00F80E06">
        <w:rPr>
          <w:lang w:val="en-US" w:eastAsia="pt-PT"/>
        </w:rPr>
        <w:t>has an effect on</w:t>
      </w:r>
      <w:proofErr w:type="gramEnd"/>
      <w:r w:rsidRPr="00F80E06">
        <w:rPr>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 xml:space="preserve">This data was retrieved from the </w:t>
      </w:r>
      <w:proofErr w:type="spellStart"/>
      <w:r w:rsidR="00FF3137" w:rsidRPr="00F80E06">
        <w:rPr>
          <w:lang w:val="en-US" w:eastAsia="pt-PT"/>
        </w:rPr>
        <w:t>Pordata</w:t>
      </w:r>
      <w:proofErr w:type="spellEnd"/>
      <w:r w:rsidR="00FF3137" w:rsidRPr="00F80E06">
        <w:rPr>
          <w:lang w:val="en-US" w:eastAsia="pt-PT"/>
        </w:rPr>
        <w:t xml:space="preserve">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w:t>
      </w:r>
      <w:proofErr w:type="gramStart"/>
      <w:r w:rsidR="00FF3137" w:rsidRPr="00F80E06">
        <w:rPr>
          <w:lang w:val="en-US" w:eastAsia="pt-PT"/>
        </w:rPr>
        <w:t>In order to</w:t>
      </w:r>
      <w:proofErr w:type="gramEnd"/>
      <w:r w:rsidR="00FF3137" w:rsidRPr="00F80E06">
        <w:rPr>
          <w:lang w:val="en-US" w:eastAsia="pt-PT"/>
        </w:rPr>
        <w:t xml:space="preserve">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proofErr w:type="spellStart"/>
      <w:r w:rsidR="002A48D1" w:rsidRPr="002A48D1">
        <w:rPr>
          <w:i/>
          <w:iCs/>
          <w:lang w:val="en-US" w:eastAsia="pt-PT"/>
        </w:rPr>
        <w:t>Quadros</w:t>
      </w:r>
      <w:proofErr w:type="spellEnd"/>
      <w:r w:rsidR="002A48D1" w:rsidRPr="002A48D1">
        <w:rPr>
          <w:i/>
          <w:iCs/>
          <w:lang w:val="en-US" w:eastAsia="pt-PT"/>
        </w:rPr>
        <w:t xml:space="preserve"> de </w:t>
      </w:r>
      <w:proofErr w:type="spellStart"/>
      <w:r w:rsidR="002A48D1" w:rsidRPr="002A48D1">
        <w:rPr>
          <w:i/>
          <w:iCs/>
          <w:lang w:val="en-US" w:eastAsia="pt-PT"/>
        </w:rPr>
        <w:t>Pessoal</w:t>
      </w:r>
      <w:proofErr w:type="spellEnd"/>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 xml:space="preserve">2020 (RESPOSTA NO PRAZO DE 2 DIAS ÚTEIS – 11 DE </w:t>
      </w:r>
      <w:proofErr w:type="gramStart"/>
      <w:r w:rsidR="002A48D1" w:rsidRPr="00AB6F5A">
        <w:rPr>
          <w:highlight w:val="red"/>
          <w:lang w:eastAsia="pt-PT"/>
        </w:rPr>
        <w:t>MAIO</w:t>
      </w:r>
      <w:proofErr w:type="gramEnd"/>
      <w:r w:rsidR="002A48D1" w:rsidRPr="00AB6F5A">
        <w:rPr>
          <w:highlight w:val="red"/>
          <w:lang w:eastAsia="pt-PT"/>
        </w:rPr>
        <w:t>)</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27E65C69"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4B73EA4E" w14:textId="1293B754" w:rsidR="004374F5" w:rsidRDefault="004374F5" w:rsidP="004374F5">
      <w:pPr>
        <w:pStyle w:val="Heading2"/>
      </w:pPr>
      <w:r>
        <w:t>Series Breaks</w:t>
      </w:r>
    </w:p>
    <w:p w14:paraId="47ECC1B2" w14:textId="1ABA1409" w:rsidR="004374F5" w:rsidRDefault="004374F5" w:rsidP="00642C78">
      <w:pPr>
        <w:jc w:val="both"/>
        <w:rPr>
          <w:lang w:val="en-US"/>
        </w:rPr>
      </w:pPr>
      <w:r>
        <w:rPr>
          <w:lang w:val="en-US"/>
        </w:rPr>
        <w:t xml:space="preserve">A lot of the explanatory variables had breaks caused by changes </w:t>
      </w:r>
      <w:r w:rsidRPr="004374F5">
        <w:rPr>
          <w:lang w:val="en-US"/>
        </w:rPr>
        <w:t xml:space="preserve">in the standards for defining and observing </w:t>
      </w:r>
      <w:r>
        <w:rPr>
          <w:lang w:val="en-US"/>
        </w:rPr>
        <w:t xml:space="preserve">the indicator </w:t>
      </w:r>
      <w:r w:rsidRPr="004374F5">
        <w:rPr>
          <w:lang w:val="en-US"/>
        </w:rPr>
        <w:t>over time.</w:t>
      </w:r>
      <w:r>
        <w:rPr>
          <w:lang w:val="en-US"/>
        </w:rPr>
        <w:t xml:space="preserve"> According to the OECD (</w:t>
      </w:r>
      <w:r w:rsidRPr="004374F5">
        <w:rPr>
          <w:lang w:val="en-US"/>
        </w:rPr>
        <w:t>Organization</w:t>
      </w:r>
      <w:r w:rsidRPr="004374F5">
        <w:rPr>
          <w:lang w:val="en-US"/>
        </w:rPr>
        <w:t xml:space="preserve"> for Economic Co-operation and Development</w:t>
      </w:r>
      <w:r>
        <w:rPr>
          <w:lang w:val="en-US"/>
        </w:rPr>
        <w:t>) Glossary of Statistical Terms, “t</w:t>
      </w:r>
      <w:r w:rsidRPr="004374F5">
        <w:rPr>
          <w:lang w:val="en-US"/>
        </w:rPr>
        <w:t>he specific causes of breaks in a statistical time series include changes in: classifications used, definitions of the variable, coverage, etc.</w:t>
      </w:r>
      <w:r>
        <w:rPr>
          <w:lang w:val="en-US"/>
        </w:rPr>
        <w:t>”.</w:t>
      </w:r>
    </w:p>
    <w:p w14:paraId="569CD7F4" w14:textId="430D67F1" w:rsidR="004374F5" w:rsidRDefault="004374F5" w:rsidP="00642C78">
      <w:pPr>
        <w:jc w:val="both"/>
        <w:rPr>
          <w:lang w:val="en-US"/>
        </w:rPr>
      </w:pPr>
      <w:r w:rsidRPr="004374F5">
        <w:rPr>
          <w:b/>
          <w:bCs/>
          <w:lang w:val="en-US"/>
        </w:rPr>
        <w:t>Fertility</w:t>
      </w:r>
      <w:r w:rsidR="00B618B3">
        <w:rPr>
          <w:lang w:val="en-US"/>
        </w:rPr>
        <w:t xml:space="preserve">, </w:t>
      </w:r>
      <w:proofErr w:type="spellStart"/>
      <w:r w:rsidR="00B618B3" w:rsidRPr="00B618B3">
        <w:rPr>
          <w:b/>
          <w:bCs/>
          <w:lang w:val="en-US"/>
        </w:rPr>
        <w:t>Youth_</w:t>
      </w:r>
      <w:proofErr w:type="gramStart"/>
      <w:r w:rsidR="00B618B3" w:rsidRPr="00B618B3">
        <w:rPr>
          <w:b/>
          <w:bCs/>
          <w:lang w:val="en-US"/>
        </w:rPr>
        <w:t>Dependency</w:t>
      </w:r>
      <w:proofErr w:type="spellEnd"/>
      <w:r w:rsidR="00B618B3">
        <w:rPr>
          <w:b/>
          <w:bCs/>
          <w:lang w:val="en-US"/>
        </w:rPr>
        <w:t xml:space="preserve">,  </w:t>
      </w:r>
      <w:proofErr w:type="spellStart"/>
      <w:r w:rsidR="00B618B3">
        <w:rPr>
          <w:b/>
          <w:bCs/>
          <w:lang w:val="en-US"/>
        </w:rPr>
        <w:t>Female</w:t>
      </w:r>
      <w:proofErr w:type="gramEnd"/>
      <w:r w:rsidR="00B618B3">
        <w:rPr>
          <w:b/>
          <w:bCs/>
          <w:lang w:val="en-US"/>
        </w:rPr>
        <w:t>_Doctors</w:t>
      </w:r>
      <w:proofErr w:type="spellEnd"/>
      <w:r w:rsidR="00960838">
        <w:rPr>
          <w:b/>
          <w:bCs/>
          <w:lang w:val="en-US"/>
        </w:rPr>
        <w:t>,</w:t>
      </w:r>
      <w:r w:rsidR="00B618B3">
        <w:rPr>
          <w:b/>
          <w:bCs/>
          <w:lang w:val="en-US"/>
        </w:rPr>
        <w:t xml:space="preserve"> </w:t>
      </w:r>
      <w:proofErr w:type="spellStart"/>
      <w:r w:rsidR="00B618B3">
        <w:rPr>
          <w:b/>
          <w:bCs/>
          <w:lang w:val="en-US"/>
        </w:rPr>
        <w:t>Mental_Health</w:t>
      </w:r>
      <w:proofErr w:type="spellEnd"/>
      <w:r w:rsidR="00B618B3">
        <w:rPr>
          <w:b/>
          <w:bCs/>
          <w:lang w:val="en-US"/>
        </w:rPr>
        <w:t xml:space="preserve"> </w:t>
      </w:r>
      <w:r w:rsidR="00960838">
        <w:rPr>
          <w:b/>
          <w:bCs/>
          <w:lang w:val="en-US"/>
        </w:rPr>
        <w:t xml:space="preserve">and Men65 </w:t>
      </w:r>
      <w:r w:rsidRPr="00B618B3">
        <w:rPr>
          <w:b/>
          <w:bCs/>
          <w:lang w:val="en-US"/>
        </w:rPr>
        <w:t>had 4 breaks</w:t>
      </w:r>
      <w:r>
        <w:rPr>
          <w:lang w:val="en-US"/>
        </w:rPr>
        <w:t xml:space="preserve">, all in 2013. </w:t>
      </w:r>
      <w:r w:rsidR="00A6062A">
        <w:rPr>
          <w:lang w:val="en-US"/>
        </w:rPr>
        <w:t xml:space="preserve">Those </w:t>
      </w:r>
      <w:r w:rsidR="00B618B3">
        <w:rPr>
          <w:lang w:val="en-US"/>
        </w:rPr>
        <w:t>were</w:t>
      </w:r>
      <w:r w:rsidR="00A6062A">
        <w:rPr>
          <w:lang w:val="en-US"/>
        </w:rPr>
        <w:t xml:space="preserve"> in</w:t>
      </w:r>
      <w:r>
        <w:rPr>
          <w:lang w:val="en-US"/>
        </w:rPr>
        <w:t xml:space="preserve"> Lisbon, </w:t>
      </w:r>
      <w:proofErr w:type="spellStart"/>
      <w:r>
        <w:rPr>
          <w:lang w:val="en-US"/>
        </w:rPr>
        <w:t>Loures</w:t>
      </w:r>
      <w:proofErr w:type="spellEnd"/>
      <w:r>
        <w:rPr>
          <w:lang w:val="en-US"/>
        </w:rPr>
        <w:t xml:space="preserve">,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The breaks in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are caused by the fact that the parish of </w:t>
      </w:r>
      <w:proofErr w:type="spellStart"/>
      <w:r>
        <w:rPr>
          <w:lang w:val="en-US"/>
        </w:rPr>
        <w:t>Pombalinho</w:t>
      </w:r>
      <w:proofErr w:type="spellEnd"/>
      <w:r>
        <w:rPr>
          <w:lang w:val="en-US"/>
        </w:rPr>
        <w:t xml:space="preserve"> was considered, from 2013 on, a parish belonging to the municipality of </w:t>
      </w:r>
      <w:proofErr w:type="spellStart"/>
      <w:r>
        <w:rPr>
          <w:lang w:val="en-US"/>
        </w:rPr>
        <w:t>Golegã</w:t>
      </w:r>
      <w:proofErr w:type="spellEnd"/>
      <w:r>
        <w:rPr>
          <w:lang w:val="en-US"/>
        </w:rPr>
        <w:t xml:space="preserve">, no longer being a part of </w:t>
      </w:r>
      <w:proofErr w:type="spellStart"/>
      <w:r>
        <w:rPr>
          <w:lang w:val="en-US"/>
        </w:rPr>
        <w:t>Santarém</w:t>
      </w:r>
      <w:proofErr w:type="spellEnd"/>
      <w:r>
        <w:rPr>
          <w:lang w:val="en-US"/>
        </w:rPr>
        <w:t xml:space="preserve">. </w:t>
      </w:r>
      <w:proofErr w:type="spellStart"/>
      <w:r>
        <w:rPr>
          <w:lang w:val="en-US"/>
        </w:rPr>
        <w:t>Pombalinho</w:t>
      </w:r>
      <w:proofErr w:type="spellEnd"/>
      <w:r>
        <w:rPr>
          <w:lang w:val="en-US"/>
        </w:rPr>
        <w:t xml:space="preserve"> is a small parish, with 7,7km</w:t>
      </w:r>
      <w:r w:rsidRPr="004374F5">
        <w:rPr>
          <w:vertAlign w:val="superscript"/>
          <w:lang w:val="en-US"/>
        </w:rPr>
        <w:t>2</w:t>
      </w:r>
      <w:r>
        <w:rPr>
          <w:lang w:val="en-US"/>
        </w:rPr>
        <w:t xml:space="preserve"> and 448 inhabitants, making this break neglectable. </w:t>
      </w:r>
      <w:r w:rsidR="00A6062A">
        <w:rPr>
          <w:lang w:val="en-US"/>
        </w:rPr>
        <w:t xml:space="preserve">It was also a change in the parish configuration that caused the breaks for Lisbon and </w:t>
      </w:r>
      <w:proofErr w:type="spellStart"/>
      <w:r w:rsidR="00A6062A">
        <w:rPr>
          <w:lang w:val="en-US"/>
        </w:rPr>
        <w:t>Loures</w:t>
      </w:r>
      <w:proofErr w:type="spellEnd"/>
      <w:r w:rsidR="00A6062A">
        <w:rPr>
          <w:lang w:val="en-US"/>
        </w:rPr>
        <w:t xml:space="preserve">. In 2013 a new parish called Parque das </w:t>
      </w:r>
      <w:proofErr w:type="spellStart"/>
      <w:r w:rsidR="00A6062A">
        <w:rPr>
          <w:lang w:val="en-US"/>
        </w:rPr>
        <w:t>Nações</w:t>
      </w:r>
      <w:proofErr w:type="spellEnd"/>
      <w:r w:rsidR="00A6062A">
        <w:rPr>
          <w:lang w:val="en-US"/>
        </w:rPr>
        <w:t xml:space="preserve"> was created, which included areas from both the municipalities of </w:t>
      </w:r>
      <w:proofErr w:type="spellStart"/>
      <w:r w:rsidR="00A6062A">
        <w:rPr>
          <w:lang w:val="en-US"/>
        </w:rPr>
        <w:t>Loures</w:t>
      </w:r>
      <w:proofErr w:type="spellEnd"/>
      <w:r w:rsidR="00A6062A">
        <w:rPr>
          <w:lang w:val="en-US"/>
        </w:rPr>
        <w:t xml:space="preserve"> and Lisbon. This parish is, from 2013 on, part of the municipality of Lisbon and it has 5,44km</w:t>
      </w:r>
      <w:r w:rsidR="00A6062A" w:rsidRPr="00B618B3">
        <w:rPr>
          <w:vertAlign w:val="superscript"/>
          <w:lang w:val="en-US"/>
        </w:rPr>
        <w:t>2</w:t>
      </w:r>
      <w:r w:rsidR="00A6062A">
        <w:rPr>
          <w:lang w:val="en-US"/>
        </w:rPr>
        <w:t xml:space="preserve"> and 21025 inhabitants. Since only 34,2% of this area and 23,7% of this population belonged to </w:t>
      </w:r>
      <w:proofErr w:type="spellStart"/>
      <w:r w:rsidR="00A6062A">
        <w:rPr>
          <w:lang w:val="en-US"/>
        </w:rPr>
        <w:t>Loures</w:t>
      </w:r>
      <w:proofErr w:type="spellEnd"/>
      <w:r w:rsidR="00A6062A">
        <w:rPr>
          <w:lang w:val="en-US"/>
        </w:rPr>
        <w:t xml:space="preserve"> before the change, the effect of this break is neglectable.</w:t>
      </w:r>
    </w:p>
    <w:p w14:paraId="07104CF6" w14:textId="200D0FF7" w:rsidR="004374F5" w:rsidRDefault="00960838" w:rsidP="00960838">
      <w:pPr>
        <w:pStyle w:val="Heading2"/>
      </w:pPr>
      <w:r>
        <w:t>Missing Values</w:t>
      </w:r>
    </w:p>
    <w:p w14:paraId="3F9BE983" w14:textId="5A454F41" w:rsidR="00B83EF4" w:rsidRPr="00227627"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The variables related to salaries (</w:t>
      </w:r>
      <w:proofErr w:type="spellStart"/>
      <w:r w:rsidR="00642C78">
        <w:rPr>
          <w:lang w:val="en-US"/>
        </w:rPr>
        <w:t>Wage_Gap</w:t>
      </w:r>
      <w:proofErr w:type="spellEnd"/>
      <w:r w:rsidR="00642C78">
        <w:rPr>
          <w:lang w:val="en-US"/>
        </w:rPr>
        <w:t xml:space="preserve"> and </w:t>
      </w:r>
      <w:proofErr w:type="spellStart"/>
      <w:r w:rsidR="00642C78">
        <w:rPr>
          <w:lang w:val="en-US"/>
        </w:rPr>
        <w:t>Monthly_Gain</w:t>
      </w:r>
      <w:proofErr w:type="spellEnd"/>
      <w:r w:rsidR="00642C78">
        <w:rPr>
          <w:lang w:val="en-US"/>
        </w:rPr>
        <w:t xml:space="preserve">) were missing values for 2019. </w:t>
      </w:r>
      <w:r w:rsidR="00642C78"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 xml:space="preserve">Text about results and </w:t>
      </w:r>
      <w:proofErr w:type="gramStart"/>
      <w:r w:rsidRPr="00227627">
        <w:rPr>
          <w:lang w:val="en-US"/>
        </w:rPr>
        <w:t>discussion</w:t>
      </w:r>
      <w:r w:rsidR="00940100" w:rsidRPr="00227627">
        <w:rPr>
          <w:lang w:val="en-US"/>
        </w:rPr>
        <w:t xml:space="preserve">  </w:t>
      </w:r>
      <w:r w:rsidRPr="00227627">
        <w:rPr>
          <w:lang w:val="en-US"/>
        </w:rPr>
        <w:t>Text</w:t>
      </w:r>
      <w:proofErr w:type="gramEnd"/>
      <w:r w:rsidRPr="00227627">
        <w:rPr>
          <w:lang w:val="en-US"/>
        </w:rPr>
        <w:t xml:space="preserve">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919F0" w14:textId="77777777" w:rsidR="008D7D84" w:rsidRDefault="008D7D84" w:rsidP="00940100">
      <w:pPr>
        <w:spacing w:after="0" w:line="240" w:lineRule="auto"/>
      </w:pPr>
      <w:r>
        <w:separator/>
      </w:r>
    </w:p>
  </w:endnote>
  <w:endnote w:type="continuationSeparator" w:id="0">
    <w:p w14:paraId="2B8A0FDB" w14:textId="77777777" w:rsidR="008D7D84" w:rsidRDefault="008D7D8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1224" w14:textId="77777777" w:rsidR="008D7D84" w:rsidRDefault="008D7D84" w:rsidP="00940100">
      <w:pPr>
        <w:spacing w:after="0" w:line="240" w:lineRule="auto"/>
      </w:pPr>
      <w:r>
        <w:separator/>
      </w:r>
    </w:p>
  </w:footnote>
  <w:footnote w:type="continuationSeparator" w:id="0">
    <w:p w14:paraId="5A661298" w14:textId="77777777" w:rsidR="008D7D84" w:rsidRDefault="008D7D84"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8">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77B68"/>
    <w:rsid w:val="0008269A"/>
    <w:rsid w:val="000845D4"/>
    <w:rsid w:val="00092848"/>
    <w:rsid w:val="000A2B8C"/>
    <w:rsid w:val="000A686B"/>
    <w:rsid w:val="000C0B88"/>
    <w:rsid w:val="000C5C76"/>
    <w:rsid w:val="000D1918"/>
    <w:rsid w:val="000D2667"/>
    <w:rsid w:val="00104298"/>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6C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52E6"/>
    <w:rsid w:val="003270ED"/>
    <w:rsid w:val="0032770B"/>
    <w:rsid w:val="00357030"/>
    <w:rsid w:val="00367652"/>
    <w:rsid w:val="00390711"/>
    <w:rsid w:val="00392E9F"/>
    <w:rsid w:val="00394EFA"/>
    <w:rsid w:val="003A067E"/>
    <w:rsid w:val="003C6136"/>
    <w:rsid w:val="003D1B3E"/>
    <w:rsid w:val="003E6C69"/>
    <w:rsid w:val="00400865"/>
    <w:rsid w:val="00405417"/>
    <w:rsid w:val="004069BE"/>
    <w:rsid w:val="00407941"/>
    <w:rsid w:val="0041296C"/>
    <w:rsid w:val="004278B9"/>
    <w:rsid w:val="004363B4"/>
    <w:rsid w:val="004374F5"/>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82B2F"/>
    <w:rsid w:val="005A07C9"/>
    <w:rsid w:val="005A0A1C"/>
    <w:rsid w:val="005A64D6"/>
    <w:rsid w:val="005B17CF"/>
    <w:rsid w:val="005B6805"/>
    <w:rsid w:val="005C0851"/>
    <w:rsid w:val="005D5A86"/>
    <w:rsid w:val="005D63D3"/>
    <w:rsid w:val="005E6DD0"/>
    <w:rsid w:val="005F0F7E"/>
    <w:rsid w:val="006016A0"/>
    <w:rsid w:val="006176B8"/>
    <w:rsid w:val="006215E1"/>
    <w:rsid w:val="00632A5F"/>
    <w:rsid w:val="00642C78"/>
    <w:rsid w:val="006508A2"/>
    <w:rsid w:val="006615E1"/>
    <w:rsid w:val="00667F6F"/>
    <w:rsid w:val="00687D14"/>
    <w:rsid w:val="006946F4"/>
    <w:rsid w:val="00696A97"/>
    <w:rsid w:val="006A08D1"/>
    <w:rsid w:val="006B0E39"/>
    <w:rsid w:val="006B475D"/>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764E"/>
    <w:rsid w:val="007B19F5"/>
    <w:rsid w:val="007B4F66"/>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7987"/>
    <w:rsid w:val="008D7D84"/>
    <w:rsid w:val="008E155E"/>
    <w:rsid w:val="008F4555"/>
    <w:rsid w:val="00901627"/>
    <w:rsid w:val="009162B1"/>
    <w:rsid w:val="00940100"/>
    <w:rsid w:val="00947E45"/>
    <w:rsid w:val="00960838"/>
    <w:rsid w:val="0096086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33B2"/>
    <w:rsid w:val="00A56843"/>
    <w:rsid w:val="00A605D4"/>
    <w:rsid w:val="00A6062A"/>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18B3"/>
    <w:rsid w:val="00B635F3"/>
    <w:rsid w:val="00B6577A"/>
    <w:rsid w:val="00B73EF0"/>
    <w:rsid w:val="00B83C67"/>
    <w:rsid w:val="00B83EF4"/>
    <w:rsid w:val="00B846AA"/>
    <w:rsid w:val="00B90EB9"/>
    <w:rsid w:val="00B91071"/>
    <w:rsid w:val="00B92640"/>
    <w:rsid w:val="00B97F87"/>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835AB"/>
    <w:rsid w:val="00D917C5"/>
    <w:rsid w:val="00DA29EF"/>
    <w:rsid w:val="00DC0BF0"/>
    <w:rsid w:val="00DC6873"/>
    <w:rsid w:val="00DD316D"/>
    <w:rsid w:val="00DE4ED3"/>
    <w:rsid w:val="00DE6A7E"/>
    <w:rsid w:val="00DF166B"/>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 w:id="2144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7</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12</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11</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9</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8</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10</b:RefOrder>
  </b:Source>
</b:Sources>
</file>

<file path=customXml/itemProps1.xml><?xml version="1.0" encoding="utf-8"?>
<ds:datastoreItem xmlns:ds="http://schemas.openxmlformats.org/officeDocument/2006/customXml" ds:itemID="{E2FE0AB5-4887-4502-B971-96D6DF3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26132</TotalTime>
  <Pages>37</Pages>
  <Words>9605</Words>
  <Characters>51868</Characters>
  <Application>Microsoft Office Word</Application>
  <DocSecurity>0</DocSecurity>
  <Lines>432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101</cp:revision>
  <cp:lastPrinted>2021-05-20T17:37:00Z</cp:lastPrinted>
  <dcterms:created xsi:type="dcterms:W3CDTF">2021-03-15T09:37:00Z</dcterms:created>
  <dcterms:modified xsi:type="dcterms:W3CDTF">2021-05-24T16:54:00Z</dcterms:modified>
</cp:coreProperties>
</file>