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BE4BF" w14:textId="77777777" w:rsidR="001E1917" w:rsidRPr="00E45719" w:rsidRDefault="001E1917" w:rsidP="001E1917">
      <w:pPr>
        <w:jc w:val="center"/>
        <w:rPr>
          <w:b/>
          <w:sz w:val="32"/>
          <w:szCs w:val="32"/>
        </w:rPr>
      </w:pPr>
      <w:bookmarkStart w:id="0" w:name="_Toc449021709"/>
      <w:r w:rsidRPr="00E45719">
        <w:rPr>
          <w:b/>
          <w:sz w:val="32"/>
          <w:szCs w:val="32"/>
        </w:rPr>
        <w:t>KAUNO TECHNOLOGIJOS UNIVERSITETAS</w:t>
      </w:r>
      <w:bookmarkEnd w:id="0"/>
    </w:p>
    <w:p w14:paraId="01E3281F" w14:textId="77777777" w:rsidR="001E1917" w:rsidRPr="00E45719" w:rsidRDefault="001E1917" w:rsidP="001E1917">
      <w:pPr>
        <w:jc w:val="center"/>
        <w:rPr>
          <w:b/>
          <w:sz w:val="28"/>
          <w:szCs w:val="28"/>
        </w:rPr>
      </w:pPr>
      <w:bookmarkStart w:id="1" w:name="_Toc449021710"/>
      <w:r w:rsidRPr="00E45719">
        <w:rPr>
          <w:b/>
          <w:sz w:val="28"/>
          <w:szCs w:val="28"/>
        </w:rPr>
        <w:t>MATEMATIKOS IR GAMTOS MOKSLŲ FAKULTETAS</w:t>
      </w:r>
      <w:bookmarkEnd w:id="1"/>
    </w:p>
    <w:p w14:paraId="49EC098F" w14:textId="77777777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13B05592" w14:textId="77777777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2ABBF985" w14:textId="77777777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6C2B9AD3" w14:textId="64C00A7B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365EFD7B" w14:textId="752F27A1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2D10446D" w14:textId="77777777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1E4C38BD" w14:textId="77777777" w:rsidR="001E1917" w:rsidRDefault="001E1917" w:rsidP="006726A3">
      <w:pPr>
        <w:jc w:val="center"/>
        <w:rPr>
          <w:b/>
          <w:sz w:val="36"/>
          <w:szCs w:val="36"/>
          <w:highlight w:val="yellow"/>
        </w:rPr>
      </w:pPr>
    </w:p>
    <w:p w14:paraId="77E289C8" w14:textId="094FC899" w:rsidR="001E1917" w:rsidRDefault="001E1917" w:rsidP="001E19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Savaranki</w:t>
      </w:r>
      <w:r w:rsidR="00967E35">
        <w:rPr>
          <w:b/>
          <w:sz w:val="36"/>
          <w:szCs w:val="36"/>
        </w:rPr>
        <w:t>ško projekto ataskaita</w:t>
      </w:r>
    </w:p>
    <w:p w14:paraId="4F8AA755" w14:textId="22D7BB96" w:rsidR="001E1917" w:rsidRDefault="001E1917" w:rsidP="001E1917">
      <w:pPr>
        <w:jc w:val="center"/>
        <w:rPr>
          <w:sz w:val="28"/>
          <w:szCs w:val="28"/>
        </w:rPr>
      </w:pPr>
      <w:r w:rsidRPr="00E45719">
        <w:rPr>
          <w:sz w:val="28"/>
          <w:szCs w:val="28"/>
        </w:rPr>
        <w:t xml:space="preserve">Studijų </w:t>
      </w:r>
      <w:r>
        <w:rPr>
          <w:sz w:val="28"/>
          <w:szCs w:val="28"/>
        </w:rPr>
        <w:t>modulio</w:t>
      </w:r>
    </w:p>
    <w:p w14:paraId="1542405F" w14:textId="56D2ACFA" w:rsidR="001E1917" w:rsidRDefault="001E1917" w:rsidP="001E1917">
      <w:pPr>
        <w:jc w:val="center"/>
        <w:rPr>
          <w:sz w:val="28"/>
          <w:szCs w:val="28"/>
        </w:rPr>
      </w:pPr>
      <w:r>
        <w:rPr>
          <w:sz w:val="28"/>
          <w:szCs w:val="28"/>
        </w:rPr>
        <w:t>P160M132</w:t>
      </w:r>
      <w:r w:rsidRPr="00E45719">
        <w:rPr>
          <w:sz w:val="28"/>
          <w:szCs w:val="28"/>
        </w:rPr>
        <w:t xml:space="preserve"> </w:t>
      </w:r>
      <w:r>
        <w:rPr>
          <w:sz w:val="28"/>
          <w:szCs w:val="28"/>
        </w:rPr>
        <w:t>DIDŽIŲJŲ DUOMENŲ RINKINIŲ TYRYBOS METODAI</w:t>
      </w:r>
    </w:p>
    <w:p w14:paraId="5A31A082" w14:textId="3CE77CA2" w:rsidR="001E1917" w:rsidRDefault="001E1917" w:rsidP="001E1917">
      <w:pPr>
        <w:jc w:val="center"/>
        <w:rPr>
          <w:sz w:val="28"/>
          <w:szCs w:val="28"/>
        </w:rPr>
      </w:pPr>
    </w:p>
    <w:p w14:paraId="17A531CA" w14:textId="3773CB2E" w:rsidR="001E1917" w:rsidRDefault="001E1917" w:rsidP="001E1917">
      <w:pPr>
        <w:jc w:val="center"/>
        <w:rPr>
          <w:sz w:val="28"/>
          <w:szCs w:val="28"/>
        </w:rPr>
      </w:pPr>
    </w:p>
    <w:p w14:paraId="70467169" w14:textId="5979B0D8" w:rsidR="001E1917" w:rsidRDefault="001E1917" w:rsidP="001E1917">
      <w:pPr>
        <w:jc w:val="center"/>
        <w:rPr>
          <w:sz w:val="28"/>
          <w:szCs w:val="28"/>
        </w:rPr>
      </w:pPr>
    </w:p>
    <w:p w14:paraId="2C82374C" w14:textId="77777777" w:rsidR="001E1917" w:rsidRPr="00E45719" w:rsidRDefault="001E1917" w:rsidP="001E1917">
      <w:pPr>
        <w:jc w:val="center"/>
        <w:rPr>
          <w:sz w:val="28"/>
          <w:szCs w:val="28"/>
        </w:rPr>
      </w:pP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16A03BE4" w:rsidR="007A3F55" w:rsidRPr="00BB41F5" w:rsidRDefault="001E1917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Darbą parengė:</w:t>
            </w:r>
          </w:p>
          <w:p w14:paraId="60CD23F1" w14:textId="77777777" w:rsidR="001E1917" w:rsidRDefault="001E1917" w:rsidP="008372B6">
            <w:pPr>
              <w:spacing w:before="120" w:after="120" w:line="240" w:lineRule="auto"/>
            </w:pPr>
            <w:r>
              <w:t>Anatolijus Nachumovas</w:t>
            </w:r>
          </w:p>
          <w:p w14:paraId="10B72A53" w14:textId="77777777" w:rsidR="001E1917" w:rsidRDefault="001E1917" w:rsidP="008372B6">
            <w:pPr>
              <w:spacing w:before="120" w:after="120" w:line="240" w:lineRule="auto"/>
            </w:pPr>
            <w:r>
              <w:t>Martynas Ragaišis</w:t>
            </w:r>
          </w:p>
          <w:p w14:paraId="5DDF748A" w14:textId="77777777" w:rsidR="00181DFF" w:rsidRDefault="00181DFF" w:rsidP="00181DFF">
            <w:pPr>
              <w:spacing w:before="120" w:after="120" w:line="240" w:lineRule="auto"/>
            </w:pPr>
            <w:r>
              <w:t>Ugnė Butkutė</w:t>
            </w:r>
          </w:p>
          <w:p w14:paraId="081927CF" w14:textId="0F0A143D" w:rsidR="00181DFF" w:rsidRPr="00BA2E0F" w:rsidRDefault="00181DFF" w:rsidP="008372B6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181DFF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FAE5519" w:rsidR="007A3F55" w:rsidRPr="00181DFF" w:rsidRDefault="00181DFF" w:rsidP="007A3F55">
            <w:pPr>
              <w:spacing w:line="240" w:lineRule="auto"/>
              <w:jc w:val="left"/>
              <w:rPr>
                <w:b/>
              </w:rPr>
            </w:pPr>
            <w:r w:rsidRPr="00181DFF">
              <w:rPr>
                <w:b/>
              </w:rPr>
              <w:t>Darbą priėmė:</w:t>
            </w:r>
          </w:p>
          <w:p w14:paraId="2A907D61" w14:textId="3AB65ACE" w:rsidR="007A3F55" w:rsidRPr="00181DFF" w:rsidRDefault="00181DFF" w:rsidP="00181DFF">
            <w:pPr>
              <w:spacing w:before="120" w:after="120" w:line="240" w:lineRule="auto"/>
            </w:pPr>
            <w:r w:rsidRPr="00181DFF">
              <w:t>lekt. D. Aliulis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3C1BC266" w:rsidR="008F247E" w:rsidRPr="00BB41F5" w:rsidRDefault="001E1917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Vilnius,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" fillcolor="window" stroked="f" strokeweight=".5pt">
                <v:textbox>
                  <w:txbxContent>
                    <w:p w14:paraId="5C2F9E72" w14:textId="3C1BC266" w:rsidR="008F247E" w:rsidRPr="00BB41F5" w:rsidRDefault="001E1917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Vilnius,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id w:val="13599993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lt-LT"/>
        </w:rPr>
      </w:sdtEndPr>
      <w:sdtContent>
        <w:p w14:paraId="7A7ECC46" w14:textId="53F2E6A9" w:rsidR="00695128" w:rsidRDefault="00695128">
          <w:pPr>
            <w:pStyle w:val="TOCHeading"/>
          </w:pPr>
          <w:r>
            <w:t>Contents</w:t>
          </w:r>
        </w:p>
        <w:p w14:paraId="37EB2637" w14:textId="277DB69E" w:rsidR="00882BBC" w:rsidRDefault="00695128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19481" w:history="1">
            <w:r w:rsidR="00882BBC" w:rsidRPr="00790DB4">
              <w:rPr>
                <w:rStyle w:val="Hyperlink"/>
              </w:rPr>
              <w:t>1.</w:t>
            </w:r>
            <w:r w:rsidR="00882BB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US"/>
              </w:rPr>
              <w:tab/>
            </w:r>
            <w:r w:rsidR="00882BBC" w:rsidRPr="00790DB4">
              <w:rPr>
                <w:rStyle w:val="Hyperlink"/>
              </w:rPr>
              <w:t>Duomenų rinkinio žvalgomoji analizė</w:t>
            </w:r>
            <w:r w:rsidR="00882BBC">
              <w:rPr>
                <w:webHidden/>
              </w:rPr>
              <w:tab/>
            </w:r>
            <w:r w:rsidR="00882BBC">
              <w:rPr>
                <w:webHidden/>
              </w:rPr>
              <w:fldChar w:fldCharType="begin"/>
            </w:r>
            <w:r w:rsidR="00882BBC">
              <w:rPr>
                <w:webHidden/>
              </w:rPr>
              <w:instrText xml:space="preserve"> PAGEREF _Toc24919481 \h </w:instrText>
            </w:r>
            <w:r w:rsidR="00882BBC">
              <w:rPr>
                <w:webHidden/>
              </w:rPr>
            </w:r>
            <w:r w:rsidR="00882BBC">
              <w:rPr>
                <w:webHidden/>
              </w:rPr>
              <w:fldChar w:fldCharType="separate"/>
            </w:r>
            <w:r w:rsidR="00882BBC">
              <w:rPr>
                <w:webHidden/>
              </w:rPr>
              <w:t>4</w:t>
            </w:r>
            <w:r w:rsidR="00882BBC">
              <w:rPr>
                <w:webHidden/>
              </w:rPr>
              <w:fldChar w:fldCharType="end"/>
            </w:r>
          </w:hyperlink>
        </w:p>
        <w:p w14:paraId="5325DBEE" w14:textId="5F15EB64" w:rsidR="00882BBC" w:rsidRDefault="00882BB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24919482" w:history="1">
            <w:r w:rsidRPr="00790DB4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90DB4">
              <w:rPr>
                <w:rStyle w:val="Hyperlink"/>
              </w:rPr>
              <w:t>Duomenų eliminavimas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_Toc24919482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730C08" w14:textId="7522044B" w:rsidR="00882BBC" w:rsidRDefault="00882BBC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24919483" w:history="1">
            <w:r w:rsidRPr="00790DB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US"/>
              </w:rPr>
              <w:tab/>
            </w:r>
            <w:r w:rsidRPr="00790DB4">
              <w:rPr>
                <w:rStyle w:val="Hyperlink"/>
              </w:rPr>
              <w:t>Atrinktų duomenų klasterizavimas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_Toc24919483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A16F30" w14:textId="55357693" w:rsidR="00882BBC" w:rsidRDefault="00882BB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24919484" w:history="1">
            <w:r w:rsidRPr="00790DB4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90DB4">
              <w:rPr>
                <w:rStyle w:val="Hyperlink"/>
              </w:rPr>
              <w:t>Duomenų apžvalga prieš klasterizavimą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_Toc24919484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336E03" w14:textId="0A9DE895" w:rsidR="00882BBC" w:rsidRDefault="00882BB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24919485" w:history="1">
            <w:r w:rsidRPr="00790DB4">
              <w:rPr>
                <w:rStyle w:val="Hyperlink"/>
                <w:lang w:val="en-US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90DB4">
              <w:rPr>
                <w:rStyle w:val="Hyperlink"/>
                <w:lang w:val="en-US"/>
              </w:rPr>
              <w:t>Duomenų klasterizavimas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_Toc24919485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10404F" w14:textId="380CD122" w:rsidR="00882BBC" w:rsidRDefault="00882BBC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24919486" w:history="1">
            <w:r w:rsidRPr="00790DB4">
              <w:rPr>
                <w:rStyle w:val="Hyperlink"/>
              </w:rPr>
              <w:t>Išvados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_Toc24919486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7FDAA9" w14:textId="268086AC" w:rsidR="00882BBC" w:rsidRDefault="00882BBC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24919487" w:history="1">
            <w:r w:rsidRPr="00790DB4">
              <w:rPr>
                <w:rStyle w:val="Hyperlink"/>
              </w:rPr>
              <w:t>Literatūros sąrašas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_Toc24919487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6F9941" w14:textId="20495268" w:rsidR="00695128" w:rsidRDefault="00695128">
          <w:r>
            <w:rPr>
              <w:b/>
              <w:bCs/>
              <w:noProof/>
            </w:rPr>
            <w:fldChar w:fldCharType="end"/>
          </w:r>
        </w:p>
      </w:sdtContent>
    </w:sdt>
    <w:p w14:paraId="19C825E7" w14:textId="078C3949" w:rsidR="001467DB" w:rsidRDefault="001467DB" w:rsidP="00C53805">
      <w:pPr>
        <w:pStyle w:val="TOC1"/>
      </w:pPr>
    </w:p>
    <w:p w14:paraId="2E62D474" w14:textId="41343A6A" w:rsidR="00086029" w:rsidRDefault="00086029" w:rsidP="00197E84">
      <w:pPr>
        <w:pStyle w:val="Style4"/>
      </w:pPr>
      <w:r>
        <w:br w:type="page"/>
      </w:r>
      <w:bookmarkStart w:id="2" w:name="_GoBack"/>
      <w:bookmarkEnd w:id="2"/>
    </w:p>
    <w:p w14:paraId="27C6B609" w14:textId="77777777" w:rsidR="000A5E5C" w:rsidRPr="000A5E5C" w:rsidRDefault="000A5E5C" w:rsidP="00695128">
      <w:pPr>
        <w:pStyle w:val="Antratnon-TOC"/>
      </w:pPr>
      <w:r w:rsidRPr="000A5E5C">
        <w:lastRenderedPageBreak/>
        <w:t xml:space="preserve">DARBO TIKSLAS </w:t>
      </w:r>
    </w:p>
    <w:p w14:paraId="224E4B4F" w14:textId="77777777" w:rsidR="000A5E5C" w:rsidRPr="000A5E5C" w:rsidRDefault="000A5E5C" w:rsidP="000A5E5C">
      <w:pPr>
        <w:pStyle w:val="Default"/>
        <w:spacing w:line="360" w:lineRule="auto"/>
        <w:jc w:val="both"/>
      </w:pPr>
    </w:p>
    <w:p w14:paraId="0D422E32" w14:textId="3A8F30C2" w:rsidR="000A5E5C" w:rsidRPr="000A5E5C" w:rsidRDefault="000A5E5C" w:rsidP="000A5E5C">
      <w:pPr>
        <w:pStyle w:val="Default"/>
        <w:spacing w:line="360" w:lineRule="auto"/>
        <w:jc w:val="both"/>
      </w:pPr>
      <w:proofErr w:type="spellStart"/>
      <w:r w:rsidRPr="000A5E5C">
        <w:t>Panaudojus</w:t>
      </w:r>
      <w:proofErr w:type="spellEnd"/>
      <w:r w:rsidRPr="000A5E5C">
        <w:t xml:space="preserve"> </w:t>
      </w:r>
      <w:proofErr w:type="spellStart"/>
      <w:r w:rsidRPr="000A5E5C">
        <w:t>išmoktus</w:t>
      </w:r>
      <w:proofErr w:type="spellEnd"/>
      <w:r w:rsidRPr="000A5E5C">
        <w:t xml:space="preserve"> </w:t>
      </w: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tyrybos</w:t>
      </w:r>
      <w:proofErr w:type="spellEnd"/>
      <w:r w:rsidRPr="000A5E5C">
        <w:t xml:space="preserve"> </w:t>
      </w:r>
      <w:proofErr w:type="spellStart"/>
      <w:r w:rsidRPr="000A5E5C">
        <w:t>metodus</w:t>
      </w:r>
      <w:proofErr w:type="spellEnd"/>
      <w:r w:rsidRPr="000A5E5C">
        <w:t xml:space="preserve"> </w:t>
      </w:r>
      <w:proofErr w:type="spellStart"/>
      <w:r w:rsidRPr="000A5E5C">
        <w:t>ir</w:t>
      </w:r>
      <w:proofErr w:type="spellEnd"/>
      <w:r w:rsidRPr="000A5E5C">
        <w:t xml:space="preserve"> Apache Spark </w:t>
      </w:r>
      <w:proofErr w:type="spellStart"/>
      <w:r w:rsidRPr="000A5E5C">
        <w:t>bei</w:t>
      </w:r>
      <w:proofErr w:type="spellEnd"/>
      <w:r w:rsidRPr="000A5E5C">
        <w:t xml:space="preserve"> Python </w:t>
      </w:r>
      <w:proofErr w:type="spellStart"/>
      <w:r w:rsidRPr="000A5E5C">
        <w:t>programines</w:t>
      </w:r>
      <w:proofErr w:type="spellEnd"/>
      <w:r w:rsidRPr="000A5E5C">
        <w:t xml:space="preserve"> </w:t>
      </w:r>
      <w:proofErr w:type="spellStart"/>
      <w:r w:rsidRPr="000A5E5C">
        <w:t>priemones</w:t>
      </w:r>
      <w:proofErr w:type="spellEnd"/>
      <w:r w:rsidRPr="000A5E5C">
        <w:t xml:space="preserve">, </w:t>
      </w:r>
      <w:proofErr w:type="spellStart"/>
      <w:r w:rsidRPr="000A5E5C">
        <w:t>sudaryti</w:t>
      </w:r>
      <w:proofErr w:type="spellEnd"/>
      <w:r w:rsidRPr="000A5E5C">
        <w:t xml:space="preserve"> </w:t>
      </w:r>
      <w:proofErr w:type="spellStart"/>
      <w:r w:rsidRPr="000A5E5C">
        <w:t>mobilaus</w:t>
      </w:r>
      <w:proofErr w:type="spellEnd"/>
      <w:r w:rsidRPr="000A5E5C">
        <w:t xml:space="preserve"> </w:t>
      </w:r>
      <w:proofErr w:type="spellStart"/>
      <w:r w:rsidRPr="000A5E5C">
        <w:t>ryšio</w:t>
      </w:r>
      <w:proofErr w:type="spellEnd"/>
      <w:r w:rsidRPr="000A5E5C">
        <w:t xml:space="preserve"> </w:t>
      </w:r>
      <w:proofErr w:type="spellStart"/>
      <w:r w:rsidRPr="000A5E5C">
        <w:t>operatoriaus</w:t>
      </w:r>
      <w:proofErr w:type="spellEnd"/>
      <w:r w:rsidRPr="000A5E5C">
        <w:t xml:space="preserve"> </w:t>
      </w:r>
      <w:proofErr w:type="spellStart"/>
      <w:r w:rsidRPr="000A5E5C">
        <w:t>klientų</w:t>
      </w:r>
      <w:proofErr w:type="spellEnd"/>
      <w:r w:rsidRPr="000A5E5C">
        <w:t xml:space="preserve"> </w:t>
      </w:r>
      <w:proofErr w:type="spellStart"/>
      <w:r w:rsidRPr="000A5E5C">
        <w:t>segmentavimo</w:t>
      </w:r>
      <w:proofErr w:type="spellEnd"/>
      <w:r w:rsidRPr="000A5E5C">
        <w:t xml:space="preserve"> </w:t>
      </w:r>
      <w:proofErr w:type="spellStart"/>
      <w:r w:rsidRPr="000A5E5C">
        <w:t>ir</w:t>
      </w:r>
      <w:proofErr w:type="spellEnd"/>
      <w:r w:rsidRPr="000A5E5C">
        <w:t xml:space="preserve"> </w:t>
      </w:r>
      <w:proofErr w:type="spellStart"/>
      <w:r w:rsidRPr="000A5E5C">
        <w:t>klientų</w:t>
      </w:r>
      <w:proofErr w:type="spellEnd"/>
      <w:r w:rsidRPr="000A5E5C">
        <w:t xml:space="preserve"> </w:t>
      </w:r>
      <w:proofErr w:type="spellStart"/>
      <w:r w:rsidRPr="000A5E5C">
        <w:t>praradimo</w:t>
      </w:r>
      <w:proofErr w:type="spellEnd"/>
      <w:r w:rsidRPr="000A5E5C">
        <w:t xml:space="preserve"> </w:t>
      </w:r>
      <w:proofErr w:type="spellStart"/>
      <w:r w:rsidRPr="000A5E5C">
        <w:t>prognozavimo</w:t>
      </w:r>
      <w:proofErr w:type="spellEnd"/>
      <w:r w:rsidRPr="000A5E5C">
        <w:t xml:space="preserve"> </w:t>
      </w:r>
      <w:proofErr w:type="spellStart"/>
      <w:r w:rsidRPr="000A5E5C">
        <w:t>modelius</w:t>
      </w:r>
      <w:proofErr w:type="spellEnd"/>
      <w:r w:rsidRPr="000A5E5C">
        <w:t xml:space="preserve">. </w:t>
      </w:r>
      <w:proofErr w:type="spellStart"/>
      <w:r w:rsidRPr="000A5E5C">
        <w:t>Atlikti</w:t>
      </w:r>
      <w:proofErr w:type="spellEnd"/>
      <w:r w:rsidRPr="000A5E5C">
        <w:t xml:space="preserve"> </w:t>
      </w:r>
      <w:proofErr w:type="spellStart"/>
      <w:r w:rsidRPr="000A5E5C">
        <w:t>žvalgomosios</w:t>
      </w:r>
      <w:proofErr w:type="spellEnd"/>
      <w:r w:rsidRPr="000A5E5C">
        <w:t xml:space="preserve"> </w:t>
      </w: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analizės</w:t>
      </w:r>
      <w:proofErr w:type="spellEnd"/>
      <w:r w:rsidRPr="000A5E5C">
        <w:t xml:space="preserve">, </w:t>
      </w:r>
      <w:proofErr w:type="spellStart"/>
      <w:r w:rsidRPr="000A5E5C">
        <w:t>modeliavimo</w:t>
      </w:r>
      <w:proofErr w:type="spellEnd"/>
      <w:r w:rsidRPr="000A5E5C">
        <w:t xml:space="preserve">, </w:t>
      </w:r>
      <w:proofErr w:type="spellStart"/>
      <w:r w:rsidRPr="000A5E5C">
        <w:t>modelių</w:t>
      </w:r>
      <w:proofErr w:type="spellEnd"/>
      <w:r w:rsidRPr="000A5E5C">
        <w:t xml:space="preserve"> </w:t>
      </w:r>
      <w:proofErr w:type="spellStart"/>
      <w:r w:rsidRPr="000A5E5C">
        <w:t>įvertinimo</w:t>
      </w:r>
      <w:proofErr w:type="spellEnd"/>
      <w:r w:rsidRPr="000A5E5C">
        <w:t xml:space="preserve"> </w:t>
      </w:r>
      <w:proofErr w:type="spellStart"/>
      <w:r w:rsidRPr="000A5E5C">
        <w:t>programinę</w:t>
      </w:r>
      <w:proofErr w:type="spellEnd"/>
      <w:r w:rsidRPr="000A5E5C">
        <w:t xml:space="preserve"> </w:t>
      </w:r>
      <w:proofErr w:type="spellStart"/>
      <w:r w:rsidRPr="000A5E5C">
        <w:t>realizaciją</w:t>
      </w:r>
      <w:proofErr w:type="spellEnd"/>
      <w:r w:rsidRPr="000A5E5C">
        <w:t xml:space="preserve">. </w:t>
      </w:r>
      <w:proofErr w:type="spellStart"/>
      <w:r w:rsidRPr="000A5E5C">
        <w:t>Parengti</w:t>
      </w:r>
      <w:proofErr w:type="spellEnd"/>
      <w:r w:rsidRPr="000A5E5C">
        <w:t xml:space="preserve"> </w:t>
      </w: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tyrybos</w:t>
      </w:r>
      <w:proofErr w:type="spellEnd"/>
      <w:r w:rsidRPr="000A5E5C">
        <w:t xml:space="preserve"> </w:t>
      </w:r>
      <w:proofErr w:type="spellStart"/>
      <w:r w:rsidRPr="000A5E5C">
        <w:t>rezultatų</w:t>
      </w:r>
      <w:proofErr w:type="spellEnd"/>
      <w:r w:rsidRPr="000A5E5C">
        <w:t xml:space="preserve"> </w:t>
      </w:r>
      <w:proofErr w:type="spellStart"/>
      <w:r w:rsidRPr="000A5E5C">
        <w:t>aiškinamąjį</w:t>
      </w:r>
      <w:proofErr w:type="spellEnd"/>
      <w:r w:rsidRPr="000A5E5C">
        <w:t xml:space="preserve"> </w:t>
      </w:r>
      <w:proofErr w:type="spellStart"/>
      <w:r w:rsidRPr="000A5E5C">
        <w:t>raštą</w:t>
      </w:r>
      <w:proofErr w:type="spellEnd"/>
      <w:r w:rsidRPr="000A5E5C">
        <w:t xml:space="preserve"> </w:t>
      </w:r>
      <w:proofErr w:type="spellStart"/>
      <w:r w:rsidRPr="000A5E5C">
        <w:t>su</w:t>
      </w:r>
      <w:proofErr w:type="spellEnd"/>
      <w:r w:rsidRPr="000A5E5C">
        <w:t xml:space="preserve"> </w:t>
      </w:r>
      <w:proofErr w:type="spellStart"/>
      <w:r w:rsidRPr="000A5E5C">
        <w:t>išvadomis</w:t>
      </w:r>
      <w:proofErr w:type="spellEnd"/>
      <w:r w:rsidRPr="000A5E5C">
        <w:t xml:space="preserve">. </w:t>
      </w:r>
    </w:p>
    <w:p w14:paraId="3EF2ED1C" w14:textId="2128D655" w:rsidR="000A5E5C" w:rsidRPr="000A5E5C" w:rsidRDefault="000A5E5C" w:rsidP="00695128">
      <w:pPr>
        <w:pStyle w:val="Antratnon-TOC"/>
      </w:pPr>
      <w:r w:rsidRPr="000A5E5C">
        <w:t xml:space="preserve">DUOMENYS </w:t>
      </w:r>
    </w:p>
    <w:p w14:paraId="283C4DF1" w14:textId="77777777" w:rsidR="000A5E5C" w:rsidRPr="000A5E5C" w:rsidRDefault="000A5E5C" w:rsidP="000A5E5C">
      <w:pPr>
        <w:pStyle w:val="Default"/>
        <w:spacing w:line="360" w:lineRule="auto"/>
        <w:jc w:val="both"/>
      </w:pPr>
    </w:p>
    <w:p w14:paraId="087F26D0" w14:textId="1F7D6299" w:rsidR="000A5E5C" w:rsidRPr="000A5E5C" w:rsidRDefault="000A5E5C" w:rsidP="000A5E5C">
      <w:pPr>
        <w:pStyle w:val="Default"/>
        <w:spacing w:line="360" w:lineRule="auto"/>
        <w:jc w:val="both"/>
      </w:pP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rinkiniai</w:t>
      </w:r>
      <w:proofErr w:type="spellEnd"/>
      <w:r w:rsidRPr="000A5E5C">
        <w:t xml:space="preserve"> </w:t>
      </w:r>
      <w:proofErr w:type="spellStart"/>
      <w:r w:rsidRPr="000A5E5C">
        <w:t>pateikti</w:t>
      </w:r>
      <w:proofErr w:type="spellEnd"/>
      <w:r w:rsidRPr="000A5E5C">
        <w:t xml:space="preserve"> Moodle </w:t>
      </w:r>
      <w:proofErr w:type="spellStart"/>
      <w:r w:rsidRPr="000A5E5C">
        <w:t>sistemoje</w:t>
      </w:r>
      <w:proofErr w:type="spellEnd"/>
      <w:r w:rsidRPr="000A5E5C">
        <w:t xml:space="preserve"> </w:t>
      </w:r>
      <w:proofErr w:type="spellStart"/>
      <w:r w:rsidRPr="000A5E5C">
        <w:t>nurodytu</w:t>
      </w:r>
      <w:proofErr w:type="spellEnd"/>
      <w:r w:rsidRPr="000A5E5C">
        <w:t xml:space="preserve"> </w:t>
      </w:r>
      <w:proofErr w:type="spellStart"/>
      <w:r w:rsidRPr="000A5E5C">
        <w:t>adresu</w:t>
      </w:r>
      <w:proofErr w:type="spellEnd"/>
      <w:r w:rsidRPr="000A5E5C">
        <w:t xml:space="preserve">. </w:t>
      </w: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rinkinį</w:t>
      </w:r>
      <w:proofErr w:type="spellEnd"/>
      <w:r w:rsidRPr="000A5E5C">
        <w:t xml:space="preserve"> </w:t>
      </w:r>
      <w:proofErr w:type="spellStart"/>
      <w:r w:rsidRPr="000A5E5C">
        <w:t>kiekvienam</w:t>
      </w:r>
      <w:proofErr w:type="spellEnd"/>
      <w:r w:rsidRPr="000A5E5C">
        <w:t xml:space="preserve"> </w:t>
      </w:r>
      <w:proofErr w:type="spellStart"/>
      <w:r w:rsidRPr="000A5E5C">
        <w:t>studentui</w:t>
      </w:r>
      <w:proofErr w:type="spellEnd"/>
      <w:r w:rsidRPr="000A5E5C">
        <w:t xml:space="preserve"> </w:t>
      </w:r>
      <w:proofErr w:type="spellStart"/>
      <w:r w:rsidRPr="000A5E5C">
        <w:t>sudaro</w:t>
      </w:r>
      <w:proofErr w:type="spellEnd"/>
      <w:r w:rsidRPr="000A5E5C">
        <w:t xml:space="preserve"> 2 </w:t>
      </w:r>
      <w:proofErr w:type="spellStart"/>
      <w:r w:rsidRPr="000A5E5C">
        <w:t>failai</w:t>
      </w:r>
      <w:proofErr w:type="spellEnd"/>
      <w:r w:rsidRPr="000A5E5C">
        <w:t xml:space="preserve">: </w:t>
      </w:r>
    </w:p>
    <w:p w14:paraId="1100B2A9" w14:textId="77777777" w:rsidR="000A5E5C" w:rsidRPr="000A5E5C" w:rsidRDefault="000A5E5C" w:rsidP="000A5E5C">
      <w:pPr>
        <w:pStyle w:val="Default"/>
        <w:spacing w:after="169" w:line="360" w:lineRule="auto"/>
        <w:jc w:val="both"/>
      </w:pPr>
      <w:r w:rsidRPr="000A5E5C">
        <w:t xml:space="preserve">1. </w:t>
      </w:r>
      <w:proofErr w:type="spellStart"/>
      <w:proofErr w:type="gramStart"/>
      <w:r w:rsidRPr="000A5E5C">
        <w:rPr>
          <w:rFonts w:ascii="Courier New" w:hAnsi="Courier New" w:cs="Courier New"/>
        </w:rPr>
        <w:t>customer_usage</w:t>
      </w:r>
      <w:proofErr w:type="spellEnd"/>
      <w:proofErr w:type="gramEnd"/>
      <w:r w:rsidRPr="000A5E5C">
        <w:rPr>
          <w:rFonts w:ascii="Courier New" w:hAnsi="Courier New" w:cs="Courier New"/>
        </w:rPr>
        <w:t>_</w:t>
      </w:r>
      <w:r w:rsidRPr="000A5E5C">
        <w:rPr>
          <w:rFonts w:ascii="Courier New" w:hAnsi="Courier New" w:cs="Courier New"/>
          <w:b/>
          <w:bCs/>
        </w:rPr>
        <w:t>&lt;</w:t>
      </w:r>
      <w:proofErr w:type="spellStart"/>
      <w:r w:rsidRPr="000A5E5C">
        <w:rPr>
          <w:rFonts w:ascii="Courier New" w:hAnsi="Courier New" w:cs="Courier New"/>
          <w:b/>
          <w:bCs/>
        </w:rPr>
        <w:t>varianto_nr</w:t>
      </w:r>
      <w:proofErr w:type="spellEnd"/>
      <w:r w:rsidRPr="000A5E5C">
        <w:rPr>
          <w:rFonts w:ascii="Courier New" w:hAnsi="Courier New" w:cs="Courier New"/>
          <w:b/>
          <w:bCs/>
        </w:rPr>
        <w:t>&gt;</w:t>
      </w:r>
      <w:r w:rsidRPr="000A5E5C">
        <w:rPr>
          <w:rFonts w:ascii="Courier New" w:hAnsi="Courier New" w:cs="Courier New"/>
        </w:rPr>
        <w:t xml:space="preserve">.csv </w:t>
      </w:r>
      <w:r w:rsidRPr="000A5E5C">
        <w:t xml:space="preserve">– </w:t>
      </w:r>
      <w:proofErr w:type="spellStart"/>
      <w:r w:rsidRPr="000A5E5C">
        <w:t>agreguoti</w:t>
      </w:r>
      <w:proofErr w:type="spellEnd"/>
      <w:r w:rsidRPr="000A5E5C">
        <w:t xml:space="preserve"> </w:t>
      </w:r>
      <w:proofErr w:type="spellStart"/>
      <w:r w:rsidRPr="000A5E5C">
        <w:t>vartotojų</w:t>
      </w:r>
      <w:proofErr w:type="spellEnd"/>
      <w:r w:rsidRPr="000A5E5C">
        <w:t xml:space="preserve"> </w:t>
      </w:r>
      <w:proofErr w:type="spellStart"/>
      <w:r w:rsidRPr="000A5E5C">
        <w:t>birželio-rugpjūčio</w:t>
      </w:r>
      <w:proofErr w:type="spellEnd"/>
      <w:r w:rsidRPr="000A5E5C">
        <w:t xml:space="preserve"> </w:t>
      </w:r>
      <w:proofErr w:type="spellStart"/>
      <w:r w:rsidRPr="000A5E5C">
        <w:t>mėnesių</w:t>
      </w:r>
      <w:proofErr w:type="spellEnd"/>
      <w:r w:rsidRPr="000A5E5C">
        <w:t xml:space="preserve"> </w:t>
      </w:r>
      <w:proofErr w:type="spellStart"/>
      <w:r w:rsidRPr="000A5E5C">
        <w:t>paslaugų</w:t>
      </w:r>
      <w:proofErr w:type="spellEnd"/>
      <w:r w:rsidRPr="000A5E5C">
        <w:t xml:space="preserve"> </w:t>
      </w:r>
      <w:proofErr w:type="spellStart"/>
      <w:r w:rsidRPr="000A5E5C">
        <w:t>vartojimo</w:t>
      </w:r>
      <w:proofErr w:type="spellEnd"/>
      <w:r w:rsidRPr="000A5E5C">
        <w:t xml:space="preserve"> </w:t>
      </w:r>
      <w:proofErr w:type="spellStart"/>
      <w:r w:rsidRPr="000A5E5C">
        <w:t>duomenys</w:t>
      </w:r>
      <w:proofErr w:type="spellEnd"/>
      <w:r w:rsidRPr="000A5E5C">
        <w:t xml:space="preserve">. </w:t>
      </w:r>
      <w:proofErr w:type="spellStart"/>
      <w:r w:rsidRPr="000A5E5C">
        <w:t>Kintamasis</w:t>
      </w:r>
      <w:proofErr w:type="spellEnd"/>
      <w:r w:rsidRPr="000A5E5C">
        <w:t xml:space="preserve"> </w:t>
      </w:r>
      <w:proofErr w:type="spellStart"/>
      <w:r w:rsidRPr="000A5E5C">
        <w:rPr>
          <w:rFonts w:ascii="Courier New" w:hAnsi="Courier New" w:cs="Courier New"/>
        </w:rPr>
        <w:t>user_account_id</w:t>
      </w:r>
      <w:proofErr w:type="spellEnd"/>
      <w:r w:rsidRPr="000A5E5C">
        <w:rPr>
          <w:rFonts w:ascii="Courier New" w:hAnsi="Courier New" w:cs="Courier New"/>
        </w:rPr>
        <w:t xml:space="preserve"> </w:t>
      </w:r>
      <w:proofErr w:type="spellStart"/>
      <w:r w:rsidRPr="000A5E5C">
        <w:t>nurodo</w:t>
      </w:r>
      <w:proofErr w:type="spellEnd"/>
      <w:r w:rsidRPr="000A5E5C">
        <w:t xml:space="preserve"> </w:t>
      </w:r>
      <w:proofErr w:type="spellStart"/>
      <w:r w:rsidRPr="000A5E5C">
        <w:t>kliento</w:t>
      </w:r>
      <w:proofErr w:type="spellEnd"/>
      <w:r w:rsidRPr="000A5E5C">
        <w:t xml:space="preserve"> </w:t>
      </w:r>
      <w:proofErr w:type="spellStart"/>
      <w:r w:rsidRPr="000A5E5C">
        <w:t>identifikacinį</w:t>
      </w:r>
      <w:proofErr w:type="spellEnd"/>
      <w:r w:rsidRPr="000A5E5C">
        <w:t xml:space="preserve"> ID. </w:t>
      </w:r>
    </w:p>
    <w:p w14:paraId="62D2C09A" w14:textId="77777777" w:rsidR="000A5E5C" w:rsidRPr="000A5E5C" w:rsidRDefault="000A5E5C" w:rsidP="000A5E5C">
      <w:pPr>
        <w:pStyle w:val="Default"/>
        <w:spacing w:line="360" w:lineRule="auto"/>
        <w:jc w:val="both"/>
      </w:pPr>
      <w:r w:rsidRPr="000A5E5C">
        <w:t xml:space="preserve">2. </w:t>
      </w:r>
      <w:proofErr w:type="spellStart"/>
      <w:proofErr w:type="gramStart"/>
      <w:r w:rsidRPr="000A5E5C">
        <w:rPr>
          <w:rFonts w:ascii="Courier New" w:hAnsi="Courier New" w:cs="Courier New"/>
        </w:rPr>
        <w:t>customer_churners</w:t>
      </w:r>
      <w:proofErr w:type="spellEnd"/>
      <w:proofErr w:type="gramEnd"/>
      <w:r w:rsidRPr="000A5E5C">
        <w:rPr>
          <w:rFonts w:ascii="Courier New" w:hAnsi="Courier New" w:cs="Courier New"/>
        </w:rPr>
        <w:t>_</w:t>
      </w:r>
      <w:r w:rsidRPr="000A5E5C">
        <w:rPr>
          <w:rFonts w:ascii="Courier New" w:hAnsi="Courier New" w:cs="Courier New"/>
          <w:b/>
          <w:bCs/>
        </w:rPr>
        <w:t>&lt;</w:t>
      </w:r>
      <w:proofErr w:type="spellStart"/>
      <w:r w:rsidRPr="000A5E5C">
        <w:rPr>
          <w:rFonts w:ascii="Courier New" w:hAnsi="Courier New" w:cs="Courier New"/>
          <w:b/>
          <w:bCs/>
        </w:rPr>
        <w:t>varianto_nr</w:t>
      </w:r>
      <w:proofErr w:type="spellEnd"/>
      <w:r w:rsidRPr="000A5E5C">
        <w:rPr>
          <w:rFonts w:ascii="Courier New" w:hAnsi="Courier New" w:cs="Courier New"/>
          <w:b/>
          <w:bCs/>
        </w:rPr>
        <w:t>&gt;</w:t>
      </w:r>
      <w:r w:rsidRPr="000A5E5C">
        <w:rPr>
          <w:rFonts w:ascii="Courier New" w:hAnsi="Courier New" w:cs="Courier New"/>
        </w:rPr>
        <w:t xml:space="preserve">.csv </w:t>
      </w:r>
      <w:r w:rsidRPr="000A5E5C">
        <w:t xml:space="preserve">– </w:t>
      </w:r>
      <w:proofErr w:type="spellStart"/>
      <w:r w:rsidRPr="000A5E5C">
        <w:t>klientų</w:t>
      </w:r>
      <w:proofErr w:type="spellEnd"/>
      <w:r w:rsidRPr="000A5E5C">
        <w:t xml:space="preserve"> </w:t>
      </w:r>
      <w:proofErr w:type="spellStart"/>
      <w:r w:rsidRPr="000A5E5C">
        <w:t>praradimo</w:t>
      </w:r>
      <w:proofErr w:type="spellEnd"/>
      <w:r w:rsidRPr="000A5E5C">
        <w:t xml:space="preserve"> </w:t>
      </w:r>
      <w:proofErr w:type="spellStart"/>
      <w:r w:rsidRPr="000A5E5C">
        <w:t>istorija</w:t>
      </w:r>
      <w:proofErr w:type="spellEnd"/>
      <w:r w:rsidRPr="000A5E5C">
        <w:t xml:space="preserve">. </w:t>
      </w:r>
      <w:proofErr w:type="spellStart"/>
      <w:r w:rsidRPr="000A5E5C">
        <w:t>Kintamojo</w:t>
      </w:r>
      <w:proofErr w:type="spellEnd"/>
      <w:r w:rsidRPr="000A5E5C">
        <w:t xml:space="preserve"> </w:t>
      </w:r>
      <w:r w:rsidRPr="000A5E5C">
        <w:rPr>
          <w:rFonts w:ascii="Courier New" w:hAnsi="Courier New" w:cs="Courier New"/>
        </w:rPr>
        <w:t xml:space="preserve">churn </w:t>
      </w:r>
      <w:proofErr w:type="spellStart"/>
      <w:r w:rsidRPr="000A5E5C">
        <w:t>reikšmė</w:t>
      </w:r>
      <w:proofErr w:type="spellEnd"/>
      <w:r w:rsidRPr="000A5E5C">
        <w:t xml:space="preserve"> 1 </w:t>
      </w:r>
      <w:proofErr w:type="spellStart"/>
      <w:r w:rsidRPr="000A5E5C">
        <w:t>nurodo</w:t>
      </w:r>
      <w:proofErr w:type="spellEnd"/>
      <w:r w:rsidRPr="000A5E5C">
        <w:t xml:space="preserve">, </w:t>
      </w:r>
      <w:proofErr w:type="spellStart"/>
      <w:r w:rsidRPr="000A5E5C">
        <w:t>kad</w:t>
      </w:r>
      <w:proofErr w:type="spellEnd"/>
      <w:r w:rsidRPr="000A5E5C">
        <w:t xml:space="preserve"> </w:t>
      </w:r>
      <w:proofErr w:type="spellStart"/>
      <w:r w:rsidRPr="000A5E5C">
        <w:t>klientas</w:t>
      </w:r>
      <w:proofErr w:type="spellEnd"/>
      <w:r w:rsidRPr="000A5E5C">
        <w:t xml:space="preserve"> </w:t>
      </w:r>
      <w:proofErr w:type="spellStart"/>
      <w:r w:rsidRPr="000A5E5C">
        <w:t>rugsėjo</w:t>
      </w:r>
      <w:proofErr w:type="spellEnd"/>
      <w:r w:rsidRPr="000A5E5C">
        <w:t xml:space="preserve"> </w:t>
      </w:r>
      <w:proofErr w:type="spellStart"/>
      <w:r w:rsidRPr="000A5E5C">
        <w:t>mėnesį</w:t>
      </w:r>
      <w:proofErr w:type="spellEnd"/>
      <w:r w:rsidRPr="000A5E5C">
        <w:t xml:space="preserve"> </w:t>
      </w:r>
      <w:proofErr w:type="spellStart"/>
      <w:r w:rsidRPr="000A5E5C">
        <w:t>paliko</w:t>
      </w:r>
      <w:proofErr w:type="spellEnd"/>
      <w:r w:rsidRPr="000A5E5C">
        <w:t xml:space="preserve"> </w:t>
      </w:r>
      <w:proofErr w:type="spellStart"/>
      <w:r w:rsidRPr="000A5E5C">
        <w:t>kompaniją</w:t>
      </w:r>
      <w:proofErr w:type="spellEnd"/>
      <w:r w:rsidRPr="000A5E5C">
        <w:t xml:space="preserve">, 0 </w:t>
      </w:r>
      <w:proofErr w:type="spellStart"/>
      <w:r w:rsidRPr="000A5E5C">
        <w:t>reiškmė</w:t>
      </w:r>
      <w:proofErr w:type="spellEnd"/>
      <w:r w:rsidRPr="000A5E5C">
        <w:t xml:space="preserve"> </w:t>
      </w:r>
      <w:proofErr w:type="spellStart"/>
      <w:r w:rsidRPr="000A5E5C">
        <w:t>nurodo</w:t>
      </w:r>
      <w:proofErr w:type="spellEnd"/>
      <w:r w:rsidRPr="000A5E5C">
        <w:t xml:space="preserve">, </w:t>
      </w:r>
      <w:proofErr w:type="spellStart"/>
      <w:r w:rsidRPr="000A5E5C">
        <w:t>kad</w:t>
      </w:r>
      <w:proofErr w:type="spellEnd"/>
      <w:r w:rsidRPr="000A5E5C">
        <w:t xml:space="preserve"> </w:t>
      </w:r>
      <w:proofErr w:type="spellStart"/>
      <w:r w:rsidRPr="000A5E5C">
        <w:t>klientas</w:t>
      </w:r>
      <w:proofErr w:type="spellEnd"/>
      <w:r w:rsidRPr="000A5E5C">
        <w:t xml:space="preserve"> </w:t>
      </w:r>
      <w:proofErr w:type="spellStart"/>
      <w:r w:rsidRPr="000A5E5C">
        <w:t>toliau</w:t>
      </w:r>
      <w:proofErr w:type="spellEnd"/>
      <w:r w:rsidRPr="000A5E5C">
        <w:t xml:space="preserve"> </w:t>
      </w:r>
      <w:proofErr w:type="spellStart"/>
      <w:r w:rsidRPr="000A5E5C">
        <w:t>naudojosi</w:t>
      </w:r>
      <w:proofErr w:type="spellEnd"/>
      <w:r w:rsidRPr="000A5E5C">
        <w:t xml:space="preserve"> </w:t>
      </w:r>
      <w:proofErr w:type="spellStart"/>
      <w:r w:rsidRPr="000A5E5C">
        <w:t>paslaugomis</w:t>
      </w:r>
      <w:proofErr w:type="spellEnd"/>
      <w:r w:rsidRPr="000A5E5C">
        <w:t xml:space="preserve">. </w:t>
      </w:r>
    </w:p>
    <w:p w14:paraId="40F9EC01" w14:textId="77777777" w:rsidR="000A5E5C" w:rsidRPr="000A5E5C" w:rsidRDefault="000A5E5C" w:rsidP="00695128">
      <w:pPr>
        <w:pStyle w:val="Antratnon-TOC"/>
      </w:pPr>
      <w:r w:rsidRPr="000A5E5C">
        <w:t xml:space="preserve">UŽDUOTIS </w:t>
      </w:r>
    </w:p>
    <w:p w14:paraId="4EDFB289" w14:textId="5F18036A" w:rsidR="000A5E5C" w:rsidRPr="000A5E5C" w:rsidRDefault="000A5E5C" w:rsidP="000A5E5C">
      <w:pPr>
        <w:pStyle w:val="Default"/>
        <w:spacing w:after="69" w:line="360" w:lineRule="auto"/>
        <w:jc w:val="both"/>
      </w:pPr>
      <w:r w:rsidRPr="000A5E5C">
        <w:t xml:space="preserve">1. </w:t>
      </w:r>
      <w:proofErr w:type="spellStart"/>
      <w:r w:rsidRPr="000A5E5C">
        <w:t>Atlikti</w:t>
      </w:r>
      <w:proofErr w:type="spellEnd"/>
      <w:r w:rsidRPr="000A5E5C">
        <w:t xml:space="preserve"> </w:t>
      </w: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rinkinio</w:t>
      </w:r>
      <w:proofErr w:type="spellEnd"/>
      <w:r w:rsidRPr="000A5E5C">
        <w:t xml:space="preserve"> </w:t>
      </w:r>
      <w:proofErr w:type="spellStart"/>
      <w:r w:rsidRPr="000A5E5C">
        <w:t>žvalgomąją</w:t>
      </w:r>
      <w:proofErr w:type="spellEnd"/>
      <w:r w:rsidRPr="000A5E5C">
        <w:t xml:space="preserve"> </w:t>
      </w:r>
      <w:proofErr w:type="spellStart"/>
      <w:r w:rsidRPr="000A5E5C">
        <w:t>analizę</w:t>
      </w:r>
      <w:proofErr w:type="spellEnd"/>
      <w:r w:rsidRPr="000A5E5C">
        <w:t xml:space="preserve">. </w:t>
      </w:r>
    </w:p>
    <w:p w14:paraId="76D1193E" w14:textId="77777777" w:rsidR="000A5E5C" w:rsidRPr="000A5E5C" w:rsidRDefault="000A5E5C" w:rsidP="000A5E5C">
      <w:pPr>
        <w:pStyle w:val="Default"/>
        <w:spacing w:after="69" w:line="360" w:lineRule="auto"/>
        <w:jc w:val="both"/>
      </w:pPr>
      <w:r w:rsidRPr="000A5E5C">
        <w:t xml:space="preserve">2. </w:t>
      </w:r>
      <w:proofErr w:type="spellStart"/>
      <w:r w:rsidRPr="000A5E5C">
        <w:t>Panaudojus</w:t>
      </w:r>
      <w:proofErr w:type="spellEnd"/>
      <w:r w:rsidRPr="000A5E5C">
        <w:t xml:space="preserve"> </w:t>
      </w:r>
      <w:proofErr w:type="spellStart"/>
      <w:r w:rsidRPr="000A5E5C">
        <w:t>duomenų</w:t>
      </w:r>
      <w:proofErr w:type="spellEnd"/>
      <w:r w:rsidRPr="000A5E5C">
        <w:t xml:space="preserve"> </w:t>
      </w:r>
      <w:proofErr w:type="spellStart"/>
      <w:r w:rsidRPr="000A5E5C">
        <w:t>kokybės</w:t>
      </w:r>
      <w:proofErr w:type="spellEnd"/>
      <w:r w:rsidRPr="000A5E5C">
        <w:t xml:space="preserve"> </w:t>
      </w:r>
      <w:proofErr w:type="spellStart"/>
      <w:r w:rsidRPr="000A5E5C">
        <w:t>gerinimo</w:t>
      </w:r>
      <w:proofErr w:type="spellEnd"/>
      <w:r w:rsidRPr="000A5E5C">
        <w:t xml:space="preserve"> </w:t>
      </w:r>
      <w:proofErr w:type="spellStart"/>
      <w:r w:rsidRPr="000A5E5C">
        <w:t>ir</w:t>
      </w:r>
      <w:proofErr w:type="spellEnd"/>
      <w:r w:rsidRPr="000A5E5C">
        <w:t xml:space="preserve"> K–</w:t>
      </w:r>
      <w:proofErr w:type="spellStart"/>
      <w:r w:rsidRPr="000A5E5C">
        <w:t>vidurkių</w:t>
      </w:r>
      <w:proofErr w:type="spellEnd"/>
      <w:r w:rsidRPr="000A5E5C">
        <w:t xml:space="preserve"> </w:t>
      </w:r>
      <w:proofErr w:type="spellStart"/>
      <w:r w:rsidRPr="000A5E5C">
        <w:t>arba</w:t>
      </w:r>
      <w:proofErr w:type="spellEnd"/>
      <w:r w:rsidRPr="000A5E5C">
        <w:t xml:space="preserve"> GMM </w:t>
      </w:r>
      <w:proofErr w:type="spellStart"/>
      <w:r w:rsidRPr="000A5E5C">
        <w:t>metodus</w:t>
      </w:r>
      <w:proofErr w:type="spellEnd"/>
      <w:r w:rsidRPr="000A5E5C">
        <w:t xml:space="preserve"> </w:t>
      </w:r>
      <w:proofErr w:type="spellStart"/>
      <w:r w:rsidRPr="000A5E5C">
        <w:t>sudaryti</w:t>
      </w:r>
      <w:proofErr w:type="spellEnd"/>
      <w:r w:rsidRPr="000A5E5C">
        <w:t xml:space="preserve"> </w:t>
      </w:r>
      <w:proofErr w:type="spellStart"/>
      <w:r w:rsidRPr="000A5E5C">
        <w:t>telekomunikacijų</w:t>
      </w:r>
      <w:proofErr w:type="spellEnd"/>
      <w:r w:rsidRPr="000A5E5C">
        <w:t xml:space="preserve"> </w:t>
      </w:r>
      <w:proofErr w:type="spellStart"/>
      <w:r w:rsidRPr="000A5E5C">
        <w:t>kompanijos</w:t>
      </w:r>
      <w:proofErr w:type="spellEnd"/>
      <w:r w:rsidRPr="000A5E5C">
        <w:t xml:space="preserve"> </w:t>
      </w:r>
      <w:proofErr w:type="spellStart"/>
      <w:r w:rsidRPr="000A5E5C">
        <w:t>klientų</w:t>
      </w:r>
      <w:proofErr w:type="spellEnd"/>
      <w:r w:rsidRPr="000A5E5C">
        <w:t xml:space="preserve"> </w:t>
      </w:r>
      <w:proofErr w:type="spellStart"/>
      <w:r w:rsidRPr="000A5E5C">
        <w:t>geriausią</w:t>
      </w:r>
      <w:proofErr w:type="spellEnd"/>
      <w:r w:rsidRPr="000A5E5C">
        <w:t xml:space="preserve"> </w:t>
      </w:r>
      <w:proofErr w:type="spellStart"/>
      <w:r w:rsidRPr="000A5E5C">
        <w:t>segmentavimo</w:t>
      </w:r>
      <w:proofErr w:type="spellEnd"/>
      <w:r w:rsidRPr="000A5E5C">
        <w:t xml:space="preserve"> </w:t>
      </w:r>
      <w:proofErr w:type="spellStart"/>
      <w:r w:rsidRPr="000A5E5C">
        <w:t>modelį</w:t>
      </w:r>
      <w:proofErr w:type="spellEnd"/>
      <w:r w:rsidRPr="000A5E5C">
        <w:t xml:space="preserve"> </w:t>
      </w:r>
      <w:proofErr w:type="spellStart"/>
      <w:r w:rsidRPr="000A5E5C">
        <w:t>ir</w:t>
      </w:r>
      <w:proofErr w:type="spellEnd"/>
      <w:r w:rsidRPr="000A5E5C">
        <w:t xml:space="preserve"> </w:t>
      </w:r>
      <w:proofErr w:type="spellStart"/>
      <w:r w:rsidRPr="000A5E5C">
        <w:t>parinkti</w:t>
      </w:r>
      <w:proofErr w:type="spellEnd"/>
      <w:r w:rsidRPr="000A5E5C">
        <w:t xml:space="preserve"> </w:t>
      </w:r>
      <w:proofErr w:type="spellStart"/>
      <w:r w:rsidRPr="000A5E5C">
        <w:t>optimalų</w:t>
      </w:r>
      <w:proofErr w:type="spellEnd"/>
      <w:r w:rsidRPr="000A5E5C">
        <w:t xml:space="preserve"> </w:t>
      </w:r>
      <w:proofErr w:type="spellStart"/>
      <w:r w:rsidRPr="000A5E5C">
        <w:t>segmentų</w:t>
      </w:r>
      <w:proofErr w:type="spellEnd"/>
      <w:r w:rsidRPr="000A5E5C">
        <w:t xml:space="preserve"> </w:t>
      </w:r>
      <w:proofErr w:type="spellStart"/>
      <w:r w:rsidRPr="000A5E5C">
        <w:t>skaičių</w:t>
      </w:r>
      <w:proofErr w:type="spellEnd"/>
      <w:r w:rsidRPr="000A5E5C">
        <w:t xml:space="preserve"> </w:t>
      </w:r>
      <w:proofErr w:type="spellStart"/>
      <w:r w:rsidRPr="000A5E5C">
        <w:t>pagal</w:t>
      </w:r>
      <w:proofErr w:type="spellEnd"/>
      <w:r w:rsidRPr="000A5E5C">
        <w:t xml:space="preserve"> </w:t>
      </w:r>
      <w:proofErr w:type="spellStart"/>
      <w:r w:rsidRPr="000A5E5C">
        <w:t>pasirinktą</w:t>
      </w:r>
      <w:proofErr w:type="spellEnd"/>
      <w:r w:rsidRPr="000A5E5C">
        <w:t xml:space="preserve"> </w:t>
      </w:r>
      <w:proofErr w:type="spellStart"/>
      <w:r w:rsidRPr="000A5E5C">
        <w:t>klasterizavimo</w:t>
      </w:r>
      <w:proofErr w:type="spellEnd"/>
      <w:r w:rsidRPr="000A5E5C">
        <w:t xml:space="preserve"> </w:t>
      </w:r>
      <w:proofErr w:type="spellStart"/>
      <w:r w:rsidRPr="000A5E5C">
        <w:t>metriką</w:t>
      </w:r>
      <w:proofErr w:type="spellEnd"/>
      <w:r w:rsidRPr="000A5E5C">
        <w:t xml:space="preserve">. </w:t>
      </w:r>
    </w:p>
    <w:p w14:paraId="4EC259CE" w14:textId="77777777" w:rsidR="000A5E5C" w:rsidRPr="000A5E5C" w:rsidRDefault="000A5E5C" w:rsidP="000A5E5C">
      <w:pPr>
        <w:pStyle w:val="Default"/>
        <w:spacing w:after="69" w:line="360" w:lineRule="auto"/>
        <w:jc w:val="both"/>
      </w:pPr>
      <w:r w:rsidRPr="000A5E5C">
        <w:t xml:space="preserve">3. </w:t>
      </w:r>
      <w:proofErr w:type="spellStart"/>
      <w:r w:rsidRPr="000A5E5C">
        <w:t>Interpretuoti</w:t>
      </w:r>
      <w:proofErr w:type="spellEnd"/>
      <w:r w:rsidRPr="000A5E5C">
        <w:t xml:space="preserve"> </w:t>
      </w:r>
      <w:proofErr w:type="spellStart"/>
      <w:r w:rsidRPr="000A5E5C">
        <w:t>gautus</w:t>
      </w:r>
      <w:proofErr w:type="spellEnd"/>
      <w:r w:rsidRPr="000A5E5C">
        <w:t xml:space="preserve"> </w:t>
      </w:r>
      <w:proofErr w:type="spellStart"/>
      <w:r w:rsidRPr="000A5E5C">
        <w:t>segmentus</w:t>
      </w:r>
      <w:proofErr w:type="spellEnd"/>
      <w:r w:rsidRPr="000A5E5C">
        <w:t xml:space="preserve">. </w:t>
      </w:r>
    </w:p>
    <w:p w14:paraId="10FC1E76" w14:textId="77777777" w:rsidR="000A5E5C" w:rsidRPr="000A5E5C" w:rsidRDefault="000A5E5C" w:rsidP="000A5E5C">
      <w:pPr>
        <w:pStyle w:val="Default"/>
        <w:spacing w:line="360" w:lineRule="auto"/>
        <w:jc w:val="both"/>
      </w:pPr>
      <w:r w:rsidRPr="000A5E5C">
        <w:t xml:space="preserve">4. </w:t>
      </w:r>
      <w:proofErr w:type="spellStart"/>
      <w:r w:rsidRPr="000A5E5C">
        <w:t>Panaudojus</w:t>
      </w:r>
      <w:proofErr w:type="spellEnd"/>
      <w:r w:rsidRPr="000A5E5C">
        <w:t xml:space="preserve"> </w:t>
      </w:r>
      <w:proofErr w:type="spellStart"/>
      <w:r w:rsidRPr="000A5E5C">
        <w:t>klasifikavimo</w:t>
      </w:r>
      <w:proofErr w:type="spellEnd"/>
      <w:r w:rsidRPr="000A5E5C">
        <w:t xml:space="preserve"> </w:t>
      </w:r>
      <w:proofErr w:type="spellStart"/>
      <w:r w:rsidRPr="000A5E5C">
        <w:t>metodus</w:t>
      </w:r>
      <w:proofErr w:type="spellEnd"/>
      <w:r w:rsidRPr="000A5E5C">
        <w:t xml:space="preserve"> </w:t>
      </w:r>
      <w:proofErr w:type="spellStart"/>
      <w:r w:rsidRPr="000A5E5C">
        <w:t>sudaryti</w:t>
      </w:r>
      <w:proofErr w:type="spellEnd"/>
      <w:r w:rsidRPr="000A5E5C">
        <w:t xml:space="preserve"> </w:t>
      </w:r>
      <w:proofErr w:type="spellStart"/>
      <w:r w:rsidRPr="000A5E5C">
        <w:t>klientų</w:t>
      </w:r>
      <w:proofErr w:type="spellEnd"/>
      <w:r w:rsidRPr="000A5E5C">
        <w:t xml:space="preserve"> </w:t>
      </w:r>
      <w:proofErr w:type="spellStart"/>
      <w:r w:rsidRPr="000A5E5C">
        <w:t>praradimo</w:t>
      </w:r>
      <w:proofErr w:type="spellEnd"/>
      <w:r w:rsidRPr="000A5E5C">
        <w:t xml:space="preserve"> </w:t>
      </w:r>
      <w:proofErr w:type="spellStart"/>
      <w:r w:rsidRPr="000A5E5C">
        <w:t>prognozavimo</w:t>
      </w:r>
      <w:proofErr w:type="spellEnd"/>
      <w:r w:rsidRPr="000A5E5C">
        <w:t xml:space="preserve"> </w:t>
      </w:r>
      <w:proofErr w:type="spellStart"/>
      <w:r w:rsidRPr="000A5E5C">
        <w:t>modelius</w:t>
      </w:r>
      <w:proofErr w:type="spellEnd"/>
      <w:r w:rsidRPr="000A5E5C">
        <w:t xml:space="preserve"> </w:t>
      </w:r>
      <w:proofErr w:type="spellStart"/>
      <w:r w:rsidRPr="000A5E5C">
        <w:t>visiems</w:t>
      </w:r>
      <w:proofErr w:type="spellEnd"/>
      <w:r w:rsidRPr="000A5E5C">
        <w:t xml:space="preserve"> </w:t>
      </w:r>
      <w:proofErr w:type="spellStart"/>
      <w:r w:rsidRPr="000A5E5C">
        <w:t>segmentams</w:t>
      </w:r>
      <w:proofErr w:type="spellEnd"/>
      <w:r w:rsidRPr="000A5E5C">
        <w:t xml:space="preserve">. </w:t>
      </w:r>
      <w:proofErr w:type="spellStart"/>
      <w:r w:rsidRPr="000A5E5C">
        <w:t>Įvertinti</w:t>
      </w:r>
      <w:proofErr w:type="spellEnd"/>
      <w:r w:rsidRPr="000A5E5C">
        <w:t xml:space="preserve"> </w:t>
      </w:r>
      <w:proofErr w:type="spellStart"/>
      <w:r w:rsidRPr="000A5E5C">
        <w:t>sudarytų</w:t>
      </w:r>
      <w:proofErr w:type="spellEnd"/>
      <w:r w:rsidRPr="000A5E5C">
        <w:t xml:space="preserve"> </w:t>
      </w:r>
      <w:proofErr w:type="spellStart"/>
      <w:r w:rsidRPr="000A5E5C">
        <w:t>modelių</w:t>
      </w:r>
      <w:proofErr w:type="spellEnd"/>
      <w:r w:rsidRPr="000A5E5C">
        <w:t xml:space="preserve"> </w:t>
      </w:r>
      <w:proofErr w:type="spellStart"/>
      <w:r w:rsidRPr="000A5E5C">
        <w:t>prognozavimo</w:t>
      </w:r>
      <w:proofErr w:type="spellEnd"/>
      <w:r w:rsidRPr="000A5E5C">
        <w:t xml:space="preserve"> </w:t>
      </w:r>
      <w:proofErr w:type="spellStart"/>
      <w:r w:rsidRPr="000A5E5C">
        <w:t>kokybę</w:t>
      </w:r>
      <w:proofErr w:type="spellEnd"/>
      <w:r w:rsidRPr="000A5E5C">
        <w:t xml:space="preserve"> </w:t>
      </w:r>
      <w:proofErr w:type="spellStart"/>
      <w:r w:rsidRPr="000A5E5C">
        <w:t>pasirinktomis</w:t>
      </w:r>
      <w:proofErr w:type="spellEnd"/>
      <w:r w:rsidRPr="000A5E5C">
        <w:t xml:space="preserve"> </w:t>
      </w:r>
      <w:proofErr w:type="spellStart"/>
      <w:r w:rsidRPr="000A5E5C">
        <w:t>metrikomis</w:t>
      </w:r>
      <w:proofErr w:type="spellEnd"/>
      <w:r w:rsidRPr="000A5E5C">
        <w:t xml:space="preserve">. </w:t>
      </w:r>
    </w:p>
    <w:p w14:paraId="33295A8D" w14:textId="77777777" w:rsidR="000A5E5C" w:rsidRPr="000A5E5C" w:rsidRDefault="000A5E5C" w:rsidP="000A5E5C">
      <w:pPr>
        <w:pStyle w:val="Default"/>
        <w:spacing w:line="360" w:lineRule="auto"/>
        <w:jc w:val="both"/>
      </w:pPr>
    </w:p>
    <w:p w14:paraId="5483AA37" w14:textId="77777777" w:rsidR="000A5E5C" w:rsidRPr="000A5E5C" w:rsidRDefault="000A5E5C" w:rsidP="00695128">
      <w:pPr>
        <w:pStyle w:val="Antratnon-TOC"/>
      </w:pPr>
      <w:r w:rsidRPr="000A5E5C">
        <w:t xml:space="preserve">PAPILDOMA UŽDUOTIS </w:t>
      </w:r>
    </w:p>
    <w:p w14:paraId="07DE075E" w14:textId="77777777" w:rsidR="000A5E5C" w:rsidRPr="000A5E5C" w:rsidRDefault="000A5E5C" w:rsidP="000A5E5C">
      <w:pPr>
        <w:pStyle w:val="Default"/>
        <w:spacing w:line="360" w:lineRule="auto"/>
        <w:jc w:val="both"/>
      </w:pPr>
    </w:p>
    <w:p w14:paraId="5A25D566" w14:textId="5E413D6A" w:rsidR="000A5E5C" w:rsidRPr="000A5E5C" w:rsidRDefault="000A5E5C" w:rsidP="000A5E5C">
      <w:pPr>
        <w:pStyle w:val="Default"/>
        <w:spacing w:line="360" w:lineRule="auto"/>
        <w:jc w:val="both"/>
      </w:pPr>
      <w:r w:rsidRPr="000A5E5C">
        <w:t xml:space="preserve">5. </w:t>
      </w:r>
      <w:proofErr w:type="spellStart"/>
      <w:r w:rsidRPr="000A5E5C">
        <w:t>Parinkti</w:t>
      </w:r>
      <w:proofErr w:type="spellEnd"/>
      <w:r w:rsidRPr="000A5E5C">
        <w:t xml:space="preserve"> </w:t>
      </w:r>
      <w:proofErr w:type="spellStart"/>
      <w:r w:rsidRPr="000A5E5C">
        <w:t>optimalų</w:t>
      </w:r>
      <w:proofErr w:type="spellEnd"/>
      <w:r w:rsidRPr="000A5E5C">
        <w:t xml:space="preserve"> </w:t>
      </w:r>
      <w:proofErr w:type="spellStart"/>
      <w:r w:rsidRPr="000A5E5C">
        <w:t>segmentų</w:t>
      </w:r>
      <w:proofErr w:type="spellEnd"/>
      <w:r w:rsidRPr="000A5E5C">
        <w:t xml:space="preserve"> </w:t>
      </w:r>
      <w:proofErr w:type="spellStart"/>
      <w:r w:rsidRPr="000A5E5C">
        <w:t>skaičių</w:t>
      </w:r>
      <w:proofErr w:type="spellEnd"/>
      <w:r w:rsidRPr="000A5E5C">
        <w:t xml:space="preserve"> </w:t>
      </w:r>
      <w:proofErr w:type="spellStart"/>
      <w:r w:rsidRPr="000A5E5C">
        <w:t>pagal</w:t>
      </w:r>
      <w:proofErr w:type="spellEnd"/>
      <w:r w:rsidRPr="000A5E5C">
        <w:t xml:space="preserve"> </w:t>
      </w:r>
      <w:proofErr w:type="spellStart"/>
      <w:r w:rsidRPr="000A5E5C">
        <w:t>klientų</w:t>
      </w:r>
      <w:proofErr w:type="spellEnd"/>
      <w:r w:rsidRPr="000A5E5C">
        <w:t xml:space="preserve"> </w:t>
      </w:r>
      <w:proofErr w:type="spellStart"/>
      <w:r w:rsidRPr="000A5E5C">
        <w:t>praradimo</w:t>
      </w:r>
      <w:proofErr w:type="spellEnd"/>
      <w:r w:rsidRPr="000A5E5C">
        <w:t xml:space="preserve"> </w:t>
      </w:r>
      <w:proofErr w:type="spellStart"/>
      <w:r w:rsidRPr="000A5E5C">
        <w:t>prognozavimo</w:t>
      </w:r>
      <w:proofErr w:type="spellEnd"/>
      <w:r w:rsidRPr="000A5E5C">
        <w:t xml:space="preserve"> </w:t>
      </w:r>
      <w:proofErr w:type="spellStart"/>
      <w:r w:rsidRPr="000A5E5C">
        <w:t>kokybę</w:t>
      </w:r>
      <w:proofErr w:type="spellEnd"/>
      <w:r w:rsidRPr="000A5E5C">
        <w:t xml:space="preserve"> (</w:t>
      </w:r>
      <w:proofErr w:type="spellStart"/>
      <w:r w:rsidRPr="000A5E5C">
        <w:t>kiekvienam</w:t>
      </w:r>
      <w:proofErr w:type="spellEnd"/>
      <w:r w:rsidRPr="000A5E5C">
        <w:t xml:space="preserve"> </w:t>
      </w:r>
      <w:proofErr w:type="spellStart"/>
      <w:r w:rsidRPr="000A5E5C">
        <w:t>segmentui</w:t>
      </w:r>
      <w:proofErr w:type="spellEnd"/>
      <w:r w:rsidRPr="000A5E5C">
        <w:t xml:space="preserve"> </w:t>
      </w:r>
      <w:proofErr w:type="spellStart"/>
      <w:r w:rsidRPr="000A5E5C">
        <w:t>sudarius</w:t>
      </w:r>
      <w:proofErr w:type="spellEnd"/>
      <w:r w:rsidRPr="000A5E5C">
        <w:t xml:space="preserve"> </w:t>
      </w:r>
      <w:proofErr w:type="spellStart"/>
      <w:r w:rsidRPr="000A5E5C">
        <w:t>po</w:t>
      </w:r>
      <w:proofErr w:type="spellEnd"/>
      <w:r w:rsidRPr="000A5E5C">
        <w:t xml:space="preserve"> </w:t>
      </w:r>
      <w:proofErr w:type="spellStart"/>
      <w:r w:rsidRPr="000A5E5C">
        <w:t>klasifikavimo</w:t>
      </w:r>
      <w:proofErr w:type="spellEnd"/>
      <w:r w:rsidRPr="000A5E5C">
        <w:t xml:space="preserve"> </w:t>
      </w:r>
      <w:proofErr w:type="spellStart"/>
      <w:r w:rsidRPr="000A5E5C">
        <w:t>modelį</w:t>
      </w:r>
      <w:proofErr w:type="spellEnd"/>
      <w:r w:rsidRPr="000A5E5C">
        <w:t xml:space="preserve"> </w:t>
      </w:r>
      <w:proofErr w:type="spellStart"/>
      <w:r w:rsidRPr="000A5E5C">
        <w:t>ir</w:t>
      </w:r>
      <w:proofErr w:type="spellEnd"/>
      <w:r w:rsidRPr="000A5E5C">
        <w:t xml:space="preserve"> </w:t>
      </w:r>
      <w:proofErr w:type="spellStart"/>
      <w:r w:rsidRPr="000A5E5C">
        <w:t>jį</w:t>
      </w:r>
      <w:proofErr w:type="spellEnd"/>
      <w:r w:rsidRPr="000A5E5C">
        <w:t xml:space="preserve"> </w:t>
      </w:r>
      <w:proofErr w:type="spellStart"/>
      <w:r w:rsidRPr="000A5E5C">
        <w:t>įvertinus</w:t>
      </w:r>
      <w:proofErr w:type="spellEnd"/>
      <w:r w:rsidRPr="000A5E5C">
        <w:t xml:space="preserve"> </w:t>
      </w:r>
      <w:proofErr w:type="spellStart"/>
      <w:r w:rsidRPr="000A5E5C">
        <w:t>pagal</w:t>
      </w:r>
      <w:proofErr w:type="spellEnd"/>
      <w:r w:rsidRPr="000A5E5C">
        <w:t xml:space="preserve"> </w:t>
      </w:r>
      <w:proofErr w:type="spellStart"/>
      <w:r w:rsidRPr="000A5E5C">
        <w:t>pasirinktą</w:t>
      </w:r>
      <w:proofErr w:type="spellEnd"/>
      <w:r w:rsidRPr="000A5E5C">
        <w:t xml:space="preserve"> </w:t>
      </w:r>
      <w:proofErr w:type="spellStart"/>
      <w:r w:rsidRPr="000A5E5C">
        <w:t>klasifikavimo</w:t>
      </w:r>
      <w:proofErr w:type="spellEnd"/>
      <w:r w:rsidRPr="000A5E5C">
        <w:t xml:space="preserve"> </w:t>
      </w:r>
      <w:proofErr w:type="spellStart"/>
      <w:r w:rsidRPr="000A5E5C">
        <w:t>metriką</w:t>
      </w:r>
      <w:proofErr w:type="spellEnd"/>
      <w:r w:rsidRPr="000A5E5C">
        <w:t xml:space="preserve">). </w:t>
      </w:r>
    </w:p>
    <w:p w14:paraId="0BB1C090" w14:textId="77777777" w:rsidR="000A5E5C" w:rsidRDefault="000A5E5C" w:rsidP="000A5E5C">
      <w:pPr>
        <w:pStyle w:val="Style4"/>
        <w:numPr>
          <w:ilvl w:val="0"/>
          <w:numId w:val="0"/>
        </w:numPr>
      </w:pPr>
    </w:p>
    <w:p w14:paraId="374185CB" w14:textId="757E80BC" w:rsidR="00847ECE" w:rsidRPr="00B65A56" w:rsidRDefault="00BA5BFE" w:rsidP="00E71A36">
      <w:pPr>
        <w:pStyle w:val="Heading1"/>
      </w:pPr>
      <w:bookmarkStart w:id="3" w:name="_Toc24916406"/>
      <w:bookmarkStart w:id="4" w:name="_Toc24919481"/>
      <w:r>
        <w:lastRenderedPageBreak/>
        <w:t>Duomenų rinkinio žvalgomoji analizė</w:t>
      </w:r>
      <w:bookmarkEnd w:id="3"/>
      <w:bookmarkEnd w:id="4"/>
    </w:p>
    <w:p w14:paraId="47150677" w14:textId="09E97C29" w:rsidR="00BA5BFE" w:rsidRDefault="00DD0E20" w:rsidP="000972C0">
      <w:pPr>
        <w:pStyle w:val="Tekstas"/>
        <w:spacing w:line="360" w:lineRule="auto"/>
        <w:ind w:firstLine="720"/>
      </w:pPr>
      <w:bookmarkStart w:id="5" w:name="_Toc503646968"/>
      <w:bookmarkStart w:id="6" w:name="_Toc503648358"/>
      <w:bookmarkStart w:id="7" w:name="_Toc503651302"/>
      <w:bookmarkStart w:id="8" w:name="_Toc505346878"/>
      <w:r>
        <w:t>Mūsų grupės gauto duomenų rinkinio numeris – 4. Pradinėje darbo stadijoje turime du skirtingus .csv tipo failus: customer_churn_00004.csv bei customer_usage_00004.csv</w:t>
      </w:r>
      <w:r w:rsidR="003400CB">
        <w:t xml:space="preserve">. Duomenų rinkinį sudaro – </w:t>
      </w:r>
      <w:r w:rsidR="003400CB">
        <w:rPr>
          <w:lang w:val="en-US"/>
        </w:rPr>
        <w:t>49885 skirting</w:t>
      </w:r>
      <w:r w:rsidR="003400CB">
        <w:t xml:space="preserve">ų vartotojų id. </w:t>
      </w:r>
    </w:p>
    <w:p w14:paraId="47F2F0CD" w14:textId="0A685D05" w:rsidR="00180FCC" w:rsidRPr="00180FCC" w:rsidRDefault="00180FCC" w:rsidP="000972C0">
      <w:pPr>
        <w:pStyle w:val="Heading2"/>
        <w:spacing w:line="360" w:lineRule="auto"/>
      </w:pPr>
      <w:bookmarkStart w:id="9" w:name="_Toc24919482"/>
      <w:r>
        <w:t>Duomenų eliminavimas</w:t>
      </w:r>
      <w:bookmarkEnd w:id="9"/>
    </w:p>
    <w:p w14:paraId="5311A7D6" w14:textId="2AB38AFC" w:rsidR="00180FCC" w:rsidRDefault="00180FCC" w:rsidP="000972C0">
      <w:pPr>
        <w:pStyle w:val="Tekstas"/>
        <w:spacing w:line="360" w:lineRule="auto"/>
        <w:ind w:firstLine="720"/>
      </w:pPr>
      <w:r>
        <w:t xml:space="preserve">Atlikus duomenų apžvalgą, buvo nuspręsta pasirinkti 8 skirtingas duomenų grupes, kurių pagalba įgyvendinsime savo projektą. Tam, kad įvertintume, kurie duomenys yra mums naudingi, o kurių eliminavimas nesukeltų didelių kokybės pokyčių projektui, atlikome duomenų koreliacijos tyrimą. </w:t>
      </w:r>
    </w:p>
    <w:p w14:paraId="4F1D132F" w14:textId="5F3F9BC0" w:rsidR="007D54CA" w:rsidRDefault="00B23DE5" w:rsidP="000972C0">
      <w:pPr>
        <w:spacing w:line="360" w:lineRule="auto"/>
        <w:ind w:firstLine="720"/>
      </w:pPr>
      <w:r>
        <w:t>Koreliacijos koeficientus skaičiavome Spearmano bei Pearsono metodais, tačiau buvo priimtas sprendimas atsižvelgti į pasta</w:t>
      </w:r>
      <w:r w:rsidR="00CE23CD">
        <w:t>rojo metodo gautus sprendinius.</w:t>
      </w:r>
      <w:r w:rsidR="00180FCC">
        <w:t xml:space="preserve"> </w:t>
      </w:r>
      <w:r>
        <w:t xml:space="preserve">Didesnis duomenų kiekis turėjo aukštesnį nei 0.75 koreliacijos koeficiantą. Remiantis gautais rezultatais duomenų rinkinys buvo padalintas į dvi dalis: duomenys, kurių tolimesnioje analizėje nenaudosime ir duomenys, kurie gali būti naudojami tolimesniuose žingsniuose. </w:t>
      </w:r>
    </w:p>
    <w:p w14:paraId="2646F256" w14:textId="77777777" w:rsidR="007D54CA" w:rsidRDefault="007D54CA" w:rsidP="007D54CA">
      <w:pPr>
        <w:ind w:firstLine="720"/>
      </w:pPr>
    </w:p>
    <w:p w14:paraId="14F5FBC7" w14:textId="413CDEA6" w:rsidR="007D54CA" w:rsidRDefault="007D54CA" w:rsidP="007D54CA">
      <w:pPr>
        <w:jc w:val="center"/>
      </w:pPr>
      <w:r>
        <w:rPr>
          <w:noProof/>
          <w:lang w:val="en-US"/>
        </w:rPr>
        <w:drawing>
          <wp:inline distT="0" distB="0" distL="0" distR="0" wp14:anchorId="5D801373" wp14:editId="0801743D">
            <wp:extent cx="4076700" cy="2459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916" cy="24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CC5" w14:textId="54DC8650" w:rsidR="007D54CA" w:rsidRDefault="007D54CA" w:rsidP="007D54CA">
      <w:pPr>
        <w:jc w:val="center"/>
      </w:pPr>
      <w:r w:rsidRPr="007D54CA">
        <w:rPr>
          <w:b/>
        </w:rPr>
        <w:t>1 pav.</w:t>
      </w:r>
      <w:r>
        <w:t xml:space="preserve"> Duomenų grupė likusi po koreliacijos etapo</w:t>
      </w:r>
    </w:p>
    <w:p w14:paraId="2B1990F8" w14:textId="77777777" w:rsidR="00D374B2" w:rsidRPr="00180FCC" w:rsidRDefault="00D374B2" w:rsidP="00D374B2"/>
    <w:p w14:paraId="4B4DB6F4" w14:textId="3ADBEDCF" w:rsidR="00585AAD" w:rsidRDefault="00D374B2" w:rsidP="000972C0">
      <w:pPr>
        <w:spacing w:line="360" w:lineRule="auto"/>
        <w:ind w:firstLine="720"/>
      </w:pPr>
      <w:r>
        <w:t xml:space="preserve">Suskirsčius turimą duomenų rinkinį į dvi grupes buvo nuspręsta galutiniam projekto variantui išsirinkti 8 svarbiausius ir daugiausia informacijos galinčius suteikti </w:t>
      </w:r>
      <w:r w:rsidR="00DF5334">
        <w:t xml:space="preserve">duomenų stulpelius. Šiame žingsnyje buvo nuspręsta įvertinti mūsų grupės įžvalgas bei </w:t>
      </w:r>
      <w:r w:rsidR="00585AAD">
        <w:t>sprendimo medžio</w:t>
      </w:r>
      <w:r w:rsidR="00DF5334" w:rsidRPr="00DF5334">
        <w:rPr>
          <w:lang w:val="en-US"/>
        </w:rPr>
        <w:t xml:space="preserve"> </w:t>
      </w:r>
      <w:r w:rsidR="00DF5334" w:rsidRPr="00DF5334">
        <w:t>pateiktus rezultatus.</w:t>
      </w:r>
      <w:r w:rsidR="00585AAD">
        <w:t xml:space="preserve"> Tokie duomenys, kaip „user_spending“, „user_no_outgoing_activity_in_days“, „sms_incoming count“ bei „calls outgoing_count“ buvo išskirti tiek mūsų grupės įžvalgose tiek sprendimo medžio rezultatuose. </w:t>
      </w:r>
    </w:p>
    <w:p w14:paraId="223EE4A2" w14:textId="77777777" w:rsidR="000972C0" w:rsidRDefault="000972C0" w:rsidP="000972C0">
      <w:pPr>
        <w:spacing w:line="360" w:lineRule="auto"/>
        <w:ind w:firstLine="720"/>
      </w:pPr>
    </w:p>
    <w:p w14:paraId="5210D43E" w14:textId="77777777" w:rsidR="00017E11" w:rsidRDefault="00017E11" w:rsidP="000972C0">
      <w:pPr>
        <w:spacing w:line="360" w:lineRule="auto"/>
        <w:ind w:firstLine="720"/>
      </w:pPr>
    </w:p>
    <w:p w14:paraId="39C4B833" w14:textId="77777777" w:rsidR="00017E11" w:rsidRPr="00017E11" w:rsidRDefault="00017E11" w:rsidP="000972C0">
      <w:pPr>
        <w:spacing w:line="360" w:lineRule="auto"/>
        <w:ind w:firstLine="720"/>
        <w:rPr>
          <w:b/>
          <w:i/>
        </w:rPr>
      </w:pPr>
      <w:r w:rsidRPr="00017E11">
        <w:rPr>
          <w:b/>
          <w:i/>
        </w:rPr>
        <w:lastRenderedPageBreak/>
        <w:t>RandomForestClassifier(labelCol="churn", featuresCol="initial_features", seed = 8464,</w:t>
      </w:r>
    </w:p>
    <w:p w14:paraId="2901CFAE" w14:textId="02E6C4E5" w:rsidR="00017E11" w:rsidRDefault="00017E11" w:rsidP="000972C0">
      <w:pPr>
        <w:spacing w:line="360" w:lineRule="auto"/>
        <w:ind w:firstLine="720"/>
        <w:rPr>
          <w:b/>
          <w:i/>
        </w:rPr>
      </w:pPr>
      <w:r w:rsidRPr="00017E11">
        <w:rPr>
          <w:b/>
          <w:i/>
        </w:rPr>
        <w:t>numTrees=10, cacheNodeIds = True, subsamplingRate = 0.7)</w:t>
      </w:r>
    </w:p>
    <w:p w14:paraId="6A1C4674" w14:textId="3FD7F297" w:rsidR="00017E11" w:rsidRDefault="00017E11" w:rsidP="000972C0">
      <w:pPr>
        <w:spacing w:line="360" w:lineRule="auto"/>
        <w:ind w:firstLine="720"/>
        <w:rPr>
          <w:b/>
          <w:i/>
        </w:rPr>
      </w:pPr>
    </w:p>
    <w:p w14:paraId="5A825DF3" w14:textId="2A5186AF" w:rsidR="00017E11" w:rsidRDefault="00017E11" w:rsidP="000972C0">
      <w:pPr>
        <w:spacing w:line="360" w:lineRule="auto"/>
        <w:ind w:firstLine="720"/>
      </w:pPr>
      <w:r>
        <w:t xml:space="preserve">Aukščiau pateikiame sukurtą sprendimo medžio apmokymo kodą. </w:t>
      </w:r>
      <w:r w:rsidR="0092674B">
        <w:t>Pasinaudojus juo gauname sprendinius, kuriuos palyginame su savo grupės padarytomis įžvalgomis ir galutinai nusprendžiame, kuriuos duomenis įtraukti tarp 8 analizei naudotinų</w:t>
      </w:r>
      <w:r w:rsidR="00CA026A">
        <w:t xml:space="preserve"> </w:t>
      </w:r>
      <w:r w:rsidR="00CA026A">
        <w:rPr>
          <w:lang w:val="en-US"/>
        </w:rPr>
        <w:t>(</w:t>
      </w:r>
      <w:r w:rsidR="00CA026A">
        <w:t>žr. 2 pav</w:t>
      </w:r>
      <w:r w:rsidR="0092674B">
        <w:t>.</w:t>
      </w:r>
      <w:r w:rsidR="00CA026A">
        <w:t>)</w:t>
      </w:r>
      <w:r w:rsidR="00E257DE">
        <w:t>.</w:t>
      </w:r>
      <w:r w:rsidR="0092674B">
        <w:t xml:space="preserve"> </w:t>
      </w:r>
    </w:p>
    <w:p w14:paraId="28880E19" w14:textId="7089172A" w:rsidR="00017E11" w:rsidRDefault="00DA1E77" w:rsidP="00DA1E77">
      <w:pPr>
        <w:jc w:val="center"/>
      </w:pPr>
      <w:r>
        <w:rPr>
          <w:noProof/>
          <w:lang w:val="en-US"/>
        </w:rPr>
        <w:drawing>
          <wp:inline distT="0" distB="0" distL="0" distR="0" wp14:anchorId="4C92B087" wp14:editId="2D0644F0">
            <wp:extent cx="2519053" cy="395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50" cy="39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228" w14:textId="23CE3666" w:rsidR="00017E11" w:rsidRPr="00017E11" w:rsidRDefault="00216C5D" w:rsidP="00017E11">
      <w:pPr>
        <w:ind w:firstLine="720"/>
        <w:jc w:val="center"/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lentel</w:t>
      </w:r>
      <w:proofErr w:type="spellEnd"/>
      <w:r>
        <w:rPr>
          <w:b/>
        </w:rPr>
        <w:t>ė</w:t>
      </w:r>
      <w:r w:rsidR="00017E11">
        <w:rPr>
          <w:lang w:val="en-US"/>
        </w:rPr>
        <w:t xml:space="preserve"> </w:t>
      </w:r>
      <w:proofErr w:type="spellStart"/>
      <w:r w:rsidR="00017E11">
        <w:rPr>
          <w:lang w:val="en-US"/>
        </w:rPr>
        <w:t>Sprendi</w:t>
      </w:r>
      <w:proofErr w:type="spellEnd"/>
      <w:r w:rsidR="00017E11">
        <w:t>mų medžio rezultatai</w:t>
      </w:r>
    </w:p>
    <w:p w14:paraId="03957EE6" w14:textId="77777777" w:rsidR="00017E11" w:rsidRDefault="00017E11" w:rsidP="00180FCC">
      <w:pPr>
        <w:ind w:firstLine="720"/>
      </w:pPr>
    </w:p>
    <w:p w14:paraId="4591AE48" w14:textId="6231792B" w:rsidR="00DA1E77" w:rsidRDefault="00DA1E77" w:rsidP="000972C0">
      <w:pPr>
        <w:spacing w:line="360" w:lineRule="auto"/>
        <w:ind w:firstLine="720"/>
      </w:pPr>
      <w:r>
        <w:t xml:space="preserve">Atsižvelgiant į gautus sprendinius, matome, kad „calls_outgoing_count“, „user_spendings“ bei „sms_incoming_count“ surinko didžiausius balus. Šie trys duomenų rinkiniai taip pat buvo įtraukti per mūsų grupės diskusiją. </w:t>
      </w:r>
    </w:p>
    <w:p w14:paraId="483D0EE8" w14:textId="5F65C749" w:rsidR="00180FCC" w:rsidRDefault="00585AAD" w:rsidP="000972C0">
      <w:pPr>
        <w:spacing w:line="360" w:lineRule="auto"/>
        <w:ind w:firstLine="720"/>
      </w:pPr>
      <w:r>
        <w:t>Tiesa, nors koreliacijos vertinimo metu b</w:t>
      </w:r>
      <w:r w:rsidR="00DA1E77">
        <w:t>uvo atmesti ,,calls_outgoing_sp</w:t>
      </w:r>
      <w:r>
        <w:t xml:space="preserve">ending“ duomenys, tačiau vėliau nutarta šiuos duomenis taip pat įtraukti tarp 8 svarbiausių ir tolimesniuose žingsniuose naudotinų duomenų. Pastebėta, kad šie duomenys koreliuoja su duomenų rinkiniais, kurie nebus naudojami sekančiuose analizės žingsniuose. </w:t>
      </w:r>
    </w:p>
    <w:p w14:paraId="3603AC9F" w14:textId="72212931" w:rsidR="00BA5BFE" w:rsidRDefault="00442567" w:rsidP="00FA6DA4">
      <w:pPr>
        <w:spacing w:line="360" w:lineRule="auto"/>
        <w:ind w:firstLine="720"/>
      </w:pPr>
      <w:r>
        <w:t>Taigi, sekančiuose skyriuose analizuosime šiuos duomenis: ,,calls_outgoing_count“, „user_spending“, „sms_</w:t>
      </w:r>
      <w:r w:rsidR="003A1C79">
        <w:t>incoming_count</w:t>
      </w:r>
      <w:r>
        <w:t>“</w:t>
      </w:r>
      <w:r w:rsidR="003A1C79">
        <w:t>, „user_use_gprs</w:t>
      </w:r>
      <w:r>
        <w:t>“</w:t>
      </w:r>
      <w:r w:rsidR="003A1C79">
        <w:t>, „sms_outgoing_count</w:t>
      </w:r>
      <w:r>
        <w:t>“</w:t>
      </w:r>
      <w:r w:rsidR="003A1C79">
        <w:t>, „user_lifetime“, „user_no_outgoing_activity_in_days</w:t>
      </w:r>
      <w:r>
        <w:t>“</w:t>
      </w:r>
      <w:r w:rsidR="003A1C79">
        <w:t xml:space="preserve"> bei „calls_outgoing_spending“.</w:t>
      </w:r>
      <w:r w:rsidR="00945628">
        <w:t xml:space="preserve"> </w:t>
      </w:r>
      <w:r w:rsidR="00FA6DA4">
        <w:t xml:space="preserve">Panaudojus sprendimo medžio gautus rezultatus ir mūsų išvadas manome, jog šie duomenys yra tinkamiausi gauti išsamias įžvalgas šios telekomunikacijų paslaugas teikiančios įmonės </w:t>
      </w:r>
      <w:r w:rsidR="008C3B94">
        <w:t>vartotojų įpročių</w:t>
      </w:r>
      <w:r w:rsidR="00FA6DA4">
        <w:t xml:space="preserve"> tendencijas.</w:t>
      </w:r>
    </w:p>
    <w:p w14:paraId="1BD9008B" w14:textId="1517B749" w:rsidR="004D6B8F" w:rsidRDefault="004D6B8F" w:rsidP="001B03A7">
      <w:pPr>
        <w:pStyle w:val="Heading1"/>
      </w:pPr>
      <w:bookmarkStart w:id="10" w:name="_Toc24916407"/>
      <w:bookmarkStart w:id="11" w:name="_Toc24919483"/>
      <w:r>
        <w:lastRenderedPageBreak/>
        <w:t>A</w:t>
      </w:r>
      <w:r w:rsidR="001B03A7">
        <w:t>trinktų duomenų klasterizavimas</w:t>
      </w:r>
      <w:bookmarkEnd w:id="10"/>
      <w:bookmarkEnd w:id="11"/>
    </w:p>
    <w:p w14:paraId="413E9C99" w14:textId="27453643" w:rsidR="001B03A7" w:rsidRDefault="001B03A7" w:rsidP="004D6B8F">
      <w:pPr>
        <w:spacing w:line="360" w:lineRule="auto"/>
        <w:ind w:firstLine="720"/>
      </w:pPr>
      <w:r>
        <w:t xml:space="preserve">Šioje darbo dalyje pateikiame išsirinktų duomenų klasterizavimo metodus ir gautus rezultatus. Klasterizavimas bus atliekamas su 8 skirtingais duomenų rinkiniais, kurių pasirinkimai buvo atlikti po pirminės duomenų apžvalgos. </w:t>
      </w:r>
    </w:p>
    <w:p w14:paraId="4F1A9AEC" w14:textId="77777777" w:rsidR="001B03A7" w:rsidRDefault="001B03A7" w:rsidP="004D6B8F">
      <w:pPr>
        <w:spacing w:line="360" w:lineRule="auto"/>
        <w:ind w:firstLine="720"/>
      </w:pPr>
    </w:p>
    <w:p w14:paraId="12058C4A" w14:textId="11ED35C9" w:rsidR="001B03A7" w:rsidRDefault="001B03A7" w:rsidP="001B03A7">
      <w:pPr>
        <w:pStyle w:val="Heading2"/>
      </w:pPr>
      <w:bookmarkStart w:id="12" w:name="_Toc24919484"/>
      <w:r>
        <w:t>Duomenų apžvalga prieš klasterizavimą</w:t>
      </w:r>
      <w:bookmarkEnd w:id="12"/>
    </w:p>
    <w:p w14:paraId="170D3F82" w14:textId="2D6ADAAA" w:rsidR="00120251" w:rsidRPr="00120251" w:rsidRDefault="001B03A7" w:rsidP="00120251">
      <w:pPr>
        <w:spacing w:line="360" w:lineRule="auto"/>
        <w:ind w:firstLine="720"/>
        <w:rPr>
          <w:lang w:val="en-US"/>
        </w:rPr>
      </w:pPr>
      <w:r>
        <w:t xml:space="preserve">Žemiau pateiktoje lentelėje matome išrinktų duomenų imtį </w:t>
      </w:r>
      <w:r>
        <w:rPr>
          <w:lang w:val="en-US"/>
        </w:rPr>
        <w:t>(count)</w:t>
      </w:r>
      <w:r>
        <w:t>, vidurkį (mean), standartinį nuokrypį (stddev) bei minimalias (min) ir maksimalias (max) reikšmes</w:t>
      </w:r>
      <w:r w:rsidR="00A11525">
        <w:t xml:space="preserve"> (žr. 3 pav.)</w:t>
      </w:r>
      <w:r>
        <w:t xml:space="preserve">. </w:t>
      </w:r>
      <w:r w:rsidR="00120251">
        <w:t xml:space="preserve">Matome, kad didesnį nuokrypį turi „user_no_outgoing_activity_in_days“ bei „user_use_gprs“. Tiesa, išskirčių galima tikėtis atsižvelgiant į maksimalias reikšmes kiekviename iš nagrinėjamų duomenų rinkinių. </w:t>
      </w:r>
    </w:p>
    <w:p w14:paraId="6CC8031A" w14:textId="2F382F43" w:rsidR="003A6614" w:rsidRDefault="003A6614" w:rsidP="003A6614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AFA73C4" wp14:editId="3A82E148">
            <wp:extent cx="4875421" cy="1676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480" cy="16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0DE1" w14:textId="234C7963" w:rsidR="003A6614" w:rsidRDefault="00216C5D" w:rsidP="003A6614">
      <w:pPr>
        <w:ind w:firstLine="720"/>
        <w:jc w:val="center"/>
      </w:pPr>
      <w:r>
        <w:rPr>
          <w:b/>
          <w:lang w:val="en-US"/>
        </w:rPr>
        <w:t>2</w:t>
      </w:r>
      <w:r w:rsidR="003A661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lentelė</w:t>
      </w:r>
      <w:proofErr w:type="spellEnd"/>
      <w:r w:rsidR="003A6614">
        <w:rPr>
          <w:lang w:val="en-US"/>
        </w:rPr>
        <w:t xml:space="preserve"> </w:t>
      </w:r>
      <w:proofErr w:type="spellStart"/>
      <w:r w:rsidR="003A6614">
        <w:rPr>
          <w:lang w:val="en-US"/>
        </w:rPr>
        <w:t>Atrinkt</w:t>
      </w:r>
      <w:proofErr w:type="spellEnd"/>
      <w:r w:rsidR="003A6614">
        <w:t>ų duomenų statistinė analizė</w:t>
      </w:r>
    </w:p>
    <w:p w14:paraId="598A80A0" w14:textId="504411AF" w:rsidR="003A6614" w:rsidRDefault="003A6614" w:rsidP="003A6614">
      <w:pPr>
        <w:ind w:firstLine="720"/>
        <w:jc w:val="center"/>
      </w:pPr>
    </w:p>
    <w:p w14:paraId="73BF1BEB" w14:textId="4FAEE525" w:rsidR="00120251" w:rsidRDefault="00120251" w:rsidP="00120251">
      <w:pPr>
        <w:spacing w:line="360" w:lineRule="auto"/>
        <w:ind w:firstLine="720"/>
      </w:pPr>
      <w:r>
        <w:t xml:space="preserve">Didžiausią „calls_outgoing_count“ reikšmę sudaro 44.3 vidurkio reikšmes. Tuo tarpu „sms_incoming_count“ maksimali reikšmė vidurkį viršyja net 51.74 kartus. Šie duomenys atlikus klasterizavimą padės įvertinti vartotojų įpročius </w:t>
      </w:r>
      <w:r w:rsidR="00A63934">
        <w:t xml:space="preserve">siunčiant ir priimėjant trumpasias žinutes (sms), taip pat skambučių įpročius ir su šiomis paslaugomis susijusias išlaidas. </w:t>
      </w:r>
    </w:p>
    <w:p w14:paraId="6B4D08E9" w14:textId="355E2D29" w:rsidR="00B028F8" w:rsidRDefault="00B028F8" w:rsidP="00120251">
      <w:pPr>
        <w:spacing w:line="360" w:lineRule="auto"/>
        <w:ind w:firstLine="720"/>
      </w:pPr>
    </w:p>
    <w:p w14:paraId="0A370EA5" w14:textId="26A9B9D4" w:rsidR="00B028F8" w:rsidRDefault="00B028F8" w:rsidP="00B028F8">
      <w:pPr>
        <w:pStyle w:val="Heading2"/>
        <w:rPr>
          <w:lang w:val="en-US"/>
        </w:rPr>
      </w:pPr>
      <w:bookmarkStart w:id="13" w:name="_Toc24919485"/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klasterizavimas</w:t>
      </w:r>
      <w:bookmarkEnd w:id="13"/>
      <w:proofErr w:type="spellEnd"/>
    </w:p>
    <w:p w14:paraId="39165163" w14:textId="74F4AE50" w:rsidR="00CA063A" w:rsidRDefault="00CA063A" w:rsidP="007C650C">
      <w:pPr>
        <w:spacing w:line="360" w:lineRule="auto"/>
        <w:ind w:firstLine="720"/>
      </w:pPr>
      <w:r>
        <w:t xml:space="preserve">Norėdami tiksliai sužinoti, kiek klasterių būtų efektyviausia išskirti su mūsų turimais duomenimis, buvo nuspręsta atlikti SSE bei f(K) metrikų analizę. </w:t>
      </w:r>
      <w:r w:rsidR="00E23437">
        <w:t xml:space="preserve">Pasirinkome abiem atvejam modelius nuo 2 iki 9 klasterių, kad grafikų pagalba būtų lengviau priimti mums labiausiai tinkantį sprendimą. </w:t>
      </w:r>
      <w:r w:rsidR="00C131FF">
        <w:t xml:space="preserve">Mūsų atveju abi </w:t>
      </w:r>
      <w:r w:rsidR="00065FF4">
        <w:t xml:space="preserve">analizės parodė skirtingus rezultatus (žr. 4 pav.). Pirmuoju atveju, SSE metrikos identifikuoja, kad efektyvu būtų pasirinkti 6 skirtingus klasterius. Visgi, antruoju metodu aiškiai matome, kad 5 klasteriai – efektyviausias sprendimas. </w:t>
      </w:r>
    </w:p>
    <w:p w14:paraId="12A57B86" w14:textId="33323C4C" w:rsidR="007C650C" w:rsidRDefault="007C650C" w:rsidP="00C131FF">
      <w:pPr>
        <w:pStyle w:val="Tekstas"/>
        <w:jc w:val="center"/>
        <w:rPr>
          <w:lang w:val="en-US"/>
        </w:rPr>
      </w:pPr>
    </w:p>
    <w:p w14:paraId="46D75956" w14:textId="77777777" w:rsidR="00C131FF" w:rsidRDefault="00C131FF" w:rsidP="00CA063A">
      <w:pPr>
        <w:ind w:firstLine="720"/>
        <w:jc w:val="center"/>
        <w:rPr>
          <w:b/>
          <w:lang w:val="en-US"/>
        </w:rPr>
      </w:pPr>
    </w:p>
    <w:p w14:paraId="12E05550" w14:textId="77777777" w:rsidR="00C131FF" w:rsidRDefault="00C131FF" w:rsidP="00CA063A">
      <w:pPr>
        <w:ind w:firstLine="720"/>
        <w:jc w:val="center"/>
        <w:rPr>
          <w:b/>
          <w:lang w:val="en-US"/>
        </w:rPr>
      </w:pPr>
    </w:p>
    <w:p w14:paraId="0168D1E1" w14:textId="12DF47A6" w:rsidR="00CA063A" w:rsidRDefault="004249C0" w:rsidP="00CA063A">
      <w:pPr>
        <w:ind w:firstLine="720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9" behindDoc="1" locked="0" layoutInCell="1" allowOverlap="1" wp14:anchorId="5BBA102E" wp14:editId="6809B234">
            <wp:simplePos x="0" y="0"/>
            <wp:positionH relativeFrom="column">
              <wp:posOffset>3034665</wp:posOffset>
            </wp:positionH>
            <wp:positionV relativeFrom="paragraph">
              <wp:posOffset>3175</wp:posOffset>
            </wp:positionV>
            <wp:extent cx="3018790" cy="2277110"/>
            <wp:effectExtent l="0" t="0" r="0" b="8890"/>
            <wp:wrapTight wrapText="bothSides">
              <wp:wrapPolygon edited="0">
                <wp:start x="0" y="0"/>
                <wp:lineTo x="0" y="21504"/>
                <wp:lineTo x="21400" y="21504"/>
                <wp:lineTo x="214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5" behindDoc="1" locked="0" layoutInCell="1" allowOverlap="1" wp14:anchorId="2CA79F7A" wp14:editId="72E33B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53530" cy="2324735"/>
            <wp:effectExtent l="0" t="0" r="0" b="0"/>
            <wp:wrapTight wrapText="bothSides">
              <wp:wrapPolygon edited="0">
                <wp:start x="0" y="0"/>
                <wp:lineTo x="0" y="21417"/>
                <wp:lineTo x="21456" y="21417"/>
                <wp:lineTo x="214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D9B2A" w14:textId="2042E61A" w:rsidR="00C131FF" w:rsidRDefault="00C131FF" w:rsidP="00EA28E3">
      <w:pPr>
        <w:rPr>
          <w:lang w:val="en-US"/>
        </w:rPr>
      </w:pPr>
    </w:p>
    <w:p w14:paraId="3D28A368" w14:textId="5151DB37" w:rsidR="00C131FF" w:rsidRDefault="00216C5D" w:rsidP="00C131FF">
      <w:pPr>
        <w:ind w:firstLine="720"/>
        <w:jc w:val="center"/>
      </w:pPr>
      <w:r>
        <w:rPr>
          <w:b/>
          <w:lang w:val="en-US"/>
        </w:rPr>
        <w:t xml:space="preserve">2 </w:t>
      </w:r>
      <w:proofErr w:type="spellStart"/>
      <w:r w:rsidR="00C131FF" w:rsidRPr="00017E11">
        <w:rPr>
          <w:b/>
          <w:lang w:val="en-US"/>
        </w:rPr>
        <w:t>pav</w:t>
      </w:r>
      <w:proofErr w:type="spellEnd"/>
      <w:r w:rsidR="00C131FF" w:rsidRPr="00017E11">
        <w:rPr>
          <w:b/>
          <w:lang w:val="en-US"/>
        </w:rPr>
        <w:t>.</w:t>
      </w:r>
      <w:r w:rsidR="00C131FF">
        <w:rPr>
          <w:lang w:val="en-US"/>
        </w:rPr>
        <w:t xml:space="preserve"> SSE</w:t>
      </w:r>
      <w:r w:rsidR="00C131FF">
        <w:rPr>
          <w:lang w:val="en-US"/>
        </w:rPr>
        <w:t xml:space="preserve"> </w:t>
      </w:r>
      <w:proofErr w:type="spellStart"/>
      <w:r w:rsidR="00C131FF">
        <w:rPr>
          <w:lang w:val="en-US"/>
        </w:rPr>
        <w:t>ir</w:t>
      </w:r>
      <w:proofErr w:type="spellEnd"/>
      <w:r w:rsidR="00C131FF">
        <w:rPr>
          <w:lang w:val="en-US"/>
        </w:rPr>
        <w:t xml:space="preserve"> </w:t>
      </w:r>
      <w:proofErr w:type="gramStart"/>
      <w:r w:rsidR="00C131FF">
        <w:rPr>
          <w:lang w:val="en-US"/>
        </w:rPr>
        <w:t>f(</w:t>
      </w:r>
      <w:proofErr w:type="gramEnd"/>
      <w:r w:rsidR="00C131FF">
        <w:rPr>
          <w:lang w:val="en-US"/>
        </w:rPr>
        <w:t xml:space="preserve">K) </w:t>
      </w:r>
      <w:proofErr w:type="spellStart"/>
      <w:r w:rsidR="00C131FF">
        <w:rPr>
          <w:lang w:val="en-US"/>
        </w:rPr>
        <w:t>analizių</w:t>
      </w:r>
      <w:proofErr w:type="spellEnd"/>
      <w:r w:rsidR="00C131FF">
        <w:rPr>
          <w:lang w:val="en-US"/>
        </w:rPr>
        <w:t xml:space="preserve"> </w:t>
      </w:r>
      <w:proofErr w:type="spellStart"/>
      <w:r w:rsidR="00C131FF">
        <w:rPr>
          <w:lang w:val="en-US"/>
        </w:rPr>
        <w:t>rezultatai</w:t>
      </w:r>
      <w:proofErr w:type="spellEnd"/>
    </w:p>
    <w:p w14:paraId="17601B5A" w14:textId="77777777" w:rsidR="00C131FF" w:rsidRDefault="00C131FF" w:rsidP="00EA28E3">
      <w:pPr>
        <w:rPr>
          <w:lang w:val="en-US"/>
        </w:rPr>
      </w:pPr>
    </w:p>
    <w:p w14:paraId="46CC7621" w14:textId="7E6B808E" w:rsidR="00B94318" w:rsidRDefault="00B94318" w:rsidP="00B94318">
      <w:pPr>
        <w:spacing w:line="360" w:lineRule="auto"/>
        <w:ind w:firstLine="720"/>
      </w:pPr>
      <w:r>
        <w:t xml:space="preserve">Turėdami aukščiau pateiktus grafikus pasitarus mūsų grupėje buvo nuspręsta, kad 5 klasteriai visgi būtų efektyviausias ir priimtiniausias sprendimas. Todėl, </w:t>
      </w:r>
      <w:r w:rsidR="00B452B9">
        <w:t xml:space="preserve">tolimesniame projekto žingsyje atliekame vartotojų segmentaciją su 5 klasteriais. </w:t>
      </w:r>
    </w:p>
    <w:p w14:paraId="7D2FC157" w14:textId="1FDB4A2A" w:rsidR="00216C5D" w:rsidRDefault="00216C5D" w:rsidP="00B94318">
      <w:pPr>
        <w:spacing w:line="360" w:lineRule="auto"/>
        <w:ind w:firstLine="720"/>
      </w:pPr>
    </w:p>
    <w:p w14:paraId="3AB8EA66" w14:textId="4EE9AF6C" w:rsidR="00216C5D" w:rsidRDefault="00216C5D" w:rsidP="00216C5D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75FBAC08" wp14:editId="614A705C">
            <wp:extent cx="4562475" cy="1929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2599" cy="19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628" w14:textId="0E61CBBE" w:rsidR="00216C5D" w:rsidRPr="00216C5D" w:rsidRDefault="00216C5D" w:rsidP="00216C5D">
      <w:pPr>
        <w:ind w:firstLine="720"/>
        <w:jc w:val="center"/>
      </w:pPr>
      <w:r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lentelė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</w:t>
      </w:r>
      <w:proofErr w:type="spellEnd"/>
      <w:r>
        <w:t>ų centrai</w:t>
      </w:r>
    </w:p>
    <w:p w14:paraId="611F99F6" w14:textId="77777777" w:rsidR="00B94318" w:rsidRDefault="00B94318" w:rsidP="00B94318">
      <w:pPr>
        <w:spacing w:line="360" w:lineRule="auto"/>
        <w:ind w:firstLine="720"/>
      </w:pPr>
    </w:p>
    <w:p w14:paraId="54347F7C" w14:textId="61EEBA5B" w:rsidR="00D304E9" w:rsidRDefault="00804DD1" w:rsidP="00D304E9">
      <w:pPr>
        <w:spacing w:line="360" w:lineRule="auto"/>
        <w:ind w:firstLine="720"/>
      </w:pPr>
      <w:r>
        <w:t xml:space="preserve">Suskirtyti duomenys yra į 5 klasterius su ID kodais nuo 0 iki 4. </w:t>
      </w:r>
      <w:r w:rsidR="00EC57A9">
        <w:t xml:space="preserve">Svarbu atkreipti dėmesį į klasterį, kurio ID yra 2. Šis klasteris savyje talpina išskirtis tokias kaip „calls_outgoing_spendings“. Matome, kad vidutiniškai kituose klasteriuose išlaidos skambučiams sudaro nuo 0.62 iki 30.63 piniginių vienetų. Visgi, 2-ame klasteryje šių duomenų rinkinio centras yra 218.09. </w:t>
      </w:r>
      <w:r w:rsidR="00D304E9">
        <w:t>Ta pati situacija pastebima ir su kitu duomenų rinkiniu - „user_spendings“ (bendros kliento išlaidos). Tuo tarpu klasterio 0 „user_lifetime“ centras beveik 10 kartų lenkia 2, 3 bei 4 klasterio to pačio duomenų rinkinio centrus.</w:t>
      </w:r>
    </w:p>
    <w:p w14:paraId="5E6736F9" w14:textId="39378013" w:rsidR="003A6614" w:rsidRPr="003A6614" w:rsidRDefault="00D304E9" w:rsidP="00393443">
      <w:pPr>
        <w:spacing w:line="360" w:lineRule="auto"/>
        <w:ind w:firstLine="720"/>
      </w:pPr>
      <w:r>
        <w:t xml:space="preserve">Šį k-means klasterizavimo modelį išsaugojome Apache Parquet formatu, kad prireikus ateityje, būtų lengvai pasiekiamas visiems grupės nariams. Visi duomenų failai bei aprašai išsaugoti GitHub repozitorijoje. </w:t>
      </w:r>
    </w:p>
    <w:p w14:paraId="39AC2D9B" w14:textId="77777777" w:rsidR="00AF0D8F" w:rsidRDefault="00AF0D8F" w:rsidP="00493229">
      <w:pPr>
        <w:pStyle w:val="Antratbenr"/>
      </w:pPr>
      <w:bookmarkStart w:id="14" w:name="_Toc503646980"/>
      <w:bookmarkStart w:id="15" w:name="_Toc503648370"/>
      <w:bookmarkStart w:id="16" w:name="_Toc503651314"/>
      <w:bookmarkStart w:id="17" w:name="_Toc505346890"/>
      <w:bookmarkStart w:id="18" w:name="_Toc24916408"/>
      <w:bookmarkStart w:id="19" w:name="_Toc24919486"/>
      <w:bookmarkEnd w:id="5"/>
      <w:bookmarkEnd w:id="6"/>
      <w:bookmarkEnd w:id="7"/>
      <w:bookmarkEnd w:id="8"/>
      <w:r>
        <w:lastRenderedPageBreak/>
        <w:t>Išvados</w:t>
      </w:r>
      <w:bookmarkEnd w:id="14"/>
      <w:bookmarkEnd w:id="15"/>
      <w:bookmarkEnd w:id="16"/>
      <w:bookmarkEnd w:id="17"/>
      <w:bookmarkEnd w:id="18"/>
      <w:bookmarkEnd w:id="19"/>
    </w:p>
    <w:p w14:paraId="1D5E673B" w14:textId="272BBE62" w:rsidR="00270868" w:rsidRDefault="00D2359F" w:rsidP="00E5679B">
      <w:pPr>
        <w:pStyle w:val="ListNumber"/>
        <w:numPr>
          <w:ilvl w:val="0"/>
          <w:numId w:val="14"/>
        </w:numPr>
      </w:pPr>
      <w:bookmarkStart w:id="20" w:name="_Toc503646981"/>
      <w:bookmarkStart w:id="21" w:name="_Toc503648371"/>
      <w:bookmarkStart w:id="22" w:name="_Toc503651315"/>
      <w:bookmarkStart w:id="23" w:name="_Toc505346891"/>
      <w:r>
        <w:t>Atlikus pirminę duomenų analizę bei pasitelkus sprendimų medžio sudarytų duomenų reitingavimu buvo išrinkti 8 mūsų nuomone svarbiausi duomenų rinkiniai, kurie toliau panaudoti klasterių sudarymui.</w:t>
      </w:r>
    </w:p>
    <w:p w14:paraId="5433754A" w14:textId="5EAAFC29" w:rsidR="00D2359F" w:rsidRDefault="00E72C13" w:rsidP="00E5679B">
      <w:pPr>
        <w:pStyle w:val="ListNumber"/>
        <w:numPr>
          <w:ilvl w:val="0"/>
          <w:numId w:val="14"/>
        </w:numPr>
      </w:pPr>
      <w:r>
        <w:t xml:space="preserve">Išanalizavus SSE bei f(K) pateiktus siūlymus buvo priimtas sprendimas duomenų rinkinius klasterizuoti į 5 atskirus klasterius. </w:t>
      </w:r>
    </w:p>
    <w:p w14:paraId="609887F6" w14:textId="2EEF94AF" w:rsidR="00E72C13" w:rsidRPr="00270868" w:rsidRDefault="00E72C13" w:rsidP="00E5679B">
      <w:pPr>
        <w:pStyle w:val="ListNumber"/>
        <w:numPr>
          <w:ilvl w:val="0"/>
          <w:numId w:val="14"/>
        </w:numPr>
      </w:pPr>
      <w:r>
        <w:t xml:space="preserve">Atlikus k-means klasterizavimą pastebėta, kad vienas iš klasterių išsiskiria iš kitų dėl ypač mažo duomenų kiekio ir didelių išskirčių. Visig, daugiau nei 79 proc. duomenų pateko į klasterį pažymėtu 1 ID. </w:t>
      </w:r>
    </w:p>
    <w:p w14:paraId="412CA059" w14:textId="77777777" w:rsidR="00AF0D8F" w:rsidRDefault="00AF0D8F" w:rsidP="00493229">
      <w:pPr>
        <w:pStyle w:val="Antratbenr"/>
      </w:pPr>
      <w:bookmarkStart w:id="24" w:name="_Toc24916409"/>
      <w:bookmarkStart w:id="25" w:name="_Toc24919487"/>
      <w:r>
        <w:lastRenderedPageBreak/>
        <w:t>Literatūros sąrašas</w:t>
      </w:r>
      <w:bookmarkEnd w:id="20"/>
      <w:bookmarkEnd w:id="21"/>
      <w:bookmarkEnd w:id="22"/>
      <w:bookmarkEnd w:id="23"/>
      <w:bookmarkEnd w:id="24"/>
      <w:bookmarkEnd w:id="25"/>
    </w:p>
    <w:p w14:paraId="409AD89F" w14:textId="77777777" w:rsidR="00B73872" w:rsidRDefault="00B73872" w:rsidP="00B73872">
      <w:pPr>
        <w:pStyle w:val="Default"/>
      </w:pPr>
    </w:p>
    <w:p w14:paraId="0F751BB7" w14:textId="77777777" w:rsidR="00B73872" w:rsidRDefault="00B73872" w:rsidP="00B73872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1. Han J., </w:t>
      </w:r>
      <w:proofErr w:type="spellStart"/>
      <w:r>
        <w:rPr>
          <w:sz w:val="23"/>
          <w:szCs w:val="23"/>
        </w:rPr>
        <w:t>Kamber</w:t>
      </w:r>
      <w:proofErr w:type="spellEnd"/>
      <w:r>
        <w:rPr>
          <w:sz w:val="23"/>
          <w:szCs w:val="23"/>
        </w:rPr>
        <w:t xml:space="preserve"> M. Data Mining: Concepts and Techniques (3 </w:t>
      </w:r>
      <w:proofErr w:type="gramStart"/>
      <w:r>
        <w:rPr>
          <w:sz w:val="23"/>
          <w:szCs w:val="23"/>
        </w:rPr>
        <w:t>ed</w:t>
      </w:r>
      <w:proofErr w:type="gramEnd"/>
      <w:r>
        <w:rPr>
          <w:sz w:val="23"/>
          <w:szCs w:val="23"/>
        </w:rPr>
        <w:t xml:space="preserve">.). Burlington, MA, USA: Elsevier Science &amp; Technology, 2011.-496 pp.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 http://site.ebrary.com/lib/ktu/Doc?id=1039930 </w:t>
      </w:r>
    </w:p>
    <w:p w14:paraId="1AB4E7B1" w14:textId="77777777" w:rsidR="00B73872" w:rsidRDefault="00B73872" w:rsidP="00B73872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Didžiųjų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duomenų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rinkinių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tyrybos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metodai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Studijų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medžiaga</w:t>
      </w:r>
      <w:proofErr w:type="spellEnd"/>
      <w:r>
        <w:rPr>
          <w:sz w:val="23"/>
          <w:szCs w:val="23"/>
        </w:rPr>
        <w:t xml:space="preserve">. Kaunas: KTU, 2019.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 http://vma.ktu.lt/ </w:t>
      </w:r>
    </w:p>
    <w:p w14:paraId="29292B39" w14:textId="77777777" w:rsidR="00B73872" w:rsidRDefault="00B73872" w:rsidP="00B73872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PySpark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programinės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įrangos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dokumentacija</w:t>
      </w:r>
      <w:proofErr w:type="spell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interaktyvus</w:t>
      </w:r>
      <w:proofErr w:type="spellEnd"/>
      <w:r>
        <w:rPr>
          <w:sz w:val="23"/>
          <w:szCs w:val="23"/>
        </w:rPr>
        <w:t>]. 2019 [</w:t>
      </w:r>
      <w:proofErr w:type="spellStart"/>
      <w:r>
        <w:rPr>
          <w:sz w:val="23"/>
          <w:szCs w:val="23"/>
        </w:rPr>
        <w:t>žiūrėta</w:t>
      </w:r>
      <w:proofErr w:type="spellEnd"/>
      <w:r>
        <w:rPr>
          <w:sz w:val="23"/>
          <w:szCs w:val="23"/>
        </w:rPr>
        <w:t xml:space="preserve"> 2019-10-11].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per: http://spark.apache.org/docs/latest/api/python/index.html </w:t>
      </w:r>
    </w:p>
    <w:p w14:paraId="2B6BECD8" w14:textId="77777777" w:rsidR="00B73872" w:rsidRDefault="00B73872" w:rsidP="00B73872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4. Python 3.7 </w:t>
      </w:r>
      <w:proofErr w:type="spellStart"/>
      <w:r>
        <w:rPr>
          <w:sz w:val="23"/>
          <w:szCs w:val="23"/>
        </w:rPr>
        <w:t>programavimo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kalbos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dokumentacija</w:t>
      </w:r>
      <w:proofErr w:type="spell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interaktyvus</w:t>
      </w:r>
      <w:proofErr w:type="spellEnd"/>
      <w:r>
        <w:rPr>
          <w:sz w:val="23"/>
          <w:szCs w:val="23"/>
        </w:rPr>
        <w:t>]. 2019 [</w:t>
      </w:r>
      <w:proofErr w:type="spellStart"/>
      <w:r>
        <w:rPr>
          <w:sz w:val="23"/>
          <w:szCs w:val="23"/>
        </w:rPr>
        <w:t>žiūrėta</w:t>
      </w:r>
      <w:proofErr w:type="spellEnd"/>
      <w:r>
        <w:rPr>
          <w:sz w:val="23"/>
          <w:szCs w:val="23"/>
        </w:rPr>
        <w:t xml:space="preserve"> 2019-10-11].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per: https://docs.python.org/3/ </w:t>
      </w:r>
    </w:p>
    <w:p w14:paraId="6669EAB7" w14:textId="77777777" w:rsidR="00B73872" w:rsidRDefault="00B73872" w:rsidP="00B73872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Exacaster</w:t>
      </w:r>
      <w:proofErr w:type="spellEnd"/>
      <w:r>
        <w:rPr>
          <w:sz w:val="23"/>
          <w:szCs w:val="23"/>
        </w:rPr>
        <w:t xml:space="preserve"> White paper: Essential Guide for Predicting Customer Churn [</w:t>
      </w:r>
      <w:proofErr w:type="spellStart"/>
      <w:r>
        <w:rPr>
          <w:sz w:val="23"/>
          <w:szCs w:val="23"/>
        </w:rPr>
        <w:t>interaktyvus</w:t>
      </w:r>
      <w:proofErr w:type="spellEnd"/>
      <w:r>
        <w:rPr>
          <w:sz w:val="23"/>
          <w:szCs w:val="23"/>
        </w:rPr>
        <w:t>]. 2019 [</w:t>
      </w:r>
      <w:proofErr w:type="spellStart"/>
      <w:r>
        <w:rPr>
          <w:sz w:val="23"/>
          <w:szCs w:val="23"/>
        </w:rPr>
        <w:t>žiūrėta</w:t>
      </w:r>
      <w:proofErr w:type="spellEnd"/>
      <w:r>
        <w:rPr>
          <w:sz w:val="23"/>
          <w:szCs w:val="23"/>
        </w:rPr>
        <w:t xml:space="preserve"> 2019-10-11].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per: http://www.exacaster.com/whitepaper-essential-guide-predicting-customer-churn/ </w:t>
      </w:r>
    </w:p>
    <w:p w14:paraId="085E5CEE" w14:textId="77777777" w:rsidR="00B73872" w:rsidRDefault="00B73872" w:rsidP="00B73872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6. Segmentation for Prepaid: An </w:t>
      </w:r>
      <w:proofErr w:type="spellStart"/>
      <w:r>
        <w:rPr>
          <w:sz w:val="23"/>
          <w:szCs w:val="23"/>
        </w:rPr>
        <w:t>Exacaster</w:t>
      </w:r>
      <w:proofErr w:type="spellEnd"/>
      <w:r>
        <w:rPr>
          <w:sz w:val="23"/>
          <w:szCs w:val="23"/>
        </w:rPr>
        <w:t xml:space="preserve"> White Paper. 2019 [</w:t>
      </w:r>
      <w:proofErr w:type="spellStart"/>
      <w:r>
        <w:rPr>
          <w:sz w:val="23"/>
          <w:szCs w:val="23"/>
        </w:rPr>
        <w:t>žiūrėta</w:t>
      </w:r>
      <w:proofErr w:type="spellEnd"/>
      <w:r>
        <w:rPr>
          <w:sz w:val="23"/>
          <w:szCs w:val="23"/>
        </w:rPr>
        <w:t xml:space="preserve"> 2019-10-11].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per: http://www.exacaster.com/whitepaper-segmentation-for-prepaid/ </w:t>
      </w:r>
    </w:p>
    <w:p w14:paraId="271FBFE6" w14:textId="77777777" w:rsidR="00B73872" w:rsidRDefault="00B73872" w:rsidP="00B738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r>
        <w:rPr>
          <w:i/>
          <w:iCs/>
          <w:sz w:val="23"/>
          <w:szCs w:val="23"/>
        </w:rPr>
        <w:t xml:space="preserve">Berry M. J., </w:t>
      </w:r>
      <w:proofErr w:type="spellStart"/>
      <w:r>
        <w:rPr>
          <w:i/>
          <w:iCs/>
          <w:sz w:val="23"/>
          <w:szCs w:val="23"/>
        </w:rPr>
        <w:t>Linoff</w:t>
      </w:r>
      <w:proofErr w:type="spellEnd"/>
      <w:r>
        <w:rPr>
          <w:i/>
          <w:iCs/>
          <w:sz w:val="23"/>
          <w:szCs w:val="23"/>
        </w:rPr>
        <w:t xml:space="preserve"> G. S. Data Mining Techniques: For Marketing, Sales, and Customer Relationship Management (3rd Edition). Hoboken, NJ, USA, Wiley, 2011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Prieiga</w:t>
      </w:r>
      <w:proofErr w:type="spellEnd"/>
      <w:r>
        <w:rPr>
          <w:sz w:val="23"/>
          <w:szCs w:val="23"/>
        </w:rPr>
        <w:t xml:space="preserve"> per http://site.ebrary.com/lib/ktu/docDetail.action?docID=10513818 </w:t>
      </w:r>
    </w:p>
    <w:p w14:paraId="39F34018" w14:textId="7FB0E700" w:rsidR="003764DB" w:rsidRDefault="003764DB" w:rsidP="00B73872">
      <w:pPr>
        <w:pStyle w:val="Bibliography"/>
        <w:numPr>
          <w:ilvl w:val="0"/>
          <w:numId w:val="0"/>
        </w:numPr>
        <w:ind w:left="357"/>
      </w:pPr>
    </w:p>
    <w:sectPr w:rsidR="003764DB" w:rsidSect="00733B28">
      <w:footerReference w:type="default" r:id="rId19"/>
      <w:footerReference w:type="first" r:id="rId20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F3774" w14:textId="77777777" w:rsidR="00133427" w:rsidRDefault="00133427" w:rsidP="00703F96">
      <w:pPr>
        <w:spacing w:line="240" w:lineRule="auto"/>
      </w:pPr>
      <w:r>
        <w:separator/>
      </w:r>
    </w:p>
    <w:p w14:paraId="3E3F2034" w14:textId="77777777" w:rsidR="00133427" w:rsidRDefault="00133427"/>
    <w:p w14:paraId="16C3342C" w14:textId="77777777" w:rsidR="00133427" w:rsidRDefault="00133427"/>
    <w:p w14:paraId="59B5482F" w14:textId="77777777" w:rsidR="00133427" w:rsidRDefault="00133427"/>
  </w:endnote>
  <w:endnote w:type="continuationSeparator" w:id="0">
    <w:p w14:paraId="66EF6E70" w14:textId="77777777" w:rsidR="00133427" w:rsidRDefault="00133427" w:rsidP="00703F96">
      <w:pPr>
        <w:spacing w:line="240" w:lineRule="auto"/>
      </w:pPr>
      <w:r>
        <w:continuationSeparator/>
      </w:r>
    </w:p>
    <w:p w14:paraId="0A6CBBD2" w14:textId="77777777" w:rsidR="00133427" w:rsidRDefault="00133427"/>
    <w:p w14:paraId="086E27CE" w14:textId="77777777" w:rsidR="00133427" w:rsidRDefault="00133427"/>
    <w:p w14:paraId="04F9CC60" w14:textId="77777777" w:rsidR="00133427" w:rsidRDefault="00133427"/>
  </w:endnote>
  <w:endnote w:type="continuationNotice" w:id="1">
    <w:p w14:paraId="02A764B7" w14:textId="77777777" w:rsidR="00133427" w:rsidRDefault="001334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2BF86F1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BB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73523" w14:textId="77777777" w:rsidR="00133427" w:rsidRDefault="00133427" w:rsidP="00703F96">
      <w:pPr>
        <w:spacing w:line="240" w:lineRule="auto"/>
      </w:pPr>
      <w:r>
        <w:separator/>
      </w:r>
    </w:p>
  </w:footnote>
  <w:footnote w:type="continuationSeparator" w:id="0">
    <w:p w14:paraId="3365E99A" w14:textId="77777777" w:rsidR="00133427" w:rsidRDefault="00133427" w:rsidP="00703F96">
      <w:pPr>
        <w:spacing w:line="240" w:lineRule="auto"/>
      </w:pPr>
      <w:r>
        <w:continuationSeparator/>
      </w:r>
    </w:p>
    <w:p w14:paraId="67BF976E" w14:textId="77777777" w:rsidR="00133427" w:rsidRDefault="00133427"/>
    <w:p w14:paraId="3C2132AC" w14:textId="77777777" w:rsidR="00133427" w:rsidRDefault="00133427"/>
    <w:p w14:paraId="60A1D6E9" w14:textId="77777777" w:rsidR="00133427" w:rsidRDefault="00133427"/>
  </w:footnote>
  <w:footnote w:type="continuationNotice" w:id="1">
    <w:p w14:paraId="185E2CAD" w14:textId="77777777" w:rsidR="00133427" w:rsidRDefault="0013342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1"/>
    <w:rsid w:val="00003F6F"/>
    <w:rsid w:val="00017E11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5FF4"/>
    <w:rsid w:val="00067E95"/>
    <w:rsid w:val="00074831"/>
    <w:rsid w:val="00076FBB"/>
    <w:rsid w:val="00086029"/>
    <w:rsid w:val="00087B46"/>
    <w:rsid w:val="000972C0"/>
    <w:rsid w:val="000A5E5C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1027D4"/>
    <w:rsid w:val="00112DF8"/>
    <w:rsid w:val="00113318"/>
    <w:rsid w:val="001148B6"/>
    <w:rsid w:val="00114EDB"/>
    <w:rsid w:val="00115D50"/>
    <w:rsid w:val="00120251"/>
    <w:rsid w:val="00125CEC"/>
    <w:rsid w:val="00132552"/>
    <w:rsid w:val="00132D76"/>
    <w:rsid w:val="00133427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0FCC"/>
    <w:rsid w:val="00181DFF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03A7"/>
    <w:rsid w:val="001B7286"/>
    <w:rsid w:val="001C0C97"/>
    <w:rsid w:val="001C13A6"/>
    <w:rsid w:val="001C6670"/>
    <w:rsid w:val="001D32A9"/>
    <w:rsid w:val="001E128D"/>
    <w:rsid w:val="001E1917"/>
    <w:rsid w:val="001E593D"/>
    <w:rsid w:val="001F0366"/>
    <w:rsid w:val="001F0CED"/>
    <w:rsid w:val="001F2F12"/>
    <w:rsid w:val="001F73A9"/>
    <w:rsid w:val="001F7522"/>
    <w:rsid w:val="00200062"/>
    <w:rsid w:val="002141C1"/>
    <w:rsid w:val="00214BB1"/>
    <w:rsid w:val="00216C5D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878AF"/>
    <w:rsid w:val="002918CD"/>
    <w:rsid w:val="0029446B"/>
    <w:rsid w:val="002A304D"/>
    <w:rsid w:val="002A47DD"/>
    <w:rsid w:val="002A6CEF"/>
    <w:rsid w:val="002B3F9D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0CB"/>
    <w:rsid w:val="003404BA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3443"/>
    <w:rsid w:val="00394551"/>
    <w:rsid w:val="003A049C"/>
    <w:rsid w:val="003A1C79"/>
    <w:rsid w:val="003A6614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249C0"/>
    <w:rsid w:val="00431AF3"/>
    <w:rsid w:val="0044222F"/>
    <w:rsid w:val="00442567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6B8F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54CA"/>
    <w:rsid w:val="00567FC5"/>
    <w:rsid w:val="0058403C"/>
    <w:rsid w:val="00585AAD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95128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26E20"/>
    <w:rsid w:val="00733B28"/>
    <w:rsid w:val="00736938"/>
    <w:rsid w:val="00741A01"/>
    <w:rsid w:val="00742C30"/>
    <w:rsid w:val="00753762"/>
    <w:rsid w:val="00760C1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C650C"/>
    <w:rsid w:val="007D54CA"/>
    <w:rsid w:val="007E056D"/>
    <w:rsid w:val="007E4B2B"/>
    <w:rsid w:val="007E5DE4"/>
    <w:rsid w:val="007E6F36"/>
    <w:rsid w:val="007E7373"/>
    <w:rsid w:val="007F02B0"/>
    <w:rsid w:val="00804DD1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60EA"/>
    <w:rsid w:val="00881DBB"/>
    <w:rsid w:val="00882BBC"/>
    <w:rsid w:val="00883BFC"/>
    <w:rsid w:val="008912AB"/>
    <w:rsid w:val="00897DD5"/>
    <w:rsid w:val="008A4790"/>
    <w:rsid w:val="008A76DE"/>
    <w:rsid w:val="008B2712"/>
    <w:rsid w:val="008C1998"/>
    <w:rsid w:val="008C3B94"/>
    <w:rsid w:val="008D2B68"/>
    <w:rsid w:val="008E2422"/>
    <w:rsid w:val="008E397A"/>
    <w:rsid w:val="008F247E"/>
    <w:rsid w:val="00900666"/>
    <w:rsid w:val="0091110A"/>
    <w:rsid w:val="0092674B"/>
    <w:rsid w:val="00927872"/>
    <w:rsid w:val="0093675D"/>
    <w:rsid w:val="0094208C"/>
    <w:rsid w:val="00945628"/>
    <w:rsid w:val="0094565D"/>
    <w:rsid w:val="00945752"/>
    <w:rsid w:val="009478E5"/>
    <w:rsid w:val="0095011D"/>
    <w:rsid w:val="00950FC3"/>
    <w:rsid w:val="009626F5"/>
    <w:rsid w:val="00967E35"/>
    <w:rsid w:val="009722C3"/>
    <w:rsid w:val="00976713"/>
    <w:rsid w:val="00995449"/>
    <w:rsid w:val="00995C24"/>
    <w:rsid w:val="009A1560"/>
    <w:rsid w:val="009A1791"/>
    <w:rsid w:val="009A4687"/>
    <w:rsid w:val="009C5BD2"/>
    <w:rsid w:val="009C67D1"/>
    <w:rsid w:val="009C7684"/>
    <w:rsid w:val="009E2EEB"/>
    <w:rsid w:val="009F5254"/>
    <w:rsid w:val="009F65A4"/>
    <w:rsid w:val="009F6F81"/>
    <w:rsid w:val="00A0248C"/>
    <w:rsid w:val="00A02913"/>
    <w:rsid w:val="00A037C6"/>
    <w:rsid w:val="00A04445"/>
    <w:rsid w:val="00A1143B"/>
    <w:rsid w:val="00A11525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3934"/>
    <w:rsid w:val="00A67960"/>
    <w:rsid w:val="00A70E06"/>
    <w:rsid w:val="00A73351"/>
    <w:rsid w:val="00A77892"/>
    <w:rsid w:val="00A80B60"/>
    <w:rsid w:val="00A94659"/>
    <w:rsid w:val="00A94F27"/>
    <w:rsid w:val="00AA31F2"/>
    <w:rsid w:val="00AA3AAF"/>
    <w:rsid w:val="00AB463A"/>
    <w:rsid w:val="00AB72EC"/>
    <w:rsid w:val="00AC1A1F"/>
    <w:rsid w:val="00AC6D6B"/>
    <w:rsid w:val="00AE29C8"/>
    <w:rsid w:val="00AF0D8F"/>
    <w:rsid w:val="00AF3207"/>
    <w:rsid w:val="00AF6844"/>
    <w:rsid w:val="00AF6FCF"/>
    <w:rsid w:val="00B005CD"/>
    <w:rsid w:val="00B028F8"/>
    <w:rsid w:val="00B05713"/>
    <w:rsid w:val="00B05865"/>
    <w:rsid w:val="00B116E2"/>
    <w:rsid w:val="00B15138"/>
    <w:rsid w:val="00B23DE5"/>
    <w:rsid w:val="00B24A33"/>
    <w:rsid w:val="00B35728"/>
    <w:rsid w:val="00B40D87"/>
    <w:rsid w:val="00B452B9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3872"/>
    <w:rsid w:val="00B74E62"/>
    <w:rsid w:val="00B8161C"/>
    <w:rsid w:val="00B84D0F"/>
    <w:rsid w:val="00B85CC9"/>
    <w:rsid w:val="00B94318"/>
    <w:rsid w:val="00B959D2"/>
    <w:rsid w:val="00B95F05"/>
    <w:rsid w:val="00BA2E0F"/>
    <w:rsid w:val="00BA470D"/>
    <w:rsid w:val="00BA5BFE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31FF"/>
    <w:rsid w:val="00C14163"/>
    <w:rsid w:val="00C1529A"/>
    <w:rsid w:val="00C316E2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026A"/>
    <w:rsid w:val="00CA063A"/>
    <w:rsid w:val="00CA3001"/>
    <w:rsid w:val="00CC232B"/>
    <w:rsid w:val="00CC2DC4"/>
    <w:rsid w:val="00CC60B4"/>
    <w:rsid w:val="00CE1BD5"/>
    <w:rsid w:val="00CE23CD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2359F"/>
    <w:rsid w:val="00D304E9"/>
    <w:rsid w:val="00D3687B"/>
    <w:rsid w:val="00D374B2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A1E77"/>
    <w:rsid w:val="00DB6CB3"/>
    <w:rsid w:val="00DC2E5B"/>
    <w:rsid w:val="00DC3BB7"/>
    <w:rsid w:val="00DC754F"/>
    <w:rsid w:val="00DD0E20"/>
    <w:rsid w:val="00DD4BD1"/>
    <w:rsid w:val="00DD7548"/>
    <w:rsid w:val="00DE23F3"/>
    <w:rsid w:val="00DE29B8"/>
    <w:rsid w:val="00DF5334"/>
    <w:rsid w:val="00DF7E01"/>
    <w:rsid w:val="00E0379E"/>
    <w:rsid w:val="00E07553"/>
    <w:rsid w:val="00E1021C"/>
    <w:rsid w:val="00E211EF"/>
    <w:rsid w:val="00E22928"/>
    <w:rsid w:val="00E23437"/>
    <w:rsid w:val="00E257DE"/>
    <w:rsid w:val="00E262A4"/>
    <w:rsid w:val="00E265CA"/>
    <w:rsid w:val="00E45887"/>
    <w:rsid w:val="00E51797"/>
    <w:rsid w:val="00E5679B"/>
    <w:rsid w:val="00E56D60"/>
    <w:rsid w:val="00E63BA3"/>
    <w:rsid w:val="00E71A36"/>
    <w:rsid w:val="00E72C13"/>
    <w:rsid w:val="00E72F45"/>
    <w:rsid w:val="00E77574"/>
    <w:rsid w:val="00E902CB"/>
    <w:rsid w:val="00E92554"/>
    <w:rsid w:val="00E97364"/>
    <w:rsid w:val="00EA077C"/>
    <w:rsid w:val="00EA28E3"/>
    <w:rsid w:val="00EA47EB"/>
    <w:rsid w:val="00EA72DB"/>
    <w:rsid w:val="00EB00C6"/>
    <w:rsid w:val="00EB04EE"/>
    <w:rsid w:val="00EB0787"/>
    <w:rsid w:val="00EB3709"/>
    <w:rsid w:val="00EB42EB"/>
    <w:rsid w:val="00EC57A9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21EE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6DA4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7387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/>
    </w:rPr>
  </w:style>
  <w:style w:type="paragraph" w:customStyle="1" w:styleId="Default">
    <w:name w:val="Default"/>
    <w:rsid w:val="00B738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9D"/>
    <w:rsid w:val="00B110CE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15FFB311D4C258C4383729A201627">
    <w:name w:val="48415FFB311D4C258C4383729A201627"/>
    <w:rsid w:val="00EC3D9D"/>
  </w:style>
  <w:style w:type="paragraph" w:customStyle="1" w:styleId="1E8C3C915ED846A08A4ACF0D22E5978F">
    <w:name w:val="1E8C3C915ED846A08A4ACF0D22E5978F"/>
    <w:rsid w:val="00EC3D9D"/>
  </w:style>
  <w:style w:type="paragraph" w:customStyle="1" w:styleId="64335594F3924231B45C50C9803EDB3F">
    <w:name w:val="64335594F3924231B45C50C9803EDB3F"/>
    <w:rsid w:val="00EC3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68AE67-340C-421A-A14D-2E4E1FAE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9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Ugne Butkute</cp:lastModifiedBy>
  <cp:revision>79</cp:revision>
  <cp:lastPrinted>2019-01-09T11:49:00Z</cp:lastPrinted>
  <dcterms:created xsi:type="dcterms:W3CDTF">2018-02-26T10:51:00Z</dcterms:created>
  <dcterms:modified xsi:type="dcterms:W3CDTF">2019-11-17T19:44:00Z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