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888888"/>
          <w:sz w:val="20"/>
          <w:szCs w:val="20"/>
        </w:rPr>
        <w:t xml:space="preserve">ANALYTICAL REPORT</w:t>
      </w:r>
    </w:p>
    <w:p>
      <w:pPr>
        <w:spacing w:after="80" w:before="60"/>
        <w:jc w:val="center"/>
      </w:pPr>
      <w:r>
        <w:rPr>
          <w:rFonts w:ascii="Times New Roman" w:cs="Times New Roman" w:eastAsia="Times New Roman" w:hAnsi="Times New Roman"/>
          <w:b/>
          <w:bCs/>
          <w:i w:val="false"/>
          <w:iCs w:val="false"/>
          <w:color w:val="1F3864"/>
          <w:sz w:val="40"/>
          <w:szCs w:val="40"/>
        </w:rPr>
        <w:t xml:space="preserve">Stage 1: Data Cleaning and Screening</w:t>
      </w:r>
    </w:p>
    <w:p>
      <w:pPr>
        <w:spacing w:after="80" w:before="0"/>
        <w:jc w:val="center"/>
      </w:pPr>
      <w:r>
        <w:rPr>
          <w:rFonts w:ascii="Times New Roman" w:cs="Times New Roman" w:eastAsia="Times New Roman" w:hAnsi="Times New Roman"/>
          <w:b w:val="false"/>
          <w:bCs w:val="false"/>
          <w:i/>
          <w:iCs/>
          <w:color w:val="2E5496"/>
          <w:sz w:val="26"/>
          <w:szCs w:val="26"/>
        </w:rPr>
        <w:t xml:space="preserve">Psychological Capital, Job Satisfaction, and Work Engagement Among Academic Staff</w:t>
      </w:r>
    </w:p>
    <w:p>
      <w:pPr>
        <w:spacing w:after="240" w:before="0"/>
        <w:jc w:val="center"/>
      </w:pPr>
      <w:r>
        <w:rPr>
          <w:rFonts w:ascii="Times New Roman" w:cs="Times New Roman" w:eastAsia="Times New Roman" w:hAnsi="Times New Roman"/>
          <w:b w:val="false"/>
          <w:bCs w:val="false"/>
          <w:i w:val="false"/>
          <w:iCs w:val="false"/>
          <w:color w:val="555555"/>
          <w:sz w:val="24"/>
          <w:szCs w:val="24"/>
        </w:rPr>
        <w:t xml:space="preserve">Al-Quds Open University — Palestine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Sample Size</w:t>
            </w:r>
          </w:p>
        </w:tc>
        <w:tc>
          <w:tcPr>
            <w:tcW w:type="dxa" w:w="3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 = 270 Academic Staff</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Instruments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PCQ-24 · UWES-9 · MSQ-20</w:t>
            </w:r>
          </w:p>
        </w:tc>
      </w:tr>
      <w:tr>
        <w:tc>
          <w:tcPr>
            <w:tcW w:type="dxa" w:w="3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Software</w:t>
            </w:r>
          </w:p>
        </w:tc>
        <w:tc>
          <w:tcPr>
            <w:tcW w:type="dxa" w:w="3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IBM SPSS Statistics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Analysis Date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 May 2026</w:t>
            </w:r>
          </w:p>
        </w:tc>
      </w:tr>
    </w:tbl>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1. Introduction</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Data cleaning and screening represent the foundational step of any quantitative research process. Conducting these procedures prior to substantive analysis ensures that the data are accurate, complete, and free from systematic errors that could bias subsequent results (Hair et al., 2019; Tabachnick &amp; Fidell, 2019). This report documents all cleaning and screening procedures applied to the dataset collected from 270 academic staff members at Al-Quds Open University (QOU), Palestine.</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The dataset comprises responses to three standardised instruments: the Psychological Capital Questionnaire (PCQ-24), the Utrecht Work Engagement Scale (UWES-9), and the Minnesota Satisfaction Questionnaire (MSQ-20), along with six demographic variables. All analyses reported herein were conducted using IBM SPSS Statistics, and all values are reported directly from SPSS output without modification.</w:t>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2. Missing Value Analysis</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Missing value analysis was performed using the SPSS Frequencies procedure (Analyze → Descriptive Statistics → Frequencies), specifying all 53 measurement items and six demographic variables. The output confirmed that N Valid = 270 and N Missing = 0 across every variable in the dataset, as verified from the Statistics tables in the SPSS output.</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This result is attributable to the use of a structured electronic questionnaire with mandatory response fields, which effectively prevented item non-response. Accordingly, no imputation or case-deletion procedures were required.</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200"/>
        <w:jc w:val="left"/>
      </w:pPr>
      <w:r>
        <w:rPr>
          <w:rFonts w:ascii="Times New Roman" w:cs="Times New Roman" w:eastAsia="Times New Roman" w:hAnsi="Times New Roman"/>
          <w:b/>
          <w:bCs/>
          <w:i/>
          <w:iCs/>
          <w:color w:val="000000"/>
          <w:sz w:val="24"/>
          <w:szCs w:val="24"/>
        </w:rPr>
        <w:t xml:space="preserve">Table 1</w:t>
      </w:r>
      <w:r>
        <w:rPr>
          <w:rFonts w:ascii="Times New Roman" w:cs="Times New Roman" w:eastAsia="Times New Roman" w:hAnsi="Times New Roman"/>
          <w:b w:val="false"/>
          <w:bCs w:val="false"/>
          <w:i/>
          <w:iCs/>
          <w:color w:val="000000"/>
          <w:sz w:val="24"/>
          <w:szCs w:val="24"/>
        </w:rPr>
        <w:t xml:space="preserve">
Missing Value Analysis — Complete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Variable / Scale</w:t>
            </w:r>
          </w:p>
        </w:tc>
        <w:tc>
          <w:tcPr>
            <w:tcW w:type="dxa" w:w="15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 Items</w:t>
            </w:r>
          </w:p>
        </w:tc>
        <w:tc>
          <w:tcPr>
            <w:tcW w:type="dxa" w:w="15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 Valid</w:t>
            </w:r>
          </w:p>
        </w:tc>
        <w:tc>
          <w:tcPr>
            <w:tcW w:type="dxa" w:w="15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 Missing</w:t>
            </w:r>
          </w:p>
        </w:tc>
        <w:tc>
          <w:tcPr>
            <w:tcW w:type="dxa" w:w="186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Missing %</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Gender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Age group</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Academic rank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Years of experience (QOU)</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Highest degree earned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Branch location</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PCQ-24 (pcq1–pcq24)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UWES-9 (uwes1–uwes9)</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MSQ-20 (msq1–msq20)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0.0%</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Total</w:t>
            </w:r>
          </w:p>
        </w:tc>
        <w:tc>
          <w:tcPr>
            <w:tcW w:type="dxa" w:w="1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000000"/>
                <w:sz w:val="22"/>
                <w:szCs w:val="22"/>
              </w:rPr>
              <w:t xml:space="preserve">59</w:t>
            </w:r>
          </w:p>
        </w:tc>
        <w:tc>
          <w:tcPr>
            <w:tcW w:type="dxa" w:w="1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270</w:t>
            </w:r>
          </w:p>
        </w:tc>
        <w:tc>
          <w:tcPr>
            <w:tcW w:type="dxa" w:w="15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w:t>
            </w:r>
          </w:p>
        </w:tc>
        <w:tc>
          <w:tcPr>
            <w:tcW w:type="dxa" w:w="18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0.0%</w:t>
            </w:r>
          </w:p>
        </w:tc>
      </w:tr>
    </w:tbl>
    <w:p>
      <w:pPr>
        <w:spacing w:after="120" w:before="60"/>
        <w:ind w:left="360"/>
        <w:jc w:val="both"/>
      </w:pPr>
      <w:r>
        <w:rPr>
          <w:rFonts w:ascii="Times New Roman" w:cs="Times New Roman" w:eastAsia="Times New Roman" w:hAnsi="Times New Roman"/>
          <w:b/>
          <w:bCs/>
          <w:i w:val="false"/>
          <w:iCs w:val="false"/>
          <w:color w:val="000000"/>
          <w:sz w:val="22"/>
          <w:szCs w:val="22"/>
        </w:rPr>
        <w:t xml:space="preserve">Note. </w:t>
      </w:r>
      <w:r>
        <w:rPr>
          <w:rFonts w:ascii="Times New Roman" w:cs="Times New Roman" w:eastAsia="Times New Roman" w:hAnsi="Times New Roman"/>
          <w:b w:val="false"/>
          <w:bCs w:val="false"/>
          <w:i/>
          <w:iCs/>
          <w:color w:val="000000"/>
          <w:sz w:val="22"/>
          <w:szCs w:val="22"/>
        </w:rPr>
        <w:t xml:space="preserve">All values in this table are sourced directly from the SPSS Frequencies output (Statistics table). N Valid and N Missing values are as reported by SPSS for each variable group.</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3. Data Range Verification</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To verify that all recorded responses fell within theoretically permissible scale boundaries, the minimum and maximum observed values for each item were extracted from the SPSS Descriptive Statistics output (Analyze → Descriptive Statistics → Descriptives, requesting Minimum and Maximum). Results are presented in Table 2 below.</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All 24 PCQ-24 items recorded a minimum of 1 and a maximum of 6, consistent with the instrument's 6-point Likert scale (1 = Strongly Disagree, 6 = Strongly Agree). All 9 UWES-9 items recorded values within the 0–6 range, consistent with the instrument's scoring convention that permits a minimum score of 0 (Never). All 20 MSQ-20 items recorded values within the 1–5 range. No out-of-range values were detected across any item, confirming the integrity of data entry and coding.</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200"/>
        <w:jc w:val="left"/>
      </w:pPr>
      <w:r>
        <w:rPr>
          <w:rFonts w:ascii="Times New Roman" w:cs="Times New Roman" w:eastAsia="Times New Roman" w:hAnsi="Times New Roman"/>
          <w:b/>
          <w:bCs/>
          <w:i/>
          <w:iCs/>
          <w:color w:val="000000"/>
          <w:sz w:val="24"/>
          <w:szCs w:val="24"/>
        </w:rPr>
        <w:t xml:space="preserve">Table 2</w:t>
      </w:r>
      <w:r>
        <w:rPr>
          <w:rFonts w:ascii="Times New Roman" w:cs="Times New Roman" w:eastAsia="Times New Roman" w:hAnsi="Times New Roman"/>
          <w:b w:val="false"/>
          <w:bCs w:val="false"/>
          <w:i/>
          <w:iCs/>
          <w:color w:val="000000"/>
          <w:sz w:val="24"/>
          <w:szCs w:val="24"/>
        </w:rPr>
        <w:t xml:space="preserve">
Scale Range Verification — Observed Minimum and Maximum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200"/>
        <w:gridCol w:w="1200"/>
        <w:gridCol w:w="1360"/>
      </w:tblGrid>
      <w:tr>
        <w:tc>
          <w:tcPr>
            <w:tcW w:type="dxa" w:w="28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Scale</w:t>
            </w:r>
          </w:p>
        </w:tc>
        <w:tc>
          <w:tcPr>
            <w:tcW w:type="dxa" w:w="12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 Items</w:t>
            </w:r>
          </w:p>
        </w:tc>
        <w:tc>
          <w:tcPr>
            <w:tcW w:type="dxa" w:w="16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Scale Type</w:t>
            </w:r>
          </w:p>
        </w:tc>
        <w:tc>
          <w:tcPr>
            <w:tcW w:type="dxa" w:w="12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Min (Obs.)</w:t>
            </w:r>
          </w:p>
        </w:tc>
        <w:tc>
          <w:tcPr>
            <w:tcW w:type="dxa" w:w="12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Max (Obs.)</w:t>
            </w:r>
          </w:p>
        </w:tc>
        <w:tc>
          <w:tcPr>
            <w:tcW w:type="dxa" w:w="136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Status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PCQ-24 — Psychological Capital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6-point Likert (1–6)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 Valid</w:t>
            </w:r>
          </w:p>
        </w:tc>
      </w:tr>
      <w:tr>
        <w:tc>
          <w:tcPr>
            <w:tcW w:type="dxa" w:w="28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UWES-9 — Work Engagement</w:t>
            </w:r>
          </w:p>
        </w:tc>
        <w:tc>
          <w:tcPr>
            <w:tcW w:type="dxa" w:w="12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16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7-point (0–6)</w:t>
            </w:r>
          </w:p>
        </w:tc>
        <w:tc>
          <w:tcPr>
            <w:tcW w:type="dxa" w:w="12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12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13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 Valid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MSQ-20 — Job Satisfaction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5-point Likert (1–5)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 Valid</w:t>
            </w:r>
          </w:p>
        </w:tc>
      </w:tr>
    </w:tbl>
    <w:p>
      <w:pPr>
        <w:spacing w:after="120" w:before="60"/>
        <w:ind w:left="360"/>
        <w:jc w:val="both"/>
      </w:pPr>
      <w:r>
        <w:rPr>
          <w:rFonts w:ascii="Times New Roman" w:cs="Times New Roman" w:eastAsia="Times New Roman" w:hAnsi="Times New Roman"/>
          <w:b/>
          <w:bCs/>
          <w:i w:val="false"/>
          <w:iCs w:val="false"/>
          <w:color w:val="000000"/>
          <w:sz w:val="22"/>
          <w:szCs w:val="22"/>
        </w:rPr>
        <w:t xml:space="preserve">Note. </w:t>
      </w:r>
      <w:r>
        <w:rPr>
          <w:rFonts w:ascii="Times New Roman" w:cs="Times New Roman" w:eastAsia="Times New Roman" w:hAnsi="Times New Roman"/>
          <w:b w:val="false"/>
          <w:bCs w:val="false"/>
          <w:i/>
          <w:iCs/>
          <w:color w:val="000000"/>
          <w:sz w:val="22"/>
          <w:szCs w:val="22"/>
        </w:rPr>
        <w:t xml:space="preserve">Observed minimum and maximum values are taken directly from the SPSS Descriptive Statistics output. The UWES-9 uses a 7-point scale anchored at 0 (Never) and 6 (Always/Every day), consistent with the original scoring manual (Schaufeli &amp; Bakker, 2003).</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4. Outlier Detection</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Outlier screening was conducted at the respondent level using the variable Respondent_SD, which was computed by SPSS as the standard deviation of each respondent's responses across all 53 items. This approach identifies cases exhibiting abnormally low within-person variance — a reliable indicator of straight-line or careless responding (Meade &amp; Craig, 2012). The Respondent_SD frequency table was generated via Analyze → Descriptive Statistics → Frequencies.</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The observed Respondent_SD values ranged from a minimum of 0.81 to a maximum of 1.77. The commonly applied threshold for flagging straight-line respondents is SD &lt; 0.50 (DeSimone et al., 2015). Since the minimum observed SD was 0.81, no respondents were flagged for removal on this criterion. No respondent exhibited an exceptionally high SD suggestive of random responding. All 270 cases were therefore retained.</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In addition, z-scores were computed for all 53 items (variables Zpcq1–Zmsq20) via the SPSS Descriptives procedure (Save standardized values as variables option). Item-level z-score distributions were inspected and no item-level extreme outliers (|z| &gt; 3.29) were identified that would necessitate case removal.</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200"/>
        <w:jc w:val="left"/>
      </w:pPr>
      <w:r>
        <w:rPr>
          <w:rFonts w:ascii="Times New Roman" w:cs="Times New Roman" w:eastAsia="Times New Roman" w:hAnsi="Times New Roman"/>
          <w:b/>
          <w:bCs/>
          <w:i/>
          <w:iCs/>
          <w:color w:val="000000"/>
          <w:sz w:val="24"/>
          <w:szCs w:val="24"/>
        </w:rPr>
        <w:t xml:space="preserve">Table 3</w:t>
      </w:r>
      <w:r>
        <w:rPr>
          <w:rFonts w:ascii="Times New Roman" w:cs="Times New Roman" w:eastAsia="Times New Roman" w:hAnsi="Times New Roman"/>
          <w:b w:val="false"/>
          <w:bCs w:val="false"/>
          <w:i/>
          <w:iCs/>
          <w:color w:val="000000"/>
          <w:sz w:val="24"/>
          <w:szCs w:val="24"/>
        </w:rPr>
        <w:t xml:space="preserve">
Respondent-Level Outlier Screening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Criterion</w:t>
            </w:r>
          </w:p>
        </w:tc>
        <w:tc>
          <w:tcPr>
            <w:tcW w:type="dxa" w:w="2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Threshold</w:t>
            </w:r>
          </w:p>
        </w:tc>
        <w:tc>
          <w:tcPr>
            <w:tcW w:type="dxa" w:w="2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Observed Value</w:t>
            </w:r>
          </w:p>
        </w:tc>
        <w:tc>
          <w:tcPr>
            <w:tcW w:type="dxa" w:w="236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Decision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Minimum Respondent SD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SD &lt; 0.50
(straight-lining)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0.81</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No cases flagged — retained</w:t>
            </w:r>
          </w:p>
        </w:tc>
      </w:tr>
      <w:tr>
        <w:tc>
          <w:tcPr>
            <w:tcW w:type="dxa" w:w="3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Maximum Respondent SD</w:t>
            </w:r>
          </w:p>
        </w:tc>
        <w:tc>
          <w:tcPr>
            <w:tcW w:type="dxa" w:w="2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SD &gt; 3.0
(extreme inconsistency)</w:t>
            </w:r>
          </w:p>
        </w:tc>
        <w:tc>
          <w:tcPr>
            <w:tcW w:type="dxa" w:w="2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1.77</w:t>
            </w:r>
          </w:p>
        </w:tc>
        <w:tc>
          <w:tcPr>
            <w:tcW w:type="dxa" w:w="23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Within acceptable range — retained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Cases removed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375623"/>
                <w:sz w:val="22"/>
                <w:szCs w:val="22"/>
              </w:rPr>
              <w:t xml:space="preserve">All 270 cases retained</w:t>
            </w:r>
          </w:p>
        </w:tc>
      </w:tr>
    </w:tbl>
    <w:p>
      <w:pPr>
        <w:spacing w:after="120" w:before="60"/>
        <w:ind w:left="360"/>
        <w:jc w:val="both"/>
      </w:pPr>
      <w:r>
        <w:rPr>
          <w:rFonts w:ascii="Times New Roman" w:cs="Times New Roman" w:eastAsia="Times New Roman" w:hAnsi="Times New Roman"/>
          <w:b/>
          <w:bCs/>
          <w:i w:val="false"/>
          <w:iCs w:val="false"/>
          <w:color w:val="000000"/>
          <w:sz w:val="22"/>
          <w:szCs w:val="22"/>
        </w:rPr>
        <w:t xml:space="preserve">Note. </w:t>
      </w:r>
      <w:r>
        <w:rPr>
          <w:rFonts w:ascii="Times New Roman" w:cs="Times New Roman" w:eastAsia="Times New Roman" w:hAnsi="Times New Roman"/>
          <w:b w:val="false"/>
          <w:bCs w:val="false"/>
          <w:i/>
          <w:iCs/>
          <w:color w:val="000000"/>
          <w:sz w:val="22"/>
          <w:szCs w:val="22"/>
        </w:rPr>
        <w:t xml:space="preserve">Respondent_SD is the within-person standard deviation computed by SPSS across all 53 items. Minimum and maximum Respondent_SD values are sourced directly from the SPSS Frequencies output for the variable Respondent_SD. The threshold of SD &lt; 0.50 follows Meade and Craig (2012).</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5. Reverse-Item Identification and Coding Verification</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Inspection of the PCQ-24 frequency distributions revealed three negatively worded items that require reverse scoring prior to subscale computation. These items are embedded within the Resilience and Optimism subscales and are marked with (R) in the original instrument (Luthans et al., 2007). Their identification was confirmed by comparing their observed means against positively worded items within the same subscale: the three reverse items recorded means below 3.00, whereas positively worded items consistently recorded means above 4.00, indicating that reverse scoring had not yet been applied in the raw dataset.</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The reverse-scoring formula for a 6-point scale is: Recoded value = 7 − Original value. This recoding must be applied to pcq13, pcq20, and pcq23 before computing subscale means, composite scores, reliability coefficients, or any subsequent analysis.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200"/>
        <w:jc w:val="left"/>
      </w:pPr>
      <w:r>
        <w:rPr>
          <w:rFonts w:ascii="Times New Roman" w:cs="Times New Roman" w:eastAsia="Times New Roman" w:hAnsi="Times New Roman"/>
          <w:b/>
          <w:bCs/>
          <w:i/>
          <w:iCs/>
          <w:color w:val="000000"/>
          <w:sz w:val="24"/>
          <w:szCs w:val="24"/>
        </w:rPr>
        <w:t xml:space="preserve">Table 4</w:t>
      </w:r>
      <w:r>
        <w:rPr>
          <w:rFonts w:ascii="Times New Roman" w:cs="Times New Roman" w:eastAsia="Times New Roman" w:hAnsi="Times New Roman"/>
          <w:b w:val="false"/>
          <w:bCs w:val="false"/>
          <w:i/>
          <w:iCs/>
          <w:color w:val="000000"/>
          <w:sz w:val="24"/>
          <w:szCs w:val="24"/>
        </w:rPr>
        <w:t xml:space="preserve">
Negatively Worded Items Requiring Reverse Scoring — PCQ-24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600"/>
        <w:gridCol w:w="2560"/>
      </w:tblGrid>
      <w:tr>
        <w:tc>
          <w:tcPr>
            <w:tcW w:type="dxa" w:w="12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Item</w:t>
            </w:r>
          </w:p>
        </w:tc>
        <w:tc>
          <w:tcPr>
            <w:tcW w:type="dxa" w:w="4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Item Wording</w:t>
            </w:r>
          </w:p>
        </w:tc>
        <w:tc>
          <w:tcPr>
            <w:tcW w:type="dxa" w:w="16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Subscale</w:t>
            </w:r>
          </w:p>
        </w:tc>
        <w:tc>
          <w:tcPr>
            <w:tcW w:type="dxa" w:w="256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Observed Mean (Raw)</w:t>
            </w:r>
          </w:p>
        </w:tc>
      </w:tr>
      <w:tr>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000000"/>
                <w:sz w:val="22"/>
                <w:szCs w:val="22"/>
              </w:rPr>
              <w:t xml:space="preserve">pcq13</w:t>
            </w:r>
          </w:p>
        </w:tc>
        <w:tc>
          <w:tcPr>
            <w:tcW w:type="dxa" w:w="4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When I have a setback at work, I have trouble recovering from it, moving on.</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Resilience</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2"/>
                <w:szCs w:val="22"/>
              </w:rPr>
              <w:t xml:space="preserve">2.65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000000"/>
                <w:sz w:val="22"/>
                <w:szCs w:val="22"/>
              </w:rPr>
              <w:t xml:space="preserve">pcq20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If something can go wrong for me work-wise, it will.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Optimism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2"/>
                <w:szCs w:val="22"/>
              </w:rPr>
              <w:t xml:space="preserve">2.71</w:t>
            </w:r>
          </w:p>
        </w:tc>
      </w:tr>
      <w:tr>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000000"/>
                <w:sz w:val="22"/>
                <w:szCs w:val="22"/>
              </w:rPr>
              <w:t xml:space="preserve">pcq23</w:t>
            </w:r>
          </w:p>
        </w:tc>
        <w:tc>
          <w:tcPr>
            <w:tcW w:type="dxa" w:w="4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 this job, things never work out the way I want them to.</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Optimism</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2"/>
                <w:szCs w:val="22"/>
              </w:rPr>
              <w:t xml:space="preserve">2.85</w:t>
            </w:r>
          </w:p>
        </w:tc>
      </w:tr>
    </w:tbl>
    <w:p>
      <w:pPr>
        <w:spacing w:after="120" w:before="60"/>
        <w:ind w:left="360"/>
        <w:jc w:val="both"/>
      </w:pPr>
      <w:r>
        <w:rPr>
          <w:rFonts w:ascii="Times New Roman" w:cs="Times New Roman" w:eastAsia="Times New Roman" w:hAnsi="Times New Roman"/>
          <w:b/>
          <w:bCs/>
          <w:i w:val="false"/>
          <w:iCs w:val="false"/>
          <w:color w:val="000000"/>
          <w:sz w:val="22"/>
          <w:szCs w:val="22"/>
        </w:rPr>
        <w:t xml:space="preserve">Note. </w:t>
      </w:r>
      <w:r>
        <w:rPr>
          <w:rFonts w:ascii="Times New Roman" w:cs="Times New Roman" w:eastAsia="Times New Roman" w:hAnsi="Times New Roman"/>
          <w:b w:val="false"/>
          <w:bCs w:val="false"/>
          <w:i/>
          <w:iCs/>
          <w:color w:val="000000"/>
          <w:sz w:val="22"/>
          <w:szCs w:val="22"/>
        </w:rPr>
        <w:t xml:space="preserve">Item wording and subscale assignments are as per the original PCQ-24 instrument (Luthans et al., 2007). Observed means (Raw) are sourced directly from the SPSS Descriptive Statistics output and reflect the original (un-recoded) response values, confirming that reverse scoring is required. Recoding formula: Recoded = 7 − Original value.</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6. Data Cleaning Summary</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Table 5 presents a consolidated summary of all data cleaning procedures and their outcomes. The dataset is confirmed to be clean, complete, and suitable for all planned analytical stages. The only preparatory action required before proceeding to subsequent analyses is the reverse scoring of the three negatively worded PCQ-24 items identified in Section 5.</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spacing w:after="60" w:before="200"/>
        <w:jc w:val="left"/>
      </w:pPr>
      <w:r>
        <w:rPr>
          <w:rFonts w:ascii="Times New Roman" w:cs="Times New Roman" w:eastAsia="Times New Roman" w:hAnsi="Times New Roman"/>
          <w:b/>
          <w:bCs/>
          <w:i/>
          <w:iCs/>
          <w:color w:val="000000"/>
          <w:sz w:val="24"/>
          <w:szCs w:val="24"/>
        </w:rPr>
        <w:t xml:space="preserve">Table 5</w:t>
      </w:r>
      <w:r>
        <w:rPr>
          <w:rFonts w:ascii="Times New Roman" w:cs="Times New Roman" w:eastAsia="Times New Roman" w:hAnsi="Times New Roman"/>
          <w:b w:val="false"/>
          <w:bCs w:val="false"/>
          <w:i/>
          <w:iCs/>
          <w:color w:val="000000"/>
          <w:sz w:val="24"/>
          <w:szCs w:val="24"/>
        </w:rPr>
        <w:t xml:space="preserve">
Data Cleaning and Screening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Criterion</w:t>
            </w:r>
          </w:p>
        </w:tc>
        <w:tc>
          <w:tcPr>
            <w:tcW w:type="dxa" w:w="4360"/>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Result</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cases in dataset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270</w:t>
            </w:r>
          </w:p>
        </w:tc>
      </w:tr>
      <w:tr>
        <w:tc>
          <w:tcPr>
            <w:tcW w:type="dxa" w:w="5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Cases with missing values</w:t>
            </w:r>
          </w:p>
        </w:tc>
        <w:tc>
          <w:tcPr>
            <w:tcW w:type="dxa" w:w="43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 (0.0%)</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Out-of-range responses detected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w:t>
            </w:r>
          </w:p>
        </w:tc>
      </w:tr>
      <w:tr>
        <w:tc>
          <w:tcPr>
            <w:tcW w:type="dxa" w:w="5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Straight-line respondents (Respondent SD &lt; 0.50)</w:t>
            </w:r>
          </w:p>
        </w:tc>
        <w:tc>
          <w:tcPr>
            <w:tcW w:type="dxa" w:w="43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Cases removed from analysis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0</w:t>
            </w:r>
          </w:p>
        </w:tc>
      </w:tr>
      <w:tr>
        <w:tc>
          <w:tcPr>
            <w:tcW w:type="dxa" w:w="500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usable sample</w:t>
            </w:r>
          </w:p>
        </w:tc>
        <w:tc>
          <w:tcPr>
            <w:tcW w:type="dxa" w:w="4360"/>
            <w:tcBorders>
              <w:top w:val="single" w:color="AAAAAA" w:sz="1"/>
              <w:left w:val="single" w:color="AAAAAA" w:sz="1"/>
              <w:bottom w:val="single" w:color="AAAAAA" w:sz="1"/>
              <w:right w:val="single" w:color="AAAAAA" w:sz="1"/>
            </w:tcBorders>
            <w:shd w:fill="EBF2FB"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2"/>
                <w:szCs w:val="22"/>
              </w:rPr>
              <w:t xml:space="preserve">270 (100%)</w:t>
            </w:r>
          </w:p>
        </w:tc>
      </w:tr>
      <w:tr>
        <w:tc>
          <w:tcPr>
            <w:tcW w:type="dxa" w:w="5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Reverse-scored items requiring recoding</w:t>
            </w:r>
          </w:p>
        </w:tc>
        <w:tc>
          <w:tcPr>
            <w:tcW w:type="dxa" w:w="4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2"/>
                <w:szCs w:val="22"/>
              </w:rPr>
              <w:t xml:space="preserve">3 items: pcq13, pcq20, pcq23</w:t>
            </w:r>
          </w:p>
        </w:tc>
      </w:tr>
      <w:tr>
        <w:tc>
          <w:tcPr>
            <w:tcW w:type="dxa" w:w="5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Recoding formula (6-point scale)</w:t>
            </w:r>
          </w:p>
        </w:tc>
        <w:tc>
          <w:tcPr>
            <w:tcW w:type="dxa" w:w="4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2"/>
                <w:szCs w:val="22"/>
              </w:rPr>
              <w:t xml:space="preserve">Recoded value = 7 − original value</w:t>
            </w:r>
          </w:p>
        </w:tc>
      </w:tr>
    </w:tbl>
    <w:p>
      <w:pPr>
        <w:spacing w:after="120" w:before="60"/>
        <w:ind w:left="360"/>
        <w:jc w:val="both"/>
      </w:pPr>
      <w:r>
        <w:rPr>
          <w:rFonts w:ascii="Times New Roman" w:cs="Times New Roman" w:eastAsia="Times New Roman" w:hAnsi="Times New Roman"/>
          <w:b/>
          <w:bCs/>
          <w:i w:val="false"/>
          <w:iCs w:val="false"/>
          <w:color w:val="000000"/>
          <w:sz w:val="22"/>
          <w:szCs w:val="22"/>
        </w:rPr>
        <w:t xml:space="preserve">Note. </w:t>
      </w:r>
      <w:r>
        <w:rPr>
          <w:rFonts w:ascii="Times New Roman" w:cs="Times New Roman" w:eastAsia="Times New Roman" w:hAnsi="Times New Roman"/>
          <w:b w:val="false"/>
          <w:bCs w:val="false"/>
          <w:i/>
          <w:iCs/>
          <w:color w:val="000000"/>
          <w:sz w:val="22"/>
          <w:szCs w:val="22"/>
        </w:rPr>
        <w:t xml:space="preserve">All values are sourced from SPSS output as described in the preceding sections. Rows shaded in amber indicate preparatory actions required before proceeding to subsequent analytical stages.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7. Conclusion</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Data cleaning and screening confirm that the dataset meets all quality requirements for quantitative analysis. The complete sample of N = 270 is retained without deletion. Zero missing values, zero out-of-range responses, and zero outliers were detected. The only pending preparatory action is the reverse scoring of pcq13, pcq20, and pcq23, which must be executed in SPSS (Transform → Recode into Different Variables, using the formula: Recoded = 7 − Original) prior to any reliability, validity, or inferential analysis.</w:t>
      </w:r>
    </w:p>
    <w:p>
      <w:pPr>
        <w:spacing w:after="80" w:before="80"/>
        <w:ind w:firstLine="720"/>
        <w:jc w:val="both"/>
      </w:pPr>
      <w:r>
        <w:rPr>
          <w:rFonts w:ascii="Times New Roman" w:cs="Times New Roman" w:eastAsia="Times New Roman" w:hAnsi="Times New Roman"/>
          <w:b w:val="false"/>
          <w:bCs w:val="false"/>
          <w:i w:val="false"/>
          <w:iCs w:val="false"/>
          <w:color w:val="000000"/>
          <w:sz w:val="24"/>
          <w:szCs w:val="24"/>
        </w:rPr>
        <w:t xml:space="preserve">The analysis will proceed to Stage 2: Demographic Analysis.</w:t>
      </w:r>
    </w:p>
    <w:p>
      <w:pPr>
        <w:spacing w:after="60" w:before="6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E5496" w:sz="6" w:space="4"/>
        </w:pBdr>
        <w:spacing w:after="120" w:before="240"/>
      </w:pPr>
      <w:r>
        <w:rPr>
          <w:rFonts w:ascii="Times New Roman" w:cs="Times New Roman" w:eastAsia="Times New Roman" w:hAnsi="Times New Roman"/>
          <w:b/>
          <w:bCs/>
          <w:color w:val="2E5496"/>
          <w:sz w:val="28"/>
          <w:szCs w:val="28"/>
        </w:rPr>
        <w:t xml:space="preserve">References</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DeSimone, J. A., Harms, P. D., &amp; DeSimone, A. J. (2015). Best practice recommendations for data screening. Journal of Organizational Behavior, 36(2), 171–181. https://doi.org/10.1002/job.1962</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Hair, J. F., Black, W. C., Babin, B. J., &amp; Anderson, R. E. (2019). Multivariate data analysis (8th ed.). Cengage Learning.</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Luthans, F., Youssef, C. M., &amp; Avolio, B. J. (2007). Psychological capital: Developing the human competitive edge. Oxford University Press.</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Meade, A. W., &amp; Craig, S. B. (2012). Identifying careless responses in survey data. Psychological Methods, 17(3), 437–455. https://doi.org/10.1037/a0028085</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Schaufeli, W. B., &amp; Bakker, A. B. (2003). Utrecht Work Engagement Scale: Preliminary manual. Occupational Health Psychology Unit, Utrecht University.</w:t>
      </w:r>
    </w:p>
    <w:p>
      <w:pPr>
        <w:spacing w:after="60" w:before="60"/>
        <w:ind w:left="720" w:hanging="720"/>
        <w:jc w:val="both"/>
      </w:pPr>
      <w:r>
        <w:rPr>
          <w:rFonts w:ascii="Times New Roman" w:cs="Times New Roman" w:eastAsia="Times New Roman" w:hAnsi="Times New Roman"/>
          <w:b w:val="false"/>
          <w:bCs w:val="false"/>
          <w:i w:val="false"/>
          <w:iCs w:val="false"/>
          <w:color w:val="000000"/>
          <w:sz w:val="22"/>
          <w:szCs w:val="22"/>
        </w:rPr>
        <w:t xml:space="preserve">Tabachnick, B. G., &amp; Fidell, L. S. (2019). Using multivariate statistics (7th ed.). Pearson.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spacing w:before="100"/>
      <w:jc w:val="center"/>
    </w:pPr>
    <w:r>
      <w:rPr>
        <w:rFonts w:ascii="Times New Roman" w:cs="Times New Roman" w:eastAsia="Times New Roman" w:hAnsi="Times New Roman"/>
        <w:b w:val="false"/>
        <w:bCs w:val="false"/>
        <w:i w:val="false"/>
        <w:iCs w:val="false"/>
        <w:color w:val="888888"/>
        <w:sz w:val="18"/>
        <w:szCs w:val="18"/>
      </w:rPr>
      <w:t xml:space="preserve">Al-Quds Open University  |  N = 270  |  IBM SPSS Statistics v.28  </w:t>
    </w: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spacing w:after="100"/>
      <w:jc w:val="center"/>
    </w:pPr>
    <w:r>
      <w:rPr>
        <w:rFonts w:ascii="Times New Roman" w:cs="Times New Roman" w:eastAsia="Times New Roman" w:hAnsi="Times New Roman"/>
        <w:b w:val="false"/>
        <w:bCs w:val="false"/>
        <w:i w:val="false"/>
        <w:iCs w:val="false"/>
        <w:color w:val="2E5496"/>
        <w:sz w:val="18"/>
        <w:szCs w:val="18"/>
      </w:rPr>
      <w:t xml:space="preserve">Stage 1: Data Cleaning and Screening  |  Psychological Capital, Job Satisfaction &amp; Work Engagement  |  QOU — Palestine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2E5496"/>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2026-05-16T20:24:35.699Z</dcterms:created>
  <dcterms:modified xsi:type="dcterms:W3CDTF">2026-05-16T20:24:35.715Z</dcterms:modified>
</cp:coreProperties>
</file>

<file path=docProps/custom.xml><?xml version="1.0" encoding="utf-8"?>
<Properties xmlns="http://schemas.openxmlformats.org/officeDocument/2006/custom-properties" xmlns:vt="http://schemas.openxmlformats.org/officeDocument/2006/docPropsVTypes"/>
</file>