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94DB7" w14:textId="77777777" w:rsidR="001624DC" w:rsidRDefault="001624DC">
      <w:pPr>
        <w:spacing w:before="600" w:after="80"/>
      </w:pPr>
    </w:p>
    <w:p w14:paraId="25272386" w14:textId="77777777" w:rsidR="001624DC" w:rsidRDefault="00000000">
      <w:pPr>
        <w:spacing w:after="80"/>
        <w:jc w:val="center"/>
      </w:pPr>
      <w:r>
        <w:rPr>
          <w:rFonts w:ascii="Arial" w:eastAsia="Arial" w:hAnsi="Arial" w:cs="Arial"/>
          <w:b/>
          <w:bCs/>
          <w:color w:val="595959"/>
          <w:sz w:val="20"/>
          <w:szCs w:val="20"/>
        </w:rPr>
        <w:t>ANALYTICAL REPORT</w:t>
      </w:r>
    </w:p>
    <w:p w14:paraId="698A8E70" w14:textId="77777777" w:rsidR="001624DC" w:rsidRDefault="00000000">
      <w:pPr>
        <w:spacing w:after="60"/>
        <w:jc w:val="center"/>
      </w:pPr>
      <w:r>
        <w:rPr>
          <w:b/>
          <w:bCs/>
          <w:color w:val="1F3864"/>
          <w:sz w:val="44"/>
          <w:szCs w:val="44"/>
        </w:rPr>
        <w:t>Verification of Statistical Assumptions</w:t>
      </w:r>
    </w:p>
    <w:p w14:paraId="038758D3" w14:textId="77777777" w:rsidR="001624DC" w:rsidRDefault="00000000">
      <w:pPr>
        <w:spacing w:after="120"/>
        <w:jc w:val="center"/>
      </w:pPr>
      <w:r>
        <w:rPr>
          <w:b/>
          <w:bCs/>
          <w:color w:val="2E5496"/>
          <w:sz w:val="40"/>
          <w:szCs w:val="40"/>
        </w:rPr>
        <w:t>Prior to Inferential Analysis</w:t>
      </w:r>
    </w:p>
    <w:p w14:paraId="7A674CF9" w14:textId="77777777" w:rsidR="001624DC" w:rsidRDefault="001624DC">
      <w:pPr>
        <w:pBdr>
          <w:bottom w:val="single" w:sz="4" w:space="2" w:color="B8CCE4"/>
        </w:pBdr>
        <w:spacing w:before="60" w:after="60"/>
      </w:pPr>
    </w:p>
    <w:p w14:paraId="6800E0BE" w14:textId="77777777" w:rsidR="001624DC" w:rsidRDefault="001624DC">
      <w:pPr>
        <w:spacing w:before="60" w:after="60"/>
      </w:pPr>
    </w:p>
    <w:p w14:paraId="04BAD5A2" w14:textId="77777777" w:rsidR="001624DC" w:rsidRDefault="00000000">
      <w:pPr>
        <w:spacing w:after="40"/>
        <w:jc w:val="center"/>
      </w:pPr>
      <w:r>
        <w:rPr>
          <w:i/>
          <w:iCs/>
          <w:color w:val="1F3864"/>
          <w:sz w:val="25"/>
          <w:szCs w:val="25"/>
        </w:rPr>
        <w:t>The Mediating Role of Job Satisfaction in the Relationship Between</w:t>
      </w:r>
    </w:p>
    <w:p w14:paraId="0EA25DF4" w14:textId="77777777" w:rsidR="001624DC" w:rsidRDefault="00000000">
      <w:pPr>
        <w:spacing w:after="40"/>
        <w:jc w:val="center"/>
      </w:pPr>
      <w:r>
        <w:rPr>
          <w:i/>
          <w:iCs/>
          <w:color w:val="1F3864"/>
          <w:sz w:val="25"/>
          <w:szCs w:val="25"/>
        </w:rPr>
        <w:t>Psychological Capital and Work Engagement Among Academic Staff</w:t>
      </w:r>
    </w:p>
    <w:p w14:paraId="05FB12AA" w14:textId="77777777" w:rsidR="001624DC" w:rsidRDefault="00000000">
      <w:pPr>
        <w:spacing w:after="200"/>
        <w:jc w:val="center"/>
      </w:pPr>
      <w:r>
        <w:rPr>
          <w:i/>
          <w:iCs/>
          <w:color w:val="1F3864"/>
          <w:sz w:val="25"/>
          <w:szCs w:val="25"/>
        </w:rPr>
        <w:t>at Al-Quds Open University, Palestine</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000"/>
      </w:tblGrid>
      <w:tr w:rsidR="001624DC" w14:paraId="421D1C31" w14:textId="77777777">
        <w:tblPrEx>
          <w:tblCellMar>
            <w:top w:w="0" w:type="dxa"/>
            <w:bottom w:w="0" w:type="dxa"/>
          </w:tblCellMar>
        </w:tblPrEx>
        <w:tc>
          <w:tcPr>
            <w:tcW w:w="3200" w:type="dxa"/>
            <w:tcBorders>
              <w:top w:val="single" w:sz="1" w:space="0" w:color="B8CCE4"/>
              <w:left w:val="single" w:sz="1" w:space="0" w:color="B8CCE4"/>
              <w:bottom w:val="single" w:sz="1" w:space="0" w:color="B8CCE4"/>
              <w:right w:val="single" w:sz="1" w:space="0" w:color="B8CCE4"/>
            </w:tcBorders>
            <w:shd w:val="clear" w:color="auto" w:fill="1F3864"/>
            <w:tcMar>
              <w:top w:w="100" w:type="dxa"/>
              <w:left w:w="140" w:type="dxa"/>
              <w:bottom w:w="100" w:type="dxa"/>
              <w:right w:w="140" w:type="dxa"/>
            </w:tcMar>
            <w:vAlign w:val="center"/>
          </w:tcPr>
          <w:p w14:paraId="0C07C001" w14:textId="77777777" w:rsidR="001624DC" w:rsidRDefault="00000000">
            <w:pPr>
              <w:jc w:val="center"/>
            </w:pPr>
            <w:r>
              <w:rPr>
                <w:b/>
                <w:bCs/>
                <w:color w:val="FFFFFF"/>
                <w:sz w:val="20"/>
                <w:szCs w:val="20"/>
              </w:rPr>
              <w:t>Stage</w:t>
            </w:r>
          </w:p>
        </w:tc>
        <w:tc>
          <w:tcPr>
            <w:tcW w:w="4000" w:type="dxa"/>
            <w:tcBorders>
              <w:top w:val="single" w:sz="1" w:space="0" w:color="B8CCE4"/>
              <w:left w:val="single" w:sz="1" w:space="0" w:color="B8CCE4"/>
              <w:bottom w:val="single" w:sz="1" w:space="0" w:color="B8CCE4"/>
              <w:right w:val="single" w:sz="1" w:space="0" w:color="B8CCE4"/>
            </w:tcBorders>
            <w:shd w:val="clear" w:color="auto" w:fill="1F3864"/>
            <w:tcMar>
              <w:top w:w="100" w:type="dxa"/>
              <w:left w:w="140" w:type="dxa"/>
              <w:bottom w:w="100" w:type="dxa"/>
              <w:right w:w="140" w:type="dxa"/>
            </w:tcMar>
            <w:vAlign w:val="center"/>
          </w:tcPr>
          <w:p w14:paraId="205D9B57" w14:textId="77777777" w:rsidR="001624DC" w:rsidRDefault="00000000">
            <w:pPr>
              <w:jc w:val="center"/>
            </w:pPr>
            <w:r>
              <w:rPr>
                <w:color w:val="FFFFFF"/>
                <w:sz w:val="20"/>
                <w:szCs w:val="20"/>
              </w:rPr>
              <w:t>Stage 4 — Assumption Testing</w:t>
            </w:r>
          </w:p>
        </w:tc>
      </w:tr>
      <w:tr w:rsidR="001624DC" w14:paraId="08953B9C" w14:textId="77777777">
        <w:tblPrEx>
          <w:tblCellMar>
            <w:top w:w="0" w:type="dxa"/>
            <w:bottom w:w="0" w:type="dxa"/>
          </w:tblCellMar>
        </w:tblPrEx>
        <w:tc>
          <w:tcPr>
            <w:tcW w:w="3200" w:type="dxa"/>
            <w:tcBorders>
              <w:top w:val="single" w:sz="1" w:space="0" w:color="B8CCE4"/>
              <w:left w:val="single" w:sz="1" w:space="0" w:color="B8CCE4"/>
              <w:bottom w:val="single" w:sz="1" w:space="0" w:color="B8CCE4"/>
              <w:right w:val="single" w:sz="1" w:space="0" w:color="B8CCE4"/>
            </w:tcBorders>
            <w:shd w:val="clear" w:color="auto" w:fill="D6E4F7"/>
            <w:tcMar>
              <w:top w:w="100" w:type="dxa"/>
              <w:left w:w="140" w:type="dxa"/>
              <w:bottom w:w="100" w:type="dxa"/>
              <w:right w:w="140" w:type="dxa"/>
            </w:tcMar>
            <w:vAlign w:val="center"/>
          </w:tcPr>
          <w:p w14:paraId="71CF577E" w14:textId="77777777" w:rsidR="001624DC" w:rsidRDefault="00000000">
            <w:r>
              <w:rPr>
                <w:b/>
                <w:bCs/>
                <w:sz w:val="20"/>
                <w:szCs w:val="20"/>
              </w:rPr>
              <w:t>Study Design</w:t>
            </w:r>
          </w:p>
        </w:tc>
        <w:tc>
          <w:tcPr>
            <w:tcW w:w="4000" w:type="dxa"/>
            <w:tcBorders>
              <w:top w:val="single" w:sz="1" w:space="0" w:color="B8CCE4"/>
              <w:left w:val="single" w:sz="1" w:space="0" w:color="B8CCE4"/>
              <w:bottom w:val="single" w:sz="1" w:space="0" w:color="B8CCE4"/>
              <w:right w:val="single" w:sz="1" w:space="0" w:color="B8CCE4"/>
            </w:tcBorders>
            <w:shd w:val="clear" w:color="auto" w:fill="D6E4F7"/>
            <w:tcMar>
              <w:top w:w="100" w:type="dxa"/>
              <w:left w:w="140" w:type="dxa"/>
              <w:bottom w:w="100" w:type="dxa"/>
              <w:right w:w="140" w:type="dxa"/>
            </w:tcMar>
            <w:vAlign w:val="center"/>
          </w:tcPr>
          <w:p w14:paraId="3A5C78DB" w14:textId="77777777" w:rsidR="001624DC" w:rsidRDefault="00000000">
            <w:r>
              <w:rPr>
                <w:sz w:val="20"/>
                <w:szCs w:val="20"/>
              </w:rPr>
              <w:t>Quantitative — Cross-sectional Survey</w:t>
            </w:r>
          </w:p>
        </w:tc>
      </w:tr>
      <w:tr w:rsidR="001624DC" w14:paraId="1BD0A782" w14:textId="77777777">
        <w:tblPrEx>
          <w:tblCellMar>
            <w:top w:w="0" w:type="dxa"/>
            <w:bottom w:w="0" w:type="dxa"/>
          </w:tblCellMar>
        </w:tblPrEx>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601C7F2D" w14:textId="77777777" w:rsidR="001624DC" w:rsidRDefault="00000000">
            <w:r>
              <w:rPr>
                <w:b/>
                <w:bCs/>
                <w:sz w:val="20"/>
                <w:szCs w:val="20"/>
              </w:rPr>
              <w:t>Sample Size</w:t>
            </w:r>
          </w:p>
        </w:tc>
        <w:tc>
          <w:tcPr>
            <w:tcW w:w="40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4047C155" w14:textId="77777777" w:rsidR="001624DC" w:rsidRDefault="00000000">
            <w:r>
              <w:rPr>
                <w:sz w:val="20"/>
                <w:szCs w:val="20"/>
              </w:rPr>
              <w:t>N = 270 Academic Staff Members</w:t>
            </w:r>
          </w:p>
        </w:tc>
      </w:tr>
      <w:tr w:rsidR="001624DC" w14:paraId="14B96D25" w14:textId="77777777">
        <w:tblPrEx>
          <w:tblCellMar>
            <w:top w:w="0" w:type="dxa"/>
            <w:bottom w:w="0" w:type="dxa"/>
          </w:tblCellMar>
        </w:tblPrEx>
        <w:tc>
          <w:tcPr>
            <w:tcW w:w="3200" w:type="dxa"/>
            <w:tcBorders>
              <w:top w:val="single" w:sz="1" w:space="0" w:color="B8CCE4"/>
              <w:left w:val="single" w:sz="1" w:space="0" w:color="B8CCE4"/>
              <w:bottom w:val="single" w:sz="1" w:space="0" w:color="B8CCE4"/>
              <w:right w:val="single" w:sz="1" w:space="0" w:color="B8CCE4"/>
            </w:tcBorders>
            <w:shd w:val="clear" w:color="auto" w:fill="EBF2FB"/>
            <w:tcMar>
              <w:top w:w="100" w:type="dxa"/>
              <w:left w:w="140" w:type="dxa"/>
              <w:bottom w:w="100" w:type="dxa"/>
              <w:right w:w="140" w:type="dxa"/>
            </w:tcMar>
            <w:vAlign w:val="center"/>
          </w:tcPr>
          <w:p w14:paraId="2EB6E099" w14:textId="77777777" w:rsidR="001624DC" w:rsidRDefault="00000000">
            <w:r>
              <w:rPr>
                <w:b/>
                <w:bCs/>
                <w:sz w:val="20"/>
                <w:szCs w:val="20"/>
              </w:rPr>
              <w:t>Statistical Software</w:t>
            </w:r>
          </w:p>
        </w:tc>
        <w:tc>
          <w:tcPr>
            <w:tcW w:w="4000" w:type="dxa"/>
            <w:tcBorders>
              <w:top w:val="single" w:sz="1" w:space="0" w:color="B8CCE4"/>
              <w:left w:val="single" w:sz="1" w:space="0" w:color="B8CCE4"/>
              <w:bottom w:val="single" w:sz="1" w:space="0" w:color="B8CCE4"/>
              <w:right w:val="single" w:sz="1" w:space="0" w:color="B8CCE4"/>
            </w:tcBorders>
            <w:shd w:val="clear" w:color="auto" w:fill="EBF2FB"/>
            <w:tcMar>
              <w:top w:w="100" w:type="dxa"/>
              <w:left w:w="140" w:type="dxa"/>
              <w:bottom w:w="100" w:type="dxa"/>
              <w:right w:w="140" w:type="dxa"/>
            </w:tcMar>
            <w:vAlign w:val="center"/>
          </w:tcPr>
          <w:p w14:paraId="38D3142A" w14:textId="77777777" w:rsidR="001624DC" w:rsidRDefault="00000000">
            <w:r>
              <w:rPr>
                <w:sz w:val="20"/>
                <w:szCs w:val="20"/>
              </w:rPr>
              <w:t>IBM SPSS Statistics v26</w:t>
            </w:r>
          </w:p>
        </w:tc>
      </w:tr>
      <w:tr w:rsidR="001624DC" w14:paraId="159BBC0A" w14:textId="77777777">
        <w:tblPrEx>
          <w:tblCellMar>
            <w:top w:w="0" w:type="dxa"/>
            <w:bottom w:w="0" w:type="dxa"/>
          </w:tblCellMar>
        </w:tblPrEx>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289CEEC6" w14:textId="77777777" w:rsidR="001624DC" w:rsidRDefault="00000000">
            <w:r>
              <w:rPr>
                <w:b/>
                <w:bCs/>
                <w:sz w:val="20"/>
                <w:szCs w:val="20"/>
              </w:rPr>
              <w:t>SPSS Procedures Used</w:t>
            </w:r>
          </w:p>
        </w:tc>
        <w:tc>
          <w:tcPr>
            <w:tcW w:w="40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2780DC9A" w14:textId="77777777" w:rsidR="001624DC" w:rsidRDefault="00000000">
            <w:r>
              <w:rPr>
                <w:sz w:val="20"/>
                <w:szCs w:val="20"/>
              </w:rPr>
              <w:t>EXAMINE · ONEWAY · CORRELATIONS</w:t>
            </w:r>
          </w:p>
        </w:tc>
      </w:tr>
      <w:tr w:rsidR="001624DC" w14:paraId="53B02407" w14:textId="77777777">
        <w:tblPrEx>
          <w:tblCellMar>
            <w:top w:w="0" w:type="dxa"/>
            <w:bottom w:w="0" w:type="dxa"/>
          </w:tblCellMar>
        </w:tblPrEx>
        <w:tc>
          <w:tcPr>
            <w:tcW w:w="3200" w:type="dxa"/>
            <w:tcBorders>
              <w:top w:val="single" w:sz="1" w:space="0" w:color="B8CCE4"/>
              <w:left w:val="single" w:sz="1" w:space="0" w:color="B8CCE4"/>
              <w:bottom w:val="single" w:sz="1" w:space="0" w:color="B8CCE4"/>
              <w:right w:val="single" w:sz="1" w:space="0" w:color="B8CCE4"/>
            </w:tcBorders>
            <w:shd w:val="clear" w:color="auto" w:fill="EBF2FB"/>
            <w:tcMar>
              <w:top w:w="100" w:type="dxa"/>
              <w:left w:w="140" w:type="dxa"/>
              <w:bottom w:w="100" w:type="dxa"/>
              <w:right w:w="140" w:type="dxa"/>
            </w:tcMar>
            <w:vAlign w:val="center"/>
          </w:tcPr>
          <w:p w14:paraId="12899909" w14:textId="77777777" w:rsidR="001624DC" w:rsidRDefault="00000000">
            <w:r>
              <w:rPr>
                <w:b/>
                <w:bCs/>
                <w:sz w:val="20"/>
                <w:szCs w:val="20"/>
              </w:rPr>
              <w:t>Source Output File</w:t>
            </w:r>
          </w:p>
        </w:tc>
        <w:tc>
          <w:tcPr>
            <w:tcW w:w="4000" w:type="dxa"/>
            <w:tcBorders>
              <w:top w:val="single" w:sz="1" w:space="0" w:color="B8CCE4"/>
              <w:left w:val="single" w:sz="1" w:space="0" w:color="B8CCE4"/>
              <w:bottom w:val="single" w:sz="1" w:space="0" w:color="B8CCE4"/>
              <w:right w:val="single" w:sz="1" w:space="0" w:color="B8CCE4"/>
            </w:tcBorders>
            <w:shd w:val="clear" w:color="auto" w:fill="EBF2FB"/>
            <w:tcMar>
              <w:top w:w="100" w:type="dxa"/>
              <w:left w:w="140" w:type="dxa"/>
              <w:bottom w:w="100" w:type="dxa"/>
              <w:right w:w="140" w:type="dxa"/>
            </w:tcMar>
            <w:vAlign w:val="center"/>
          </w:tcPr>
          <w:p w14:paraId="43C0BA19" w14:textId="77777777" w:rsidR="001624DC" w:rsidRDefault="00000000">
            <w:r>
              <w:rPr>
                <w:sz w:val="20"/>
                <w:szCs w:val="20"/>
              </w:rPr>
              <w:t>Assumption_Testing.pdf (17 May 2026)</w:t>
            </w:r>
          </w:p>
        </w:tc>
      </w:tr>
      <w:tr w:rsidR="001624DC" w14:paraId="5B3D9F8E" w14:textId="77777777">
        <w:tblPrEx>
          <w:tblCellMar>
            <w:top w:w="0" w:type="dxa"/>
            <w:bottom w:w="0" w:type="dxa"/>
          </w:tblCellMar>
        </w:tblPrEx>
        <w:tc>
          <w:tcPr>
            <w:tcW w:w="32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2762FD4E" w14:textId="77777777" w:rsidR="001624DC" w:rsidRDefault="00000000">
            <w:r>
              <w:rPr>
                <w:b/>
                <w:bCs/>
                <w:sz w:val="20"/>
                <w:szCs w:val="20"/>
              </w:rPr>
              <w:t>Analysis Date</w:t>
            </w:r>
          </w:p>
        </w:tc>
        <w:tc>
          <w:tcPr>
            <w:tcW w:w="40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1B9C6E3B" w14:textId="77777777" w:rsidR="001624DC" w:rsidRDefault="00000000">
            <w:r>
              <w:rPr>
                <w:sz w:val="20"/>
                <w:szCs w:val="20"/>
              </w:rPr>
              <w:t>17 May 2026</w:t>
            </w:r>
          </w:p>
        </w:tc>
      </w:tr>
    </w:tbl>
    <w:p w14:paraId="661EE76C" w14:textId="77777777" w:rsidR="001624DC" w:rsidRDefault="001624DC">
      <w:pPr>
        <w:spacing w:before="200"/>
      </w:pPr>
    </w:p>
    <w:p w14:paraId="4AA0F619" w14:textId="77777777" w:rsidR="001624DC" w:rsidRDefault="00000000">
      <w:r>
        <w:br w:type="page"/>
      </w:r>
    </w:p>
    <w:p w14:paraId="1C0DEB16" w14:textId="77777777" w:rsidR="001624DC" w:rsidRDefault="00000000">
      <w:pPr>
        <w:pStyle w:val="Heading1"/>
        <w:ind w:left="240" w:right="240"/>
      </w:pPr>
      <w:r>
        <w:lastRenderedPageBreak/>
        <w:t>1.  Purpose and Rationale</w:t>
      </w:r>
    </w:p>
    <w:p w14:paraId="5D0061D7" w14:textId="77777777" w:rsidR="001624DC" w:rsidRDefault="00000000">
      <w:pPr>
        <w:spacing w:before="100" w:after="100" w:line="360" w:lineRule="auto"/>
        <w:ind w:firstLine="720"/>
        <w:jc w:val="both"/>
      </w:pPr>
      <w:r>
        <w:t>Prior to conducting inferential statistical analyses — including Pearson correlation, multiple regression, and PROCESS-based mediation analysis — it is methodologically necessary to verify that the collected data satisfy the foundational statistical assumptions upon which these procedures depend. Violations of these assumptions may compromise the validity and interpretability of the results, potentially leading to inflated Type I error rates, biased regression coefficient estimates, or reduced statistical power (Field, 2018; Hair et al., 2019; Tabachnick &amp; Fidell, 2019). Stage 4 therefore undertakes a systematic and comprehensive examination of the key statistical assumptions governing the planned analyses in this study.</w:t>
      </w:r>
    </w:p>
    <w:p w14:paraId="72B64D71" w14:textId="77777777" w:rsidR="001624DC" w:rsidRDefault="00000000">
      <w:pPr>
        <w:spacing w:before="100" w:after="100" w:line="360" w:lineRule="auto"/>
        <w:ind w:firstLine="720"/>
        <w:jc w:val="both"/>
      </w:pPr>
      <w:r>
        <w:t xml:space="preserve">The present report examines four categories of assumptions: (1) normality of the distribution of the three composite study variables, assessed through both quantitative indices and visual inspection; (2) homogeneity of variance across demographic groups, assessed using Levene's Test of Equality of Variances; (3) absence of problematic multicollinearity among the predictor and mediator variables, assessed through the Pearson correlation matrix; and (4) absence of influential outliers that could distort the findings. The assumption of independence of observations is also addressed and confirmed on the basis of the study's research design. These assumptions collectively underpin the inferential analyses to be conducted in Stages 7 through 9 of the research </w:t>
      </w:r>
      <w:proofErr w:type="gramStart"/>
      <w:r>
        <w:t>framework</w:t>
      </w:r>
      <w:proofErr w:type="gramEnd"/>
      <w:r>
        <w:t>.</w:t>
      </w:r>
    </w:p>
    <w:p w14:paraId="56C5EE2C" w14:textId="77777777" w:rsidR="001624DC" w:rsidRDefault="00000000">
      <w:pPr>
        <w:spacing w:before="100" w:after="100" w:line="360" w:lineRule="auto"/>
        <w:ind w:firstLine="720"/>
        <w:jc w:val="both"/>
      </w:pPr>
      <w:r>
        <w:t>All three composite variables are examined: Psychological Capital (PCQ-24 mean score, pcq_total_mean), Work Engagement (UWES-9 mean score, uwes_total_mean), and Job Satisfaction (MSQ-20 mean score, msq_total_mean). The SPSS EXAMINE procedure was used to generate descriptive statistics, formal normality tests, Q-Q plots, and boxplots. Levene's Test was conducted via the SPSS ONEWAY procedure. The Pearson correlation matrix was generated via the SPSS CORRELATIONS procedure. All output was produced on 17 May 2026 using IBM SPSS Statistics v26 and is documented in Assumption_Testing.pdf.</w:t>
      </w:r>
    </w:p>
    <w:p w14:paraId="024EED39" w14:textId="77777777" w:rsidR="001624DC" w:rsidRDefault="001624DC">
      <w:pPr>
        <w:spacing w:before="80" w:after="80"/>
      </w:pPr>
    </w:p>
    <w:p w14:paraId="28EF5204" w14:textId="77777777" w:rsidR="001624DC" w:rsidRDefault="00000000">
      <w:pPr>
        <w:pStyle w:val="Heading1"/>
        <w:ind w:left="240" w:right="240"/>
      </w:pPr>
      <w:r>
        <w:t>2.  Descriptive Statistics of Composite Scores</w:t>
      </w:r>
    </w:p>
    <w:p w14:paraId="002A20AD" w14:textId="77777777" w:rsidR="001624DC" w:rsidRDefault="00000000">
      <w:pPr>
        <w:spacing w:before="100" w:after="100" w:line="360" w:lineRule="auto"/>
        <w:ind w:firstLine="720"/>
        <w:jc w:val="both"/>
      </w:pPr>
      <w:r>
        <w:t>Table 1 presents descriptive statistics for the three composite mean scores used in the main analyses. These statistics provide a foundational characterisation of the distributional properties of each variable and serve as the basis for subsequent normality assessment. All statistics were produced by the SPSS EXAMINE procedure (Assumption_Testing.pdf, pp. 2–3) and are reported without modification.</w:t>
      </w:r>
    </w:p>
    <w:p w14:paraId="6B344052" w14:textId="77777777" w:rsidR="001624DC" w:rsidRDefault="001624DC">
      <w:pPr>
        <w:spacing w:before="80" w:after="80"/>
      </w:pPr>
    </w:p>
    <w:p w14:paraId="4E9481D3" w14:textId="77777777" w:rsidR="001624DC" w:rsidRDefault="00000000">
      <w:pPr>
        <w:spacing w:before="240" w:after="80"/>
      </w:pPr>
      <w:r>
        <w:rPr>
          <w:b/>
          <w:bCs/>
        </w:rPr>
        <w:lastRenderedPageBreak/>
        <w:t xml:space="preserve">Table </w:t>
      </w:r>
      <w:proofErr w:type="gramStart"/>
      <w:r>
        <w:rPr>
          <w:b/>
          <w:bCs/>
        </w:rPr>
        <w:t>1</w:t>
      </w:r>
      <w:r>
        <w:t xml:space="preserve">  Descriptive</w:t>
      </w:r>
      <w:proofErr w:type="gramEnd"/>
      <w:r>
        <w:t xml:space="preserve"> Statistics — Composite Mean Scores (N = 270)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360"/>
      </w:tblGrid>
      <w:tr w:rsidR="001624DC" w14:paraId="1FF14733" w14:textId="77777777">
        <w:tblPrEx>
          <w:tblCellMar>
            <w:top w:w="0" w:type="dxa"/>
            <w:bottom w:w="0" w:type="dxa"/>
          </w:tblCellMar>
        </w:tblPrEx>
        <w:tc>
          <w:tcPr>
            <w:tcW w:w="3000" w:type="dxa"/>
            <w:tcBorders>
              <w:top w:val="single" w:sz="1" w:space="0" w:color="B8CCE4"/>
              <w:left w:val="single" w:sz="1" w:space="0" w:color="B8CCE4"/>
              <w:bottom w:val="single" w:sz="1" w:space="0" w:color="B8CCE4"/>
              <w:right w:val="single" w:sz="1" w:space="0" w:color="B8CCE4"/>
            </w:tcBorders>
            <w:shd w:val="clear" w:color="auto" w:fill="1F3864"/>
            <w:tcMar>
              <w:top w:w="100" w:type="dxa"/>
              <w:left w:w="140" w:type="dxa"/>
              <w:bottom w:w="100" w:type="dxa"/>
              <w:right w:w="140" w:type="dxa"/>
            </w:tcMar>
            <w:vAlign w:val="center"/>
          </w:tcPr>
          <w:p w14:paraId="3245636E" w14:textId="77777777" w:rsidR="001624DC" w:rsidRDefault="00000000">
            <w:pPr>
              <w:jc w:val="center"/>
            </w:pPr>
            <w:r>
              <w:rPr>
                <w:b/>
                <w:bCs/>
                <w:color w:val="FFFFFF"/>
                <w:sz w:val="20"/>
                <w:szCs w:val="20"/>
              </w:rPr>
              <w:t>Statistic</w:t>
            </w:r>
          </w:p>
        </w:tc>
        <w:tc>
          <w:tcPr>
            <w:tcW w:w="2000" w:type="dxa"/>
            <w:tcBorders>
              <w:top w:val="single" w:sz="1" w:space="0" w:color="B8CCE4"/>
              <w:left w:val="single" w:sz="1" w:space="0" w:color="B8CCE4"/>
              <w:bottom w:val="single" w:sz="1" w:space="0" w:color="B8CCE4"/>
              <w:right w:val="single" w:sz="1" w:space="0" w:color="B8CCE4"/>
            </w:tcBorders>
            <w:shd w:val="clear" w:color="auto" w:fill="1F3864"/>
            <w:tcMar>
              <w:top w:w="100" w:type="dxa"/>
              <w:left w:w="140" w:type="dxa"/>
              <w:bottom w:w="100" w:type="dxa"/>
              <w:right w:w="140" w:type="dxa"/>
            </w:tcMar>
            <w:vAlign w:val="center"/>
          </w:tcPr>
          <w:p w14:paraId="2B043C64" w14:textId="77777777" w:rsidR="001624DC" w:rsidRDefault="00000000">
            <w:pPr>
              <w:jc w:val="center"/>
            </w:pPr>
            <w:r>
              <w:rPr>
                <w:b/>
                <w:bCs/>
                <w:color w:val="FFFFFF"/>
                <w:sz w:val="20"/>
                <w:szCs w:val="20"/>
              </w:rPr>
              <w:t>Psychological Capital (PCQ-24)</w:t>
            </w:r>
          </w:p>
        </w:tc>
        <w:tc>
          <w:tcPr>
            <w:tcW w:w="2000" w:type="dxa"/>
            <w:tcBorders>
              <w:top w:val="single" w:sz="1" w:space="0" w:color="B8CCE4"/>
              <w:left w:val="single" w:sz="1" w:space="0" w:color="B8CCE4"/>
              <w:bottom w:val="single" w:sz="1" w:space="0" w:color="B8CCE4"/>
              <w:right w:val="single" w:sz="1" w:space="0" w:color="B8CCE4"/>
            </w:tcBorders>
            <w:shd w:val="clear" w:color="auto" w:fill="1F3864"/>
            <w:tcMar>
              <w:top w:w="100" w:type="dxa"/>
              <w:left w:w="140" w:type="dxa"/>
              <w:bottom w:w="100" w:type="dxa"/>
              <w:right w:w="140" w:type="dxa"/>
            </w:tcMar>
            <w:vAlign w:val="center"/>
          </w:tcPr>
          <w:p w14:paraId="5C8DA277" w14:textId="77777777" w:rsidR="001624DC" w:rsidRDefault="00000000">
            <w:pPr>
              <w:jc w:val="center"/>
            </w:pPr>
            <w:r>
              <w:rPr>
                <w:b/>
                <w:bCs/>
                <w:color w:val="FFFFFF"/>
                <w:sz w:val="20"/>
                <w:szCs w:val="20"/>
              </w:rPr>
              <w:t>Work Engagement (UWES-9)</w:t>
            </w:r>
          </w:p>
        </w:tc>
        <w:tc>
          <w:tcPr>
            <w:tcW w:w="2360" w:type="dxa"/>
            <w:tcBorders>
              <w:top w:val="single" w:sz="1" w:space="0" w:color="B8CCE4"/>
              <w:left w:val="single" w:sz="1" w:space="0" w:color="B8CCE4"/>
              <w:bottom w:val="single" w:sz="1" w:space="0" w:color="B8CCE4"/>
              <w:right w:val="single" w:sz="1" w:space="0" w:color="B8CCE4"/>
            </w:tcBorders>
            <w:shd w:val="clear" w:color="auto" w:fill="1F3864"/>
            <w:tcMar>
              <w:top w:w="100" w:type="dxa"/>
              <w:left w:w="140" w:type="dxa"/>
              <w:bottom w:w="100" w:type="dxa"/>
              <w:right w:w="140" w:type="dxa"/>
            </w:tcMar>
            <w:vAlign w:val="center"/>
          </w:tcPr>
          <w:p w14:paraId="409E9CC7" w14:textId="77777777" w:rsidR="001624DC" w:rsidRDefault="00000000">
            <w:pPr>
              <w:jc w:val="center"/>
            </w:pPr>
            <w:r>
              <w:rPr>
                <w:b/>
                <w:bCs/>
                <w:color w:val="FFFFFF"/>
                <w:sz w:val="20"/>
                <w:szCs w:val="20"/>
              </w:rPr>
              <w:t>Job Satisfaction (MSQ-20)</w:t>
            </w:r>
          </w:p>
        </w:tc>
      </w:tr>
      <w:tr w:rsidR="001624DC" w14:paraId="4B5873A0" w14:textId="77777777">
        <w:tblPrEx>
          <w:tblCellMar>
            <w:top w:w="0" w:type="dxa"/>
            <w:bottom w:w="0" w:type="dxa"/>
          </w:tblCellMar>
        </w:tblPrEx>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06453F41" w14:textId="77777777" w:rsidR="001624DC" w:rsidRDefault="00000000">
            <w:r>
              <w:rPr>
                <w:b/>
                <w:bCs/>
                <w:sz w:val="20"/>
                <w:szCs w:val="20"/>
              </w:rPr>
              <w:t>Mean</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29985E48" w14:textId="77777777" w:rsidR="001624DC" w:rsidRDefault="00000000">
            <w:pPr>
              <w:jc w:val="center"/>
            </w:pPr>
            <w:r>
              <w:rPr>
                <w:b/>
                <w:bCs/>
                <w:sz w:val="20"/>
                <w:szCs w:val="20"/>
              </w:rPr>
              <w:t>4.1307</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5565B670" w14:textId="77777777" w:rsidR="001624DC" w:rsidRDefault="00000000">
            <w:pPr>
              <w:jc w:val="center"/>
            </w:pPr>
            <w:r>
              <w:rPr>
                <w:b/>
                <w:bCs/>
                <w:sz w:val="20"/>
                <w:szCs w:val="20"/>
              </w:rPr>
              <w:t>4.2263</w:t>
            </w:r>
          </w:p>
        </w:tc>
        <w:tc>
          <w:tcPr>
            <w:tcW w:w="236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3A14CF10" w14:textId="77777777" w:rsidR="001624DC" w:rsidRDefault="00000000">
            <w:pPr>
              <w:jc w:val="center"/>
            </w:pPr>
            <w:r>
              <w:rPr>
                <w:b/>
                <w:bCs/>
                <w:sz w:val="20"/>
                <w:szCs w:val="20"/>
              </w:rPr>
              <w:t>3.6941</w:t>
            </w:r>
          </w:p>
        </w:tc>
      </w:tr>
      <w:tr w:rsidR="001624DC" w14:paraId="14242366" w14:textId="77777777">
        <w:tblPrEx>
          <w:tblCellMar>
            <w:top w:w="0" w:type="dxa"/>
            <w:bottom w:w="0" w:type="dxa"/>
          </w:tblCellMar>
        </w:tblPrEx>
        <w:tc>
          <w:tcPr>
            <w:tcW w:w="3000" w:type="dxa"/>
            <w:tcBorders>
              <w:top w:val="single" w:sz="1" w:space="0" w:color="B8CCE4"/>
              <w:left w:val="single" w:sz="1" w:space="0" w:color="B8CCE4"/>
              <w:bottom w:val="single" w:sz="1" w:space="0" w:color="B8CCE4"/>
              <w:right w:val="single" w:sz="1" w:space="0" w:color="B8CCE4"/>
            </w:tcBorders>
            <w:shd w:val="clear" w:color="auto" w:fill="EBF2FB"/>
            <w:tcMar>
              <w:top w:w="100" w:type="dxa"/>
              <w:left w:w="140" w:type="dxa"/>
              <w:bottom w:w="100" w:type="dxa"/>
              <w:right w:w="140" w:type="dxa"/>
            </w:tcMar>
            <w:vAlign w:val="center"/>
          </w:tcPr>
          <w:p w14:paraId="1B58A0A9" w14:textId="77777777" w:rsidR="001624DC" w:rsidRDefault="00000000">
            <w:r>
              <w:rPr>
                <w:b/>
                <w:bCs/>
                <w:sz w:val="20"/>
                <w:szCs w:val="20"/>
              </w:rPr>
              <w:t>Std. Deviation</w:t>
            </w:r>
          </w:p>
        </w:tc>
        <w:tc>
          <w:tcPr>
            <w:tcW w:w="2000" w:type="dxa"/>
            <w:tcBorders>
              <w:top w:val="single" w:sz="1" w:space="0" w:color="B8CCE4"/>
              <w:left w:val="single" w:sz="1" w:space="0" w:color="B8CCE4"/>
              <w:bottom w:val="single" w:sz="1" w:space="0" w:color="B8CCE4"/>
              <w:right w:val="single" w:sz="1" w:space="0" w:color="B8CCE4"/>
            </w:tcBorders>
            <w:shd w:val="clear" w:color="auto" w:fill="EBF2FB"/>
            <w:tcMar>
              <w:top w:w="100" w:type="dxa"/>
              <w:left w:w="140" w:type="dxa"/>
              <w:bottom w:w="100" w:type="dxa"/>
              <w:right w:w="140" w:type="dxa"/>
            </w:tcMar>
            <w:vAlign w:val="center"/>
          </w:tcPr>
          <w:p w14:paraId="32183D93" w14:textId="77777777" w:rsidR="001624DC" w:rsidRDefault="00000000">
            <w:pPr>
              <w:jc w:val="center"/>
            </w:pPr>
            <w:r>
              <w:rPr>
                <w:b/>
                <w:bCs/>
                <w:sz w:val="20"/>
                <w:szCs w:val="20"/>
              </w:rPr>
              <w:t>.63909</w:t>
            </w:r>
          </w:p>
        </w:tc>
        <w:tc>
          <w:tcPr>
            <w:tcW w:w="2000" w:type="dxa"/>
            <w:tcBorders>
              <w:top w:val="single" w:sz="1" w:space="0" w:color="B8CCE4"/>
              <w:left w:val="single" w:sz="1" w:space="0" w:color="B8CCE4"/>
              <w:bottom w:val="single" w:sz="1" w:space="0" w:color="B8CCE4"/>
              <w:right w:val="single" w:sz="1" w:space="0" w:color="B8CCE4"/>
            </w:tcBorders>
            <w:shd w:val="clear" w:color="auto" w:fill="EBF2FB"/>
            <w:tcMar>
              <w:top w:w="100" w:type="dxa"/>
              <w:left w:w="140" w:type="dxa"/>
              <w:bottom w:w="100" w:type="dxa"/>
              <w:right w:w="140" w:type="dxa"/>
            </w:tcMar>
            <w:vAlign w:val="center"/>
          </w:tcPr>
          <w:p w14:paraId="66FF037F" w14:textId="77777777" w:rsidR="001624DC" w:rsidRDefault="00000000">
            <w:pPr>
              <w:jc w:val="center"/>
            </w:pPr>
            <w:r>
              <w:rPr>
                <w:b/>
                <w:bCs/>
                <w:sz w:val="20"/>
                <w:szCs w:val="20"/>
              </w:rPr>
              <w:t>.90869</w:t>
            </w:r>
          </w:p>
        </w:tc>
        <w:tc>
          <w:tcPr>
            <w:tcW w:w="2360" w:type="dxa"/>
            <w:tcBorders>
              <w:top w:val="single" w:sz="1" w:space="0" w:color="B8CCE4"/>
              <w:left w:val="single" w:sz="1" w:space="0" w:color="B8CCE4"/>
              <w:bottom w:val="single" w:sz="1" w:space="0" w:color="B8CCE4"/>
              <w:right w:val="single" w:sz="1" w:space="0" w:color="B8CCE4"/>
            </w:tcBorders>
            <w:shd w:val="clear" w:color="auto" w:fill="EBF2FB"/>
            <w:tcMar>
              <w:top w:w="100" w:type="dxa"/>
              <w:left w:w="140" w:type="dxa"/>
              <w:bottom w:w="100" w:type="dxa"/>
              <w:right w:w="140" w:type="dxa"/>
            </w:tcMar>
            <w:vAlign w:val="center"/>
          </w:tcPr>
          <w:p w14:paraId="603609D5" w14:textId="77777777" w:rsidR="001624DC" w:rsidRDefault="00000000">
            <w:pPr>
              <w:jc w:val="center"/>
            </w:pPr>
            <w:r>
              <w:rPr>
                <w:b/>
                <w:bCs/>
                <w:sz w:val="20"/>
                <w:szCs w:val="20"/>
              </w:rPr>
              <w:t>.69133</w:t>
            </w:r>
          </w:p>
        </w:tc>
      </w:tr>
      <w:tr w:rsidR="001624DC" w14:paraId="2A825B6A" w14:textId="77777777">
        <w:tblPrEx>
          <w:tblCellMar>
            <w:top w:w="0" w:type="dxa"/>
            <w:bottom w:w="0" w:type="dxa"/>
          </w:tblCellMar>
        </w:tblPrEx>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496EAC90" w14:textId="77777777" w:rsidR="001624DC" w:rsidRDefault="00000000">
            <w:r>
              <w:rPr>
                <w:sz w:val="20"/>
                <w:szCs w:val="20"/>
              </w:rPr>
              <w:t>Variance</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35DEE61B" w14:textId="77777777" w:rsidR="001624DC" w:rsidRDefault="00000000">
            <w:pPr>
              <w:jc w:val="center"/>
            </w:pPr>
            <w:r>
              <w:rPr>
                <w:sz w:val="20"/>
                <w:szCs w:val="20"/>
              </w:rPr>
              <w:t>.408</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432E72D3" w14:textId="77777777" w:rsidR="001624DC" w:rsidRDefault="00000000">
            <w:pPr>
              <w:jc w:val="center"/>
            </w:pPr>
            <w:r>
              <w:rPr>
                <w:sz w:val="20"/>
                <w:szCs w:val="20"/>
              </w:rPr>
              <w:t>.826</w:t>
            </w:r>
          </w:p>
        </w:tc>
        <w:tc>
          <w:tcPr>
            <w:tcW w:w="236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67F7DA66" w14:textId="77777777" w:rsidR="001624DC" w:rsidRDefault="00000000">
            <w:pPr>
              <w:jc w:val="center"/>
            </w:pPr>
            <w:r>
              <w:rPr>
                <w:sz w:val="20"/>
                <w:szCs w:val="20"/>
              </w:rPr>
              <w:t>.478</w:t>
            </w:r>
          </w:p>
        </w:tc>
      </w:tr>
      <w:tr w:rsidR="001624DC" w14:paraId="61C375DE" w14:textId="77777777">
        <w:tblPrEx>
          <w:tblCellMar>
            <w:top w:w="0" w:type="dxa"/>
            <w:bottom w:w="0" w:type="dxa"/>
          </w:tblCellMar>
        </w:tblPrEx>
        <w:tc>
          <w:tcPr>
            <w:tcW w:w="3000" w:type="dxa"/>
            <w:tcBorders>
              <w:top w:val="single" w:sz="1" w:space="0" w:color="B8CCE4"/>
              <w:left w:val="single" w:sz="1" w:space="0" w:color="B8CCE4"/>
              <w:bottom w:val="single" w:sz="1" w:space="0" w:color="B8CCE4"/>
              <w:right w:val="single" w:sz="1" w:space="0" w:color="B8CCE4"/>
            </w:tcBorders>
            <w:shd w:val="clear" w:color="auto" w:fill="EBF2FB"/>
            <w:tcMar>
              <w:top w:w="100" w:type="dxa"/>
              <w:left w:w="140" w:type="dxa"/>
              <w:bottom w:w="100" w:type="dxa"/>
              <w:right w:w="140" w:type="dxa"/>
            </w:tcMar>
            <w:vAlign w:val="center"/>
          </w:tcPr>
          <w:p w14:paraId="65F9BB9C" w14:textId="77777777" w:rsidR="001624DC" w:rsidRDefault="00000000">
            <w:r>
              <w:rPr>
                <w:sz w:val="20"/>
                <w:szCs w:val="20"/>
              </w:rPr>
              <w:t>Median</w:t>
            </w:r>
          </w:p>
        </w:tc>
        <w:tc>
          <w:tcPr>
            <w:tcW w:w="2000" w:type="dxa"/>
            <w:tcBorders>
              <w:top w:val="single" w:sz="1" w:space="0" w:color="B8CCE4"/>
              <w:left w:val="single" w:sz="1" w:space="0" w:color="B8CCE4"/>
              <w:bottom w:val="single" w:sz="1" w:space="0" w:color="B8CCE4"/>
              <w:right w:val="single" w:sz="1" w:space="0" w:color="B8CCE4"/>
            </w:tcBorders>
            <w:shd w:val="clear" w:color="auto" w:fill="EBF2FB"/>
            <w:tcMar>
              <w:top w:w="100" w:type="dxa"/>
              <w:left w:w="140" w:type="dxa"/>
              <w:bottom w:w="100" w:type="dxa"/>
              <w:right w:w="140" w:type="dxa"/>
            </w:tcMar>
            <w:vAlign w:val="center"/>
          </w:tcPr>
          <w:p w14:paraId="389F422A" w14:textId="77777777" w:rsidR="001624DC" w:rsidRDefault="00000000">
            <w:pPr>
              <w:jc w:val="center"/>
            </w:pPr>
            <w:r>
              <w:rPr>
                <w:sz w:val="20"/>
                <w:szCs w:val="20"/>
              </w:rPr>
              <w:t>4.2083</w:t>
            </w:r>
          </w:p>
        </w:tc>
        <w:tc>
          <w:tcPr>
            <w:tcW w:w="2000" w:type="dxa"/>
            <w:tcBorders>
              <w:top w:val="single" w:sz="1" w:space="0" w:color="B8CCE4"/>
              <w:left w:val="single" w:sz="1" w:space="0" w:color="B8CCE4"/>
              <w:bottom w:val="single" w:sz="1" w:space="0" w:color="B8CCE4"/>
              <w:right w:val="single" w:sz="1" w:space="0" w:color="B8CCE4"/>
            </w:tcBorders>
            <w:shd w:val="clear" w:color="auto" w:fill="EBF2FB"/>
            <w:tcMar>
              <w:top w:w="100" w:type="dxa"/>
              <w:left w:w="140" w:type="dxa"/>
              <w:bottom w:w="100" w:type="dxa"/>
              <w:right w:w="140" w:type="dxa"/>
            </w:tcMar>
            <w:vAlign w:val="center"/>
          </w:tcPr>
          <w:p w14:paraId="50BA0DB6" w14:textId="77777777" w:rsidR="001624DC" w:rsidRDefault="00000000">
            <w:pPr>
              <w:jc w:val="center"/>
            </w:pPr>
            <w:r>
              <w:rPr>
                <w:sz w:val="20"/>
                <w:szCs w:val="20"/>
              </w:rPr>
              <w:t>4.3333</w:t>
            </w:r>
          </w:p>
        </w:tc>
        <w:tc>
          <w:tcPr>
            <w:tcW w:w="2360" w:type="dxa"/>
            <w:tcBorders>
              <w:top w:val="single" w:sz="1" w:space="0" w:color="B8CCE4"/>
              <w:left w:val="single" w:sz="1" w:space="0" w:color="B8CCE4"/>
              <w:bottom w:val="single" w:sz="1" w:space="0" w:color="B8CCE4"/>
              <w:right w:val="single" w:sz="1" w:space="0" w:color="B8CCE4"/>
            </w:tcBorders>
            <w:shd w:val="clear" w:color="auto" w:fill="EBF2FB"/>
            <w:tcMar>
              <w:top w:w="100" w:type="dxa"/>
              <w:left w:w="140" w:type="dxa"/>
              <w:bottom w:w="100" w:type="dxa"/>
              <w:right w:w="140" w:type="dxa"/>
            </w:tcMar>
            <w:vAlign w:val="center"/>
          </w:tcPr>
          <w:p w14:paraId="0CACF1C3" w14:textId="77777777" w:rsidR="001624DC" w:rsidRDefault="00000000">
            <w:pPr>
              <w:jc w:val="center"/>
            </w:pPr>
            <w:r>
              <w:rPr>
                <w:sz w:val="20"/>
                <w:szCs w:val="20"/>
              </w:rPr>
              <w:t>3.7500</w:t>
            </w:r>
          </w:p>
        </w:tc>
      </w:tr>
      <w:tr w:rsidR="001624DC" w14:paraId="7018BB4B" w14:textId="77777777">
        <w:tblPrEx>
          <w:tblCellMar>
            <w:top w:w="0" w:type="dxa"/>
            <w:bottom w:w="0" w:type="dxa"/>
          </w:tblCellMar>
        </w:tblPrEx>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228DB00C" w14:textId="77777777" w:rsidR="001624DC" w:rsidRDefault="00000000">
            <w:r>
              <w:rPr>
                <w:sz w:val="20"/>
                <w:szCs w:val="20"/>
              </w:rPr>
              <w:t>5% Trimmed Mean</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30A79381" w14:textId="77777777" w:rsidR="001624DC" w:rsidRDefault="00000000">
            <w:pPr>
              <w:jc w:val="center"/>
            </w:pPr>
            <w:r>
              <w:rPr>
                <w:sz w:val="20"/>
                <w:szCs w:val="20"/>
              </w:rPr>
              <w:t>4.1491</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27D278DB" w14:textId="77777777" w:rsidR="001624DC" w:rsidRDefault="00000000">
            <w:pPr>
              <w:jc w:val="center"/>
            </w:pPr>
            <w:r>
              <w:rPr>
                <w:sz w:val="20"/>
                <w:szCs w:val="20"/>
              </w:rPr>
              <w:t>4.2487</w:t>
            </w:r>
          </w:p>
        </w:tc>
        <w:tc>
          <w:tcPr>
            <w:tcW w:w="236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50733DDA" w14:textId="77777777" w:rsidR="001624DC" w:rsidRDefault="00000000">
            <w:pPr>
              <w:jc w:val="center"/>
            </w:pPr>
            <w:r>
              <w:rPr>
                <w:sz w:val="20"/>
                <w:szCs w:val="20"/>
              </w:rPr>
              <w:t>3.7130</w:t>
            </w:r>
          </w:p>
        </w:tc>
      </w:tr>
      <w:tr w:rsidR="001624DC" w14:paraId="5768AC05" w14:textId="77777777">
        <w:tblPrEx>
          <w:tblCellMar>
            <w:top w:w="0" w:type="dxa"/>
            <w:bottom w:w="0" w:type="dxa"/>
          </w:tblCellMar>
        </w:tblPrEx>
        <w:tc>
          <w:tcPr>
            <w:tcW w:w="3000" w:type="dxa"/>
            <w:tcBorders>
              <w:top w:val="single" w:sz="1" w:space="0" w:color="B8CCE4"/>
              <w:left w:val="single" w:sz="1" w:space="0" w:color="B8CCE4"/>
              <w:bottom w:val="single" w:sz="1" w:space="0" w:color="B8CCE4"/>
              <w:right w:val="single" w:sz="1" w:space="0" w:color="B8CCE4"/>
            </w:tcBorders>
            <w:shd w:val="clear" w:color="auto" w:fill="EBF2FB"/>
            <w:tcMar>
              <w:top w:w="100" w:type="dxa"/>
              <w:left w:w="140" w:type="dxa"/>
              <w:bottom w:w="100" w:type="dxa"/>
              <w:right w:w="140" w:type="dxa"/>
            </w:tcMar>
            <w:vAlign w:val="center"/>
          </w:tcPr>
          <w:p w14:paraId="7FD62A0C" w14:textId="77777777" w:rsidR="001624DC" w:rsidRDefault="00000000">
            <w:r>
              <w:rPr>
                <w:sz w:val="20"/>
                <w:szCs w:val="20"/>
              </w:rPr>
              <w:t>Interquartile Range</w:t>
            </w:r>
          </w:p>
        </w:tc>
        <w:tc>
          <w:tcPr>
            <w:tcW w:w="2000" w:type="dxa"/>
            <w:tcBorders>
              <w:top w:val="single" w:sz="1" w:space="0" w:color="B8CCE4"/>
              <w:left w:val="single" w:sz="1" w:space="0" w:color="B8CCE4"/>
              <w:bottom w:val="single" w:sz="1" w:space="0" w:color="B8CCE4"/>
              <w:right w:val="single" w:sz="1" w:space="0" w:color="B8CCE4"/>
            </w:tcBorders>
            <w:shd w:val="clear" w:color="auto" w:fill="EBF2FB"/>
            <w:tcMar>
              <w:top w:w="100" w:type="dxa"/>
              <w:left w:w="140" w:type="dxa"/>
              <w:bottom w:w="100" w:type="dxa"/>
              <w:right w:w="140" w:type="dxa"/>
            </w:tcMar>
            <w:vAlign w:val="center"/>
          </w:tcPr>
          <w:p w14:paraId="56180DA9" w14:textId="77777777" w:rsidR="001624DC" w:rsidRDefault="00000000">
            <w:pPr>
              <w:jc w:val="center"/>
            </w:pPr>
            <w:r>
              <w:rPr>
                <w:sz w:val="20"/>
                <w:szCs w:val="20"/>
              </w:rPr>
              <w:t>.93</w:t>
            </w:r>
          </w:p>
        </w:tc>
        <w:tc>
          <w:tcPr>
            <w:tcW w:w="2000" w:type="dxa"/>
            <w:tcBorders>
              <w:top w:val="single" w:sz="1" w:space="0" w:color="B8CCE4"/>
              <w:left w:val="single" w:sz="1" w:space="0" w:color="B8CCE4"/>
              <w:bottom w:val="single" w:sz="1" w:space="0" w:color="B8CCE4"/>
              <w:right w:val="single" w:sz="1" w:space="0" w:color="B8CCE4"/>
            </w:tcBorders>
            <w:shd w:val="clear" w:color="auto" w:fill="EBF2FB"/>
            <w:tcMar>
              <w:top w:w="100" w:type="dxa"/>
              <w:left w:w="140" w:type="dxa"/>
              <w:bottom w:w="100" w:type="dxa"/>
              <w:right w:w="140" w:type="dxa"/>
            </w:tcMar>
            <w:vAlign w:val="center"/>
          </w:tcPr>
          <w:p w14:paraId="73D0FD9C" w14:textId="77777777" w:rsidR="001624DC" w:rsidRDefault="00000000">
            <w:pPr>
              <w:jc w:val="center"/>
            </w:pPr>
            <w:r>
              <w:rPr>
                <w:sz w:val="20"/>
                <w:szCs w:val="20"/>
              </w:rPr>
              <w:t>1.33</w:t>
            </w:r>
          </w:p>
        </w:tc>
        <w:tc>
          <w:tcPr>
            <w:tcW w:w="2360" w:type="dxa"/>
            <w:tcBorders>
              <w:top w:val="single" w:sz="1" w:space="0" w:color="B8CCE4"/>
              <w:left w:val="single" w:sz="1" w:space="0" w:color="B8CCE4"/>
              <w:bottom w:val="single" w:sz="1" w:space="0" w:color="B8CCE4"/>
              <w:right w:val="single" w:sz="1" w:space="0" w:color="B8CCE4"/>
            </w:tcBorders>
            <w:shd w:val="clear" w:color="auto" w:fill="EBF2FB"/>
            <w:tcMar>
              <w:top w:w="100" w:type="dxa"/>
              <w:left w:w="140" w:type="dxa"/>
              <w:bottom w:w="100" w:type="dxa"/>
              <w:right w:w="140" w:type="dxa"/>
            </w:tcMar>
            <w:vAlign w:val="center"/>
          </w:tcPr>
          <w:p w14:paraId="339E351F" w14:textId="77777777" w:rsidR="001624DC" w:rsidRDefault="00000000">
            <w:pPr>
              <w:jc w:val="center"/>
            </w:pPr>
            <w:r>
              <w:rPr>
                <w:sz w:val="20"/>
                <w:szCs w:val="20"/>
              </w:rPr>
              <w:t>.91</w:t>
            </w:r>
          </w:p>
        </w:tc>
      </w:tr>
      <w:tr w:rsidR="001624DC" w14:paraId="1706DA3A" w14:textId="77777777">
        <w:tblPrEx>
          <w:tblCellMar>
            <w:top w:w="0" w:type="dxa"/>
            <w:bottom w:w="0" w:type="dxa"/>
          </w:tblCellMar>
        </w:tblPrEx>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659C19C6" w14:textId="77777777" w:rsidR="001624DC" w:rsidRDefault="00000000">
            <w:r>
              <w:rPr>
                <w:sz w:val="20"/>
                <w:szCs w:val="20"/>
              </w:rPr>
              <w:t>Minimum</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3095B897" w14:textId="77777777" w:rsidR="001624DC" w:rsidRDefault="00000000">
            <w:pPr>
              <w:jc w:val="center"/>
            </w:pPr>
            <w:r>
              <w:rPr>
                <w:sz w:val="20"/>
                <w:szCs w:val="20"/>
              </w:rPr>
              <w:t>2.04</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7AD755C3" w14:textId="77777777" w:rsidR="001624DC" w:rsidRDefault="00000000">
            <w:pPr>
              <w:jc w:val="center"/>
            </w:pPr>
            <w:r>
              <w:rPr>
                <w:sz w:val="20"/>
                <w:szCs w:val="20"/>
              </w:rPr>
              <w:t>1.44</w:t>
            </w:r>
          </w:p>
        </w:tc>
        <w:tc>
          <w:tcPr>
            <w:tcW w:w="236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32022309" w14:textId="77777777" w:rsidR="001624DC" w:rsidRDefault="00000000">
            <w:pPr>
              <w:jc w:val="center"/>
            </w:pPr>
            <w:r>
              <w:rPr>
                <w:sz w:val="20"/>
                <w:szCs w:val="20"/>
              </w:rPr>
              <w:t>1.65</w:t>
            </w:r>
          </w:p>
        </w:tc>
      </w:tr>
      <w:tr w:rsidR="001624DC" w14:paraId="774E42A6" w14:textId="77777777">
        <w:tblPrEx>
          <w:tblCellMar>
            <w:top w:w="0" w:type="dxa"/>
            <w:bottom w:w="0" w:type="dxa"/>
          </w:tblCellMar>
        </w:tblPrEx>
        <w:tc>
          <w:tcPr>
            <w:tcW w:w="3000" w:type="dxa"/>
            <w:tcBorders>
              <w:top w:val="single" w:sz="1" w:space="0" w:color="B8CCE4"/>
              <w:left w:val="single" w:sz="1" w:space="0" w:color="B8CCE4"/>
              <w:bottom w:val="single" w:sz="1" w:space="0" w:color="B8CCE4"/>
              <w:right w:val="single" w:sz="1" w:space="0" w:color="B8CCE4"/>
            </w:tcBorders>
            <w:shd w:val="clear" w:color="auto" w:fill="EBF2FB"/>
            <w:tcMar>
              <w:top w:w="100" w:type="dxa"/>
              <w:left w:w="140" w:type="dxa"/>
              <w:bottom w:w="100" w:type="dxa"/>
              <w:right w:w="140" w:type="dxa"/>
            </w:tcMar>
            <w:vAlign w:val="center"/>
          </w:tcPr>
          <w:p w14:paraId="7CEEA142" w14:textId="77777777" w:rsidR="001624DC" w:rsidRDefault="00000000">
            <w:r>
              <w:rPr>
                <w:sz w:val="20"/>
                <w:szCs w:val="20"/>
              </w:rPr>
              <w:t>Maximum</w:t>
            </w:r>
          </w:p>
        </w:tc>
        <w:tc>
          <w:tcPr>
            <w:tcW w:w="2000" w:type="dxa"/>
            <w:tcBorders>
              <w:top w:val="single" w:sz="1" w:space="0" w:color="B8CCE4"/>
              <w:left w:val="single" w:sz="1" w:space="0" w:color="B8CCE4"/>
              <w:bottom w:val="single" w:sz="1" w:space="0" w:color="B8CCE4"/>
              <w:right w:val="single" w:sz="1" w:space="0" w:color="B8CCE4"/>
            </w:tcBorders>
            <w:shd w:val="clear" w:color="auto" w:fill="EBF2FB"/>
            <w:tcMar>
              <w:top w:w="100" w:type="dxa"/>
              <w:left w:w="140" w:type="dxa"/>
              <w:bottom w:w="100" w:type="dxa"/>
              <w:right w:w="140" w:type="dxa"/>
            </w:tcMar>
            <w:vAlign w:val="center"/>
          </w:tcPr>
          <w:p w14:paraId="69AD5809" w14:textId="77777777" w:rsidR="001624DC" w:rsidRDefault="00000000">
            <w:pPr>
              <w:jc w:val="center"/>
            </w:pPr>
            <w:r>
              <w:rPr>
                <w:sz w:val="20"/>
                <w:szCs w:val="20"/>
              </w:rPr>
              <w:t>5.33</w:t>
            </w:r>
          </w:p>
        </w:tc>
        <w:tc>
          <w:tcPr>
            <w:tcW w:w="2000" w:type="dxa"/>
            <w:tcBorders>
              <w:top w:val="single" w:sz="1" w:space="0" w:color="B8CCE4"/>
              <w:left w:val="single" w:sz="1" w:space="0" w:color="B8CCE4"/>
              <w:bottom w:val="single" w:sz="1" w:space="0" w:color="B8CCE4"/>
              <w:right w:val="single" w:sz="1" w:space="0" w:color="B8CCE4"/>
            </w:tcBorders>
            <w:shd w:val="clear" w:color="auto" w:fill="EBF2FB"/>
            <w:tcMar>
              <w:top w:w="100" w:type="dxa"/>
              <w:left w:w="140" w:type="dxa"/>
              <w:bottom w:w="100" w:type="dxa"/>
              <w:right w:w="140" w:type="dxa"/>
            </w:tcMar>
            <w:vAlign w:val="center"/>
          </w:tcPr>
          <w:p w14:paraId="3A17433C" w14:textId="77777777" w:rsidR="001624DC" w:rsidRDefault="00000000">
            <w:pPr>
              <w:jc w:val="center"/>
            </w:pPr>
            <w:r>
              <w:rPr>
                <w:sz w:val="20"/>
                <w:szCs w:val="20"/>
              </w:rPr>
              <w:t>6.00</w:t>
            </w:r>
          </w:p>
        </w:tc>
        <w:tc>
          <w:tcPr>
            <w:tcW w:w="2360" w:type="dxa"/>
            <w:tcBorders>
              <w:top w:val="single" w:sz="1" w:space="0" w:color="B8CCE4"/>
              <w:left w:val="single" w:sz="1" w:space="0" w:color="B8CCE4"/>
              <w:bottom w:val="single" w:sz="1" w:space="0" w:color="B8CCE4"/>
              <w:right w:val="single" w:sz="1" w:space="0" w:color="B8CCE4"/>
            </w:tcBorders>
            <w:shd w:val="clear" w:color="auto" w:fill="EBF2FB"/>
            <w:tcMar>
              <w:top w:w="100" w:type="dxa"/>
              <w:left w:w="140" w:type="dxa"/>
              <w:bottom w:w="100" w:type="dxa"/>
              <w:right w:w="140" w:type="dxa"/>
            </w:tcMar>
            <w:vAlign w:val="center"/>
          </w:tcPr>
          <w:p w14:paraId="297B3934" w14:textId="77777777" w:rsidR="001624DC" w:rsidRDefault="00000000">
            <w:pPr>
              <w:jc w:val="center"/>
            </w:pPr>
            <w:r>
              <w:rPr>
                <w:sz w:val="20"/>
                <w:szCs w:val="20"/>
              </w:rPr>
              <w:t>4.95</w:t>
            </w:r>
          </w:p>
        </w:tc>
      </w:tr>
      <w:tr w:rsidR="001624DC" w14:paraId="3E747C59" w14:textId="77777777">
        <w:tblPrEx>
          <w:tblCellMar>
            <w:top w:w="0" w:type="dxa"/>
            <w:bottom w:w="0" w:type="dxa"/>
          </w:tblCellMar>
        </w:tblPrEx>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105FD471" w14:textId="77777777" w:rsidR="001624DC" w:rsidRDefault="00000000">
            <w:r>
              <w:rPr>
                <w:sz w:val="20"/>
                <w:szCs w:val="20"/>
              </w:rPr>
              <w:t>Range</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4765A986" w14:textId="77777777" w:rsidR="001624DC" w:rsidRDefault="00000000">
            <w:pPr>
              <w:jc w:val="center"/>
            </w:pPr>
            <w:r>
              <w:rPr>
                <w:sz w:val="20"/>
                <w:szCs w:val="20"/>
              </w:rPr>
              <w:t>3.29</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2225558B" w14:textId="77777777" w:rsidR="001624DC" w:rsidRDefault="00000000">
            <w:pPr>
              <w:jc w:val="center"/>
            </w:pPr>
            <w:r>
              <w:rPr>
                <w:sz w:val="20"/>
                <w:szCs w:val="20"/>
              </w:rPr>
              <w:t>4.56</w:t>
            </w:r>
          </w:p>
        </w:tc>
        <w:tc>
          <w:tcPr>
            <w:tcW w:w="236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0D4F8380" w14:textId="77777777" w:rsidR="001624DC" w:rsidRDefault="00000000">
            <w:pPr>
              <w:jc w:val="center"/>
            </w:pPr>
            <w:r>
              <w:rPr>
                <w:sz w:val="20"/>
                <w:szCs w:val="20"/>
              </w:rPr>
              <w:t>3.30</w:t>
            </w:r>
          </w:p>
        </w:tc>
      </w:tr>
      <w:tr w:rsidR="001624DC" w14:paraId="25ED4F3E" w14:textId="77777777">
        <w:tblPrEx>
          <w:tblCellMar>
            <w:top w:w="0" w:type="dxa"/>
            <w:bottom w:w="0" w:type="dxa"/>
          </w:tblCellMar>
        </w:tblPrEx>
        <w:tc>
          <w:tcPr>
            <w:tcW w:w="3000" w:type="dxa"/>
            <w:tcBorders>
              <w:top w:val="single" w:sz="1" w:space="0" w:color="B8CCE4"/>
              <w:left w:val="single" w:sz="1" w:space="0" w:color="B8CCE4"/>
              <w:bottom w:val="single" w:sz="1" w:space="0" w:color="B8CCE4"/>
              <w:right w:val="single" w:sz="1" w:space="0" w:color="B8CCE4"/>
            </w:tcBorders>
            <w:shd w:val="clear" w:color="auto" w:fill="EBF2FB"/>
            <w:tcMar>
              <w:top w:w="100" w:type="dxa"/>
              <w:left w:w="140" w:type="dxa"/>
              <w:bottom w:w="100" w:type="dxa"/>
              <w:right w:w="140" w:type="dxa"/>
            </w:tcMar>
            <w:vAlign w:val="center"/>
          </w:tcPr>
          <w:p w14:paraId="15D33AAD" w14:textId="77777777" w:rsidR="001624DC" w:rsidRDefault="00000000">
            <w:r>
              <w:rPr>
                <w:b/>
                <w:bCs/>
                <w:sz w:val="20"/>
                <w:szCs w:val="20"/>
              </w:rPr>
              <w:t>N (Valid)</w:t>
            </w:r>
          </w:p>
        </w:tc>
        <w:tc>
          <w:tcPr>
            <w:tcW w:w="2000" w:type="dxa"/>
            <w:tcBorders>
              <w:top w:val="single" w:sz="1" w:space="0" w:color="B8CCE4"/>
              <w:left w:val="single" w:sz="1" w:space="0" w:color="B8CCE4"/>
              <w:bottom w:val="single" w:sz="1" w:space="0" w:color="B8CCE4"/>
              <w:right w:val="single" w:sz="1" w:space="0" w:color="B8CCE4"/>
            </w:tcBorders>
            <w:shd w:val="clear" w:color="auto" w:fill="EBF2FB"/>
            <w:tcMar>
              <w:top w:w="100" w:type="dxa"/>
              <w:left w:w="140" w:type="dxa"/>
              <w:bottom w:w="100" w:type="dxa"/>
              <w:right w:w="140" w:type="dxa"/>
            </w:tcMar>
            <w:vAlign w:val="center"/>
          </w:tcPr>
          <w:p w14:paraId="637EB83E" w14:textId="77777777" w:rsidR="001624DC" w:rsidRDefault="00000000">
            <w:pPr>
              <w:jc w:val="center"/>
            </w:pPr>
            <w:r>
              <w:rPr>
                <w:b/>
                <w:bCs/>
                <w:sz w:val="20"/>
                <w:szCs w:val="20"/>
              </w:rPr>
              <w:t>270</w:t>
            </w:r>
          </w:p>
        </w:tc>
        <w:tc>
          <w:tcPr>
            <w:tcW w:w="2000" w:type="dxa"/>
            <w:tcBorders>
              <w:top w:val="single" w:sz="1" w:space="0" w:color="B8CCE4"/>
              <w:left w:val="single" w:sz="1" w:space="0" w:color="B8CCE4"/>
              <w:bottom w:val="single" w:sz="1" w:space="0" w:color="B8CCE4"/>
              <w:right w:val="single" w:sz="1" w:space="0" w:color="B8CCE4"/>
            </w:tcBorders>
            <w:shd w:val="clear" w:color="auto" w:fill="EBF2FB"/>
            <w:tcMar>
              <w:top w:w="100" w:type="dxa"/>
              <w:left w:w="140" w:type="dxa"/>
              <w:bottom w:w="100" w:type="dxa"/>
              <w:right w:w="140" w:type="dxa"/>
            </w:tcMar>
            <w:vAlign w:val="center"/>
          </w:tcPr>
          <w:p w14:paraId="0F6F019C" w14:textId="77777777" w:rsidR="001624DC" w:rsidRDefault="00000000">
            <w:pPr>
              <w:jc w:val="center"/>
            </w:pPr>
            <w:r>
              <w:rPr>
                <w:b/>
                <w:bCs/>
                <w:sz w:val="20"/>
                <w:szCs w:val="20"/>
              </w:rPr>
              <w:t>270</w:t>
            </w:r>
          </w:p>
        </w:tc>
        <w:tc>
          <w:tcPr>
            <w:tcW w:w="2360" w:type="dxa"/>
            <w:tcBorders>
              <w:top w:val="single" w:sz="1" w:space="0" w:color="B8CCE4"/>
              <w:left w:val="single" w:sz="1" w:space="0" w:color="B8CCE4"/>
              <w:bottom w:val="single" w:sz="1" w:space="0" w:color="B8CCE4"/>
              <w:right w:val="single" w:sz="1" w:space="0" w:color="B8CCE4"/>
            </w:tcBorders>
            <w:shd w:val="clear" w:color="auto" w:fill="EBF2FB"/>
            <w:tcMar>
              <w:top w:w="100" w:type="dxa"/>
              <w:left w:w="140" w:type="dxa"/>
              <w:bottom w:w="100" w:type="dxa"/>
              <w:right w:w="140" w:type="dxa"/>
            </w:tcMar>
            <w:vAlign w:val="center"/>
          </w:tcPr>
          <w:p w14:paraId="309D8468" w14:textId="77777777" w:rsidR="001624DC" w:rsidRDefault="00000000">
            <w:pPr>
              <w:jc w:val="center"/>
            </w:pPr>
            <w:r>
              <w:rPr>
                <w:b/>
                <w:bCs/>
                <w:sz w:val="20"/>
                <w:szCs w:val="20"/>
              </w:rPr>
              <w:t>270</w:t>
            </w:r>
          </w:p>
        </w:tc>
      </w:tr>
    </w:tbl>
    <w:p w14:paraId="1C05BF9D" w14:textId="77777777" w:rsidR="001624DC" w:rsidRDefault="00000000">
      <w:pPr>
        <w:spacing w:before="80" w:after="200"/>
        <w:ind w:left="360"/>
        <w:jc w:val="both"/>
      </w:pPr>
      <w:r>
        <w:rPr>
          <w:b/>
          <w:bCs/>
          <w:sz w:val="21"/>
          <w:szCs w:val="21"/>
        </w:rPr>
        <w:t xml:space="preserve">Note. </w:t>
      </w:r>
      <w:r>
        <w:rPr>
          <w:i/>
          <w:iCs/>
          <w:sz w:val="21"/>
          <w:szCs w:val="21"/>
        </w:rPr>
        <w:t>All values are sourced directly from the SPSS EXAMINE Descriptives table (Assumption_Testing.pdf, pp. 2–3). Scale ranges: PCQ-24 (1–6); UWES-9 (0–6); MSQ-20 (1–5). The 5% Trimmed Mean is reported to evaluate the influence of extreme scores on central tendency. N = 270 valid cases; missing = 0 for all variables.</w:t>
      </w:r>
    </w:p>
    <w:p w14:paraId="2394A575" w14:textId="77777777" w:rsidR="001624DC" w:rsidRDefault="00000000">
      <w:pPr>
        <w:spacing w:before="100" w:after="100" w:line="360" w:lineRule="auto"/>
        <w:ind w:firstLine="720"/>
        <w:jc w:val="both"/>
      </w:pPr>
      <w:r>
        <w:t>Across all three variables, the arithmetic means and 5% trimmed means are closely aligned, with the largest discrepancy amounting to only 0.02 units for the PCQ (M = 4.1307 vs. Trimmed M = 4.1491), indicating that extreme scores are not meaningfully distorting the central tendency estimates of any variable. The proximity of the median to the mean for all three scales provides further evidence of approximate distributional symmetry.</w:t>
      </w:r>
    </w:p>
    <w:p w14:paraId="189C2E8E" w14:textId="77777777" w:rsidR="001624DC" w:rsidRDefault="00000000">
      <w:pPr>
        <w:spacing w:before="100" w:after="100" w:line="360" w:lineRule="auto"/>
        <w:ind w:firstLine="720"/>
        <w:jc w:val="both"/>
      </w:pPr>
      <w:r>
        <w:t>Psychological Capital (M = 4.1307 out of 6, SD = .639) and Work Engagement (M = 4.2263 out of 6, SD = .909) both produced above-midpoint means, reflecting generally positive levels of these constructs among QOU academic staff. Job Satisfaction yielded the lowest mean relative to its scale (M = 3.6941 out of 5, SD = .691), a finding consistent with documented pay-related satisfaction constraints in Palestinian academic settings (Abualrob &amp; Atar, 2019). The relatively narrow standard deviation for Job Satisfaction (.691) compared to Work Engagement (.909) suggests more homogeneous satisfaction responses across the sample.</w:t>
      </w:r>
    </w:p>
    <w:p w14:paraId="3AB2C824" w14:textId="77777777" w:rsidR="001624DC" w:rsidRDefault="001624DC">
      <w:pPr>
        <w:spacing w:before="80" w:after="80"/>
      </w:pPr>
    </w:p>
    <w:p w14:paraId="77B4DCA6" w14:textId="77777777" w:rsidR="001624DC" w:rsidRDefault="00000000">
      <w:pPr>
        <w:pStyle w:val="Heading1"/>
        <w:ind w:left="240" w:right="240"/>
      </w:pPr>
      <w:r>
        <w:t>3.  Normality Assessment</w:t>
      </w:r>
    </w:p>
    <w:p w14:paraId="7081C8C2" w14:textId="77777777" w:rsidR="001624DC" w:rsidRDefault="00000000">
      <w:pPr>
        <w:pStyle w:val="Heading2"/>
        <w:pBdr>
          <w:bottom w:val="single" w:sz="4" w:space="2" w:color="2E5496"/>
        </w:pBdr>
      </w:pPr>
      <w:proofErr w:type="gramStart"/>
      <w:r>
        <w:t>3.1  Skewness</w:t>
      </w:r>
      <w:proofErr w:type="gramEnd"/>
      <w:r>
        <w:t xml:space="preserve"> and Kurtosis Indices</w:t>
      </w:r>
    </w:p>
    <w:p w14:paraId="3DFFAF71" w14:textId="77777777" w:rsidR="001624DC" w:rsidRDefault="00000000">
      <w:pPr>
        <w:spacing w:before="100" w:after="100" w:line="360" w:lineRule="auto"/>
        <w:ind w:firstLine="720"/>
        <w:jc w:val="both"/>
      </w:pPr>
      <w:r>
        <w:lastRenderedPageBreak/>
        <w:t>Normality was first assessed by examining the skewness and kurtosis values of each composite variable. These statistics provide direct quantitative information about the shape of the distribution: skewness quantifies asymmetry, while kurtosis quantifies the relative heaviness of the distribution's tails. Values of skewness and kurtosis within the range of ±1.0 are generally considered indicative of acceptable normality for parametric statistical analysis in applied social research (Kim, 2013; Hair et al., 2019). Table 2 presents these indices alongside their standard errors and an overall normality assessment.</w:t>
      </w:r>
    </w:p>
    <w:p w14:paraId="14FA4A5C" w14:textId="77777777" w:rsidR="001624DC" w:rsidRDefault="001624DC">
      <w:pPr>
        <w:spacing w:before="80" w:after="80"/>
      </w:pPr>
    </w:p>
    <w:p w14:paraId="610369C3" w14:textId="77777777" w:rsidR="001624DC" w:rsidRDefault="00000000">
      <w:pPr>
        <w:spacing w:before="240" w:after="80"/>
      </w:pPr>
      <w:r>
        <w:rPr>
          <w:b/>
          <w:bCs/>
        </w:rPr>
        <w:t xml:space="preserve">Table </w:t>
      </w:r>
      <w:proofErr w:type="gramStart"/>
      <w:r>
        <w:rPr>
          <w:b/>
          <w:bCs/>
        </w:rPr>
        <w:t>2</w:t>
      </w:r>
      <w:r>
        <w:t xml:space="preserve">  Skewness</w:t>
      </w:r>
      <w:proofErr w:type="gramEnd"/>
      <w:r>
        <w:t xml:space="preserve"> and Kurtosis Indices — Composite Mean Scores (N = 270)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4"/>
        <w:gridCol w:w="1092"/>
        <w:gridCol w:w="692"/>
        <w:gridCol w:w="1014"/>
        <w:gridCol w:w="692"/>
        <w:gridCol w:w="1450"/>
        <w:gridCol w:w="2316"/>
      </w:tblGrid>
      <w:tr w:rsidR="001624DC" w14:paraId="6DCFABC1"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1F3864"/>
            <w:tcMar>
              <w:top w:w="100" w:type="dxa"/>
              <w:left w:w="140" w:type="dxa"/>
              <w:bottom w:w="100" w:type="dxa"/>
              <w:right w:w="140" w:type="dxa"/>
            </w:tcMar>
            <w:vAlign w:val="center"/>
          </w:tcPr>
          <w:p w14:paraId="5AFD3C79" w14:textId="77777777" w:rsidR="001624DC" w:rsidRDefault="00000000">
            <w:pPr>
              <w:jc w:val="center"/>
            </w:pPr>
            <w:r>
              <w:rPr>
                <w:b/>
                <w:bCs/>
                <w:color w:val="FFFFFF"/>
                <w:sz w:val="20"/>
                <w:szCs w:val="20"/>
              </w:rPr>
              <w:t>Variable</w:t>
            </w:r>
          </w:p>
        </w:tc>
        <w:tc>
          <w:tcPr>
            <w:tcW w:w="900" w:type="dxa"/>
            <w:tcBorders>
              <w:top w:val="single" w:sz="1" w:space="0" w:color="B8CCE4"/>
              <w:left w:val="single" w:sz="1" w:space="0" w:color="B8CCE4"/>
              <w:bottom w:val="single" w:sz="1" w:space="0" w:color="B8CCE4"/>
              <w:right w:val="single" w:sz="1" w:space="0" w:color="B8CCE4"/>
            </w:tcBorders>
            <w:shd w:val="clear" w:color="auto" w:fill="1F3864"/>
            <w:tcMar>
              <w:top w:w="100" w:type="dxa"/>
              <w:left w:w="140" w:type="dxa"/>
              <w:bottom w:w="100" w:type="dxa"/>
              <w:right w:w="140" w:type="dxa"/>
            </w:tcMar>
            <w:vAlign w:val="center"/>
          </w:tcPr>
          <w:p w14:paraId="4005D79B" w14:textId="77777777" w:rsidR="001624DC" w:rsidRDefault="00000000">
            <w:pPr>
              <w:jc w:val="center"/>
            </w:pPr>
            <w:r>
              <w:rPr>
                <w:b/>
                <w:bCs/>
                <w:color w:val="FFFFFF"/>
                <w:sz w:val="20"/>
                <w:szCs w:val="20"/>
              </w:rPr>
              <w:t>Skewness</w:t>
            </w:r>
          </w:p>
        </w:tc>
        <w:tc>
          <w:tcPr>
            <w:tcW w:w="700" w:type="dxa"/>
            <w:tcBorders>
              <w:top w:val="single" w:sz="1" w:space="0" w:color="B8CCE4"/>
              <w:left w:val="single" w:sz="1" w:space="0" w:color="B8CCE4"/>
              <w:bottom w:val="single" w:sz="1" w:space="0" w:color="B8CCE4"/>
              <w:right w:val="single" w:sz="1" w:space="0" w:color="B8CCE4"/>
            </w:tcBorders>
            <w:shd w:val="clear" w:color="auto" w:fill="1F3864"/>
            <w:tcMar>
              <w:top w:w="100" w:type="dxa"/>
              <w:left w:w="140" w:type="dxa"/>
              <w:bottom w:w="100" w:type="dxa"/>
              <w:right w:w="140" w:type="dxa"/>
            </w:tcMar>
            <w:vAlign w:val="center"/>
          </w:tcPr>
          <w:p w14:paraId="3B2D337E" w14:textId="77777777" w:rsidR="001624DC" w:rsidRDefault="00000000">
            <w:pPr>
              <w:jc w:val="center"/>
            </w:pPr>
            <w:r>
              <w:rPr>
                <w:b/>
                <w:bCs/>
                <w:color w:val="FFFFFF"/>
                <w:sz w:val="20"/>
                <w:szCs w:val="20"/>
              </w:rPr>
              <w:t>SE</w:t>
            </w:r>
          </w:p>
        </w:tc>
        <w:tc>
          <w:tcPr>
            <w:tcW w:w="900" w:type="dxa"/>
            <w:tcBorders>
              <w:top w:val="single" w:sz="1" w:space="0" w:color="B8CCE4"/>
              <w:left w:val="single" w:sz="1" w:space="0" w:color="B8CCE4"/>
              <w:bottom w:val="single" w:sz="1" w:space="0" w:color="B8CCE4"/>
              <w:right w:val="single" w:sz="1" w:space="0" w:color="B8CCE4"/>
            </w:tcBorders>
            <w:shd w:val="clear" w:color="auto" w:fill="1F3864"/>
            <w:tcMar>
              <w:top w:w="100" w:type="dxa"/>
              <w:left w:w="140" w:type="dxa"/>
              <w:bottom w:w="100" w:type="dxa"/>
              <w:right w:w="140" w:type="dxa"/>
            </w:tcMar>
            <w:vAlign w:val="center"/>
          </w:tcPr>
          <w:p w14:paraId="501D4EFA" w14:textId="77777777" w:rsidR="001624DC" w:rsidRDefault="00000000">
            <w:pPr>
              <w:jc w:val="center"/>
            </w:pPr>
            <w:r>
              <w:rPr>
                <w:b/>
                <w:bCs/>
                <w:color w:val="FFFFFF"/>
                <w:sz w:val="20"/>
                <w:szCs w:val="20"/>
              </w:rPr>
              <w:t>Kurtosis</w:t>
            </w:r>
          </w:p>
        </w:tc>
        <w:tc>
          <w:tcPr>
            <w:tcW w:w="700" w:type="dxa"/>
            <w:tcBorders>
              <w:top w:val="single" w:sz="1" w:space="0" w:color="B8CCE4"/>
              <w:left w:val="single" w:sz="1" w:space="0" w:color="B8CCE4"/>
              <w:bottom w:val="single" w:sz="1" w:space="0" w:color="B8CCE4"/>
              <w:right w:val="single" w:sz="1" w:space="0" w:color="B8CCE4"/>
            </w:tcBorders>
            <w:shd w:val="clear" w:color="auto" w:fill="1F3864"/>
            <w:tcMar>
              <w:top w:w="100" w:type="dxa"/>
              <w:left w:w="140" w:type="dxa"/>
              <w:bottom w:w="100" w:type="dxa"/>
              <w:right w:w="140" w:type="dxa"/>
            </w:tcMar>
            <w:vAlign w:val="center"/>
          </w:tcPr>
          <w:p w14:paraId="0F6B9D5F" w14:textId="77777777" w:rsidR="001624DC" w:rsidRDefault="00000000">
            <w:pPr>
              <w:jc w:val="center"/>
            </w:pPr>
            <w:r>
              <w:rPr>
                <w:b/>
                <w:bCs/>
                <w:color w:val="FFFFFF"/>
                <w:sz w:val="20"/>
                <w:szCs w:val="20"/>
              </w:rPr>
              <w:t>SE</w:t>
            </w:r>
          </w:p>
        </w:tc>
        <w:tc>
          <w:tcPr>
            <w:tcW w:w="1500" w:type="dxa"/>
            <w:tcBorders>
              <w:top w:val="single" w:sz="1" w:space="0" w:color="B8CCE4"/>
              <w:left w:val="single" w:sz="1" w:space="0" w:color="B8CCE4"/>
              <w:bottom w:val="single" w:sz="1" w:space="0" w:color="B8CCE4"/>
              <w:right w:val="single" w:sz="1" w:space="0" w:color="B8CCE4"/>
            </w:tcBorders>
            <w:shd w:val="clear" w:color="auto" w:fill="1F3864"/>
            <w:tcMar>
              <w:top w:w="100" w:type="dxa"/>
              <w:left w:w="140" w:type="dxa"/>
              <w:bottom w:w="100" w:type="dxa"/>
              <w:right w:w="140" w:type="dxa"/>
            </w:tcMar>
            <w:vAlign w:val="center"/>
          </w:tcPr>
          <w:p w14:paraId="2E81031B" w14:textId="77777777" w:rsidR="001624DC" w:rsidRDefault="00000000">
            <w:pPr>
              <w:jc w:val="center"/>
            </w:pPr>
            <w:r>
              <w:rPr>
                <w:b/>
                <w:bCs/>
                <w:color w:val="FFFFFF"/>
                <w:sz w:val="20"/>
                <w:szCs w:val="20"/>
              </w:rPr>
              <w:t>Criterion |value| ≤ 1.0</w:t>
            </w:r>
          </w:p>
        </w:tc>
        <w:tc>
          <w:tcPr>
            <w:tcW w:w="2460" w:type="dxa"/>
            <w:tcBorders>
              <w:top w:val="single" w:sz="1" w:space="0" w:color="B8CCE4"/>
              <w:left w:val="single" w:sz="1" w:space="0" w:color="B8CCE4"/>
              <w:bottom w:val="single" w:sz="1" w:space="0" w:color="B8CCE4"/>
              <w:right w:val="single" w:sz="1" w:space="0" w:color="B8CCE4"/>
            </w:tcBorders>
            <w:shd w:val="clear" w:color="auto" w:fill="1F3864"/>
            <w:tcMar>
              <w:top w:w="100" w:type="dxa"/>
              <w:left w:w="140" w:type="dxa"/>
              <w:bottom w:w="100" w:type="dxa"/>
              <w:right w:w="140" w:type="dxa"/>
            </w:tcMar>
            <w:vAlign w:val="center"/>
          </w:tcPr>
          <w:p w14:paraId="2660E220" w14:textId="77777777" w:rsidR="001624DC" w:rsidRDefault="00000000">
            <w:pPr>
              <w:jc w:val="center"/>
            </w:pPr>
            <w:r>
              <w:rPr>
                <w:b/>
                <w:bCs/>
                <w:color w:val="FFFFFF"/>
                <w:sz w:val="20"/>
                <w:szCs w:val="20"/>
              </w:rPr>
              <w:t>Assessment</w:t>
            </w:r>
          </w:p>
        </w:tc>
      </w:tr>
      <w:tr w:rsidR="001624DC" w14:paraId="34424197"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52FD0BEA" w14:textId="77777777" w:rsidR="001624DC" w:rsidRDefault="00000000">
            <w:r>
              <w:rPr>
                <w:sz w:val="20"/>
                <w:szCs w:val="20"/>
              </w:rPr>
              <w:t>Psychological Capital (PCQ)</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50BEF323" w14:textId="77777777" w:rsidR="001624DC" w:rsidRDefault="00000000">
            <w:pPr>
              <w:jc w:val="center"/>
            </w:pPr>
            <w:r>
              <w:rPr>
                <w:sz w:val="20"/>
                <w:szCs w:val="20"/>
              </w:rPr>
              <w:t>−.359</w:t>
            </w:r>
          </w:p>
        </w:tc>
        <w:tc>
          <w:tcPr>
            <w:tcW w:w="7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48826B78" w14:textId="77777777" w:rsidR="001624DC" w:rsidRDefault="00000000">
            <w:pPr>
              <w:jc w:val="center"/>
            </w:pPr>
            <w:r>
              <w:rPr>
                <w:color w:val="595959"/>
                <w:sz w:val="20"/>
                <w:szCs w:val="20"/>
              </w:rPr>
              <w:t>.148</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4E61A7B2" w14:textId="77777777" w:rsidR="001624DC" w:rsidRDefault="00000000">
            <w:pPr>
              <w:jc w:val="center"/>
            </w:pPr>
            <w:r>
              <w:rPr>
                <w:sz w:val="20"/>
                <w:szCs w:val="20"/>
              </w:rPr>
              <w:t>−.283</w:t>
            </w:r>
          </w:p>
        </w:tc>
        <w:tc>
          <w:tcPr>
            <w:tcW w:w="7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136B2DFC" w14:textId="77777777" w:rsidR="001624DC" w:rsidRDefault="00000000">
            <w:pPr>
              <w:jc w:val="center"/>
            </w:pPr>
            <w:r>
              <w:rPr>
                <w:color w:val="595959"/>
                <w:sz w:val="20"/>
                <w:szCs w:val="20"/>
              </w:rPr>
              <w:t>.295</w:t>
            </w:r>
          </w:p>
        </w:tc>
        <w:tc>
          <w:tcPr>
            <w:tcW w:w="15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11CFD99E" w14:textId="77777777" w:rsidR="001624DC" w:rsidRDefault="00000000">
            <w:pPr>
              <w:jc w:val="center"/>
            </w:pPr>
            <w:r>
              <w:rPr>
                <w:color w:val="375623"/>
                <w:sz w:val="20"/>
                <w:szCs w:val="20"/>
              </w:rPr>
              <w:t>Both ≤ 1.0</w:t>
            </w:r>
          </w:p>
        </w:tc>
        <w:tc>
          <w:tcPr>
            <w:tcW w:w="246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6DDC374C" w14:textId="77777777" w:rsidR="001624DC" w:rsidRDefault="00000000">
            <w:pPr>
              <w:jc w:val="center"/>
            </w:pPr>
            <w:r>
              <w:rPr>
                <w:b/>
                <w:bCs/>
                <w:color w:val="375623"/>
                <w:sz w:val="20"/>
                <w:szCs w:val="20"/>
              </w:rPr>
              <w:t>Acceptable ✓</w:t>
            </w:r>
          </w:p>
        </w:tc>
      </w:tr>
      <w:tr w:rsidR="001624DC" w14:paraId="5E155962"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EBF2FB"/>
            <w:tcMar>
              <w:top w:w="100" w:type="dxa"/>
              <w:left w:w="140" w:type="dxa"/>
              <w:bottom w:w="100" w:type="dxa"/>
              <w:right w:w="140" w:type="dxa"/>
            </w:tcMar>
            <w:vAlign w:val="center"/>
          </w:tcPr>
          <w:p w14:paraId="6CDB15BE" w14:textId="77777777" w:rsidR="001624DC" w:rsidRDefault="00000000">
            <w:r>
              <w:rPr>
                <w:sz w:val="20"/>
                <w:szCs w:val="20"/>
              </w:rPr>
              <w:t>Work Engagement (UWES)</w:t>
            </w:r>
          </w:p>
        </w:tc>
        <w:tc>
          <w:tcPr>
            <w:tcW w:w="900" w:type="dxa"/>
            <w:tcBorders>
              <w:top w:val="single" w:sz="1" w:space="0" w:color="B8CCE4"/>
              <w:left w:val="single" w:sz="1" w:space="0" w:color="B8CCE4"/>
              <w:bottom w:val="single" w:sz="1" w:space="0" w:color="B8CCE4"/>
              <w:right w:val="single" w:sz="1" w:space="0" w:color="B8CCE4"/>
            </w:tcBorders>
            <w:shd w:val="clear" w:color="auto" w:fill="EBF2FB"/>
            <w:tcMar>
              <w:top w:w="100" w:type="dxa"/>
              <w:left w:w="140" w:type="dxa"/>
              <w:bottom w:w="100" w:type="dxa"/>
              <w:right w:w="140" w:type="dxa"/>
            </w:tcMar>
            <w:vAlign w:val="center"/>
          </w:tcPr>
          <w:p w14:paraId="2BDE1CB3" w14:textId="77777777" w:rsidR="001624DC" w:rsidRDefault="00000000">
            <w:pPr>
              <w:jc w:val="center"/>
            </w:pPr>
            <w:r>
              <w:rPr>
                <w:sz w:val="20"/>
                <w:szCs w:val="20"/>
              </w:rPr>
              <w:t>−.371</w:t>
            </w:r>
          </w:p>
        </w:tc>
        <w:tc>
          <w:tcPr>
            <w:tcW w:w="700" w:type="dxa"/>
            <w:tcBorders>
              <w:top w:val="single" w:sz="1" w:space="0" w:color="B8CCE4"/>
              <w:left w:val="single" w:sz="1" w:space="0" w:color="B8CCE4"/>
              <w:bottom w:val="single" w:sz="1" w:space="0" w:color="B8CCE4"/>
              <w:right w:val="single" w:sz="1" w:space="0" w:color="B8CCE4"/>
            </w:tcBorders>
            <w:shd w:val="clear" w:color="auto" w:fill="EBF2FB"/>
            <w:tcMar>
              <w:top w:w="100" w:type="dxa"/>
              <w:left w:w="140" w:type="dxa"/>
              <w:bottom w:w="100" w:type="dxa"/>
              <w:right w:w="140" w:type="dxa"/>
            </w:tcMar>
            <w:vAlign w:val="center"/>
          </w:tcPr>
          <w:p w14:paraId="02FFD07A" w14:textId="77777777" w:rsidR="001624DC" w:rsidRDefault="00000000">
            <w:pPr>
              <w:jc w:val="center"/>
            </w:pPr>
            <w:r>
              <w:rPr>
                <w:color w:val="595959"/>
                <w:sz w:val="20"/>
                <w:szCs w:val="20"/>
              </w:rPr>
              <w:t>.148</w:t>
            </w:r>
          </w:p>
        </w:tc>
        <w:tc>
          <w:tcPr>
            <w:tcW w:w="900" w:type="dxa"/>
            <w:tcBorders>
              <w:top w:val="single" w:sz="1" w:space="0" w:color="B8CCE4"/>
              <w:left w:val="single" w:sz="1" w:space="0" w:color="B8CCE4"/>
              <w:bottom w:val="single" w:sz="1" w:space="0" w:color="B8CCE4"/>
              <w:right w:val="single" w:sz="1" w:space="0" w:color="B8CCE4"/>
            </w:tcBorders>
            <w:shd w:val="clear" w:color="auto" w:fill="EBF2FB"/>
            <w:tcMar>
              <w:top w:w="100" w:type="dxa"/>
              <w:left w:w="140" w:type="dxa"/>
              <w:bottom w:w="100" w:type="dxa"/>
              <w:right w:w="140" w:type="dxa"/>
            </w:tcMar>
            <w:vAlign w:val="center"/>
          </w:tcPr>
          <w:p w14:paraId="2AED9CCE" w14:textId="77777777" w:rsidR="001624DC" w:rsidRDefault="00000000">
            <w:pPr>
              <w:jc w:val="center"/>
            </w:pPr>
            <w:r>
              <w:rPr>
                <w:sz w:val="20"/>
                <w:szCs w:val="20"/>
              </w:rPr>
              <w:t>−.252</w:t>
            </w:r>
          </w:p>
        </w:tc>
        <w:tc>
          <w:tcPr>
            <w:tcW w:w="700" w:type="dxa"/>
            <w:tcBorders>
              <w:top w:val="single" w:sz="1" w:space="0" w:color="B8CCE4"/>
              <w:left w:val="single" w:sz="1" w:space="0" w:color="B8CCE4"/>
              <w:bottom w:val="single" w:sz="1" w:space="0" w:color="B8CCE4"/>
              <w:right w:val="single" w:sz="1" w:space="0" w:color="B8CCE4"/>
            </w:tcBorders>
            <w:shd w:val="clear" w:color="auto" w:fill="EBF2FB"/>
            <w:tcMar>
              <w:top w:w="100" w:type="dxa"/>
              <w:left w:w="140" w:type="dxa"/>
              <w:bottom w:w="100" w:type="dxa"/>
              <w:right w:w="140" w:type="dxa"/>
            </w:tcMar>
            <w:vAlign w:val="center"/>
          </w:tcPr>
          <w:p w14:paraId="78A5656C" w14:textId="77777777" w:rsidR="001624DC" w:rsidRDefault="00000000">
            <w:pPr>
              <w:jc w:val="center"/>
            </w:pPr>
            <w:r>
              <w:rPr>
                <w:color w:val="595959"/>
                <w:sz w:val="20"/>
                <w:szCs w:val="20"/>
              </w:rPr>
              <w:t>.295</w:t>
            </w:r>
          </w:p>
        </w:tc>
        <w:tc>
          <w:tcPr>
            <w:tcW w:w="1500" w:type="dxa"/>
            <w:tcBorders>
              <w:top w:val="single" w:sz="1" w:space="0" w:color="B8CCE4"/>
              <w:left w:val="single" w:sz="1" w:space="0" w:color="B8CCE4"/>
              <w:bottom w:val="single" w:sz="1" w:space="0" w:color="B8CCE4"/>
              <w:right w:val="single" w:sz="1" w:space="0" w:color="B8CCE4"/>
            </w:tcBorders>
            <w:shd w:val="clear" w:color="auto" w:fill="EBF2FB"/>
            <w:tcMar>
              <w:top w:w="100" w:type="dxa"/>
              <w:left w:w="140" w:type="dxa"/>
              <w:bottom w:w="100" w:type="dxa"/>
              <w:right w:w="140" w:type="dxa"/>
            </w:tcMar>
            <w:vAlign w:val="center"/>
          </w:tcPr>
          <w:p w14:paraId="7C30E83A" w14:textId="77777777" w:rsidR="001624DC" w:rsidRDefault="00000000">
            <w:pPr>
              <w:jc w:val="center"/>
            </w:pPr>
            <w:r>
              <w:rPr>
                <w:color w:val="375623"/>
                <w:sz w:val="20"/>
                <w:szCs w:val="20"/>
              </w:rPr>
              <w:t>Both ≤ 1.0</w:t>
            </w:r>
          </w:p>
        </w:tc>
        <w:tc>
          <w:tcPr>
            <w:tcW w:w="2460" w:type="dxa"/>
            <w:tcBorders>
              <w:top w:val="single" w:sz="1" w:space="0" w:color="B8CCE4"/>
              <w:left w:val="single" w:sz="1" w:space="0" w:color="B8CCE4"/>
              <w:bottom w:val="single" w:sz="1" w:space="0" w:color="B8CCE4"/>
              <w:right w:val="single" w:sz="1" w:space="0" w:color="B8CCE4"/>
            </w:tcBorders>
            <w:shd w:val="clear" w:color="auto" w:fill="EBF2FB"/>
            <w:tcMar>
              <w:top w:w="100" w:type="dxa"/>
              <w:left w:w="140" w:type="dxa"/>
              <w:bottom w:w="100" w:type="dxa"/>
              <w:right w:w="140" w:type="dxa"/>
            </w:tcMar>
            <w:vAlign w:val="center"/>
          </w:tcPr>
          <w:p w14:paraId="7B49ECFB" w14:textId="77777777" w:rsidR="001624DC" w:rsidRDefault="00000000">
            <w:pPr>
              <w:jc w:val="center"/>
            </w:pPr>
            <w:r>
              <w:rPr>
                <w:b/>
                <w:bCs/>
                <w:color w:val="375623"/>
                <w:sz w:val="20"/>
                <w:szCs w:val="20"/>
              </w:rPr>
              <w:t>Acceptable ✓</w:t>
            </w:r>
          </w:p>
        </w:tc>
      </w:tr>
      <w:tr w:rsidR="001624DC" w14:paraId="092AB66D"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7412FCB5" w14:textId="77777777" w:rsidR="001624DC" w:rsidRDefault="00000000">
            <w:r>
              <w:rPr>
                <w:sz w:val="20"/>
                <w:szCs w:val="20"/>
              </w:rPr>
              <w:t>Job Satisfaction (MSQ)</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1775B27A" w14:textId="77777777" w:rsidR="001624DC" w:rsidRDefault="00000000">
            <w:pPr>
              <w:jc w:val="center"/>
            </w:pPr>
            <w:r>
              <w:rPr>
                <w:sz w:val="20"/>
                <w:szCs w:val="20"/>
              </w:rPr>
              <w:t>−.396</w:t>
            </w:r>
          </w:p>
        </w:tc>
        <w:tc>
          <w:tcPr>
            <w:tcW w:w="7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194CBC94" w14:textId="77777777" w:rsidR="001624DC" w:rsidRDefault="00000000">
            <w:pPr>
              <w:jc w:val="center"/>
            </w:pPr>
            <w:r>
              <w:rPr>
                <w:color w:val="595959"/>
                <w:sz w:val="20"/>
                <w:szCs w:val="20"/>
              </w:rPr>
              <w:t>.148</w:t>
            </w:r>
          </w:p>
        </w:tc>
        <w:tc>
          <w:tcPr>
            <w:tcW w:w="9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2FEB2D78" w14:textId="77777777" w:rsidR="001624DC" w:rsidRDefault="00000000">
            <w:pPr>
              <w:jc w:val="center"/>
            </w:pPr>
            <w:r>
              <w:rPr>
                <w:sz w:val="20"/>
                <w:szCs w:val="20"/>
              </w:rPr>
              <w:t>−.312</w:t>
            </w:r>
          </w:p>
        </w:tc>
        <w:tc>
          <w:tcPr>
            <w:tcW w:w="7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6C3C14CE" w14:textId="77777777" w:rsidR="001624DC" w:rsidRDefault="00000000">
            <w:pPr>
              <w:jc w:val="center"/>
            </w:pPr>
            <w:r>
              <w:rPr>
                <w:color w:val="595959"/>
                <w:sz w:val="20"/>
                <w:szCs w:val="20"/>
              </w:rPr>
              <w:t>.295</w:t>
            </w:r>
          </w:p>
        </w:tc>
        <w:tc>
          <w:tcPr>
            <w:tcW w:w="15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57F71639" w14:textId="77777777" w:rsidR="001624DC" w:rsidRDefault="00000000">
            <w:pPr>
              <w:jc w:val="center"/>
            </w:pPr>
            <w:r>
              <w:rPr>
                <w:color w:val="375623"/>
                <w:sz w:val="20"/>
                <w:szCs w:val="20"/>
              </w:rPr>
              <w:t>Both ≤ 1.0</w:t>
            </w:r>
          </w:p>
        </w:tc>
        <w:tc>
          <w:tcPr>
            <w:tcW w:w="246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3D1C7E6B" w14:textId="77777777" w:rsidR="001624DC" w:rsidRDefault="00000000">
            <w:pPr>
              <w:jc w:val="center"/>
            </w:pPr>
            <w:r>
              <w:rPr>
                <w:b/>
                <w:bCs/>
                <w:color w:val="375623"/>
                <w:sz w:val="20"/>
                <w:szCs w:val="20"/>
              </w:rPr>
              <w:t>Acceptable ✓</w:t>
            </w:r>
          </w:p>
        </w:tc>
      </w:tr>
    </w:tbl>
    <w:p w14:paraId="46A5281F" w14:textId="77777777" w:rsidR="001624DC" w:rsidRDefault="00000000">
      <w:pPr>
        <w:spacing w:before="80" w:after="200"/>
        <w:ind w:left="360"/>
        <w:jc w:val="both"/>
      </w:pPr>
      <w:r>
        <w:rPr>
          <w:b/>
          <w:bCs/>
          <w:sz w:val="21"/>
          <w:szCs w:val="21"/>
        </w:rPr>
        <w:t xml:space="preserve">Note. </w:t>
      </w:r>
      <w:r>
        <w:rPr>
          <w:i/>
          <w:iCs/>
          <w:sz w:val="21"/>
          <w:szCs w:val="21"/>
        </w:rPr>
        <w:t>Skewness and Kurtosis statistics and their Standard Errors (SE) are sourced directly from the SPSS EXAMINE Descriptives output (Assumption_Testing.pdf, pp. 2–3). SE Skewness = .148; SE Kurtosis = .295 for all variables (N = 270; values are constant across variables). Criterion: |Skewness| ≤ 1.0 and |Kurtosis| ≤ 1.0 (Kim, 2013; Hair et al., 2019). PCQ = Psychological Capital Questionnaire; UWES = Utrecht Work Engagement Scale; MSQ = Minnesota Satisfaction Questionnaire.</w:t>
      </w:r>
    </w:p>
    <w:p w14:paraId="490113C3" w14:textId="77777777" w:rsidR="001624DC" w:rsidRDefault="00000000">
      <w:pPr>
        <w:spacing w:before="100" w:after="100" w:line="360" w:lineRule="auto"/>
        <w:ind w:firstLine="720"/>
        <w:jc w:val="both"/>
      </w:pPr>
      <w:r>
        <w:t>All three skewness values fall well within the acceptable range of ±1.0. The PCQ Total Mean exhibits minimal negative skewness (−.359), while the UWES and MSQ display comparable slight negative skewness (−.371 and −.396, respectively), indicating that respondents across all three measures tend toward moderate-to-high response values. This pattern is characteristic of self-report Likert-scale instruments administered to employed academic samples and is consistent with findings in the broader occupational psychology literature (Tabachnick &amp; Fidell, 2019). Kurtosis values are similarly acceptable for all three variables (−.283, −.252, and −.312), indicating platykurtic but near-normal distributions without excessive peakedness or heavy tails.</w:t>
      </w:r>
    </w:p>
    <w:p w14:paraId="49600C43" w14:textId="77777777" w:rsidR="001624DC" w:rsidRDefault="00000000">
      <w:pPr>
        <w:spacing w:before="100" w:after="100" w:line="360" w:lineRule="auto"/>
        <w:ind w:firstLine="720"/>
        <w:jc w:val="both"/>
      </w:pPr>
      <w:r>
        <w:t>The slight negative skewness observed across all three variables carries substantive significance in the QOU context. Faculty members responding to the PCQ-24, UWES-9, and MSQ-20 may reflect professional identity and institutional commitment characteristic of academic staff, even under challenging working conditions — including salary constraints, workload pressures, and the broader political and socio-economic environment in Palestine. This positive self-assessment tendency is consistent with the literature on professional identity resilience in academic settings (Luthans et al., 2007).</w:t>
      </w:r>
    </w:p>
    <w:p w14:paraId="04C339D0" w14:textId="77777777" w:rsidR="001624DC" w:rsidRDefault="001624DC">
      <w:pPr>
        <w:spacing w:before="80" w:after="80"/>
      </w:pPr>
    </w:p>
    <w:p w14:paraId="508DA160" w14:textId="77777777" w:rsidR="001624DC" w:rsidRDefault="00000000">
      <w:pPr>
        <w:pStyle w:val="Heading2"/>
        <w:pBdr>
          <w:bottom w:val="single" w:sz="4" w:space="2" w:color="2E5496"/>
        </w:pBdr>
      </w:pPr>
      <w:proofErr w:type="gramStart"/>
      <w:r>
        <w:t>3.2  Formal</w:t>
      </w:r>
      <w:proofErr w:type="gramEnd"/>
      <w:r>
        <w:t xml:space="preserve"> Normality Tests: Kolmogorov-Smirnov and Shapiro-Wilk</w:t>
      </w:r>
    </w:p>
    <w:p w14:paraId="6474BE48" w14:textId="77777777" w:rsidR="001624DC" w:rsidRDefault="00000000">
      <w:pPr>
        <w:spacing w:before="100" w:after="100" w:line="360" w:lineRule="auto"/>
        <w:ind w:firstLine="720"/>
        <w:jc w:val="both"/>
      </w:pPr>
      <w:r>
        <w:t>In addition to skewness and kurtosis inspection, formal normality was assessed using the Kolmogorov-Smirnov (K-S) test with Lilliefors correction and the Shapiro-Wilk (S-W) test, both generated via the SPSS EXAMINE procedure. The Shapiro-Wilk test is generally preferred for sample sizes up to N = 2,000 owing to its superior statistical power for detecting departures from normality (Razali &amp; Wah, 2011; Shapiro &amp; Wilk, 1965). Table 3 presents the results.</w:t>
      </w:r>
    </w:p>
    <w:p w14:paraId="6DB4CB43" w14:textId="77777777" w:rsidR="001624DC" w:rsidRDefault="001624DC">
      <w:pPr>
        <w:spacing w:before="80" w:after="80"/>
      </w:pPr>
    </w:p>
    <w:p w14:paraId="4BE6B3E3" w14:textId="77777777" w:rsidR="001624DC" w:rsidRDefault="00000000">
      <w:pPr>
        <w:spacing w:before="240" w:after="80"/>
      </w:pPr>
      <w:r>
        <w:rPr>
          <w:b/>
          <w:bCs/>
        </w:rPr>
        <w:t xml:space="preserve">Table </w:t>
      </w:r>
      <w:proofErr w:type="gramStart"/>
      <w:r>
        <w:rPr>
          <w:b/>
          <w:bCs/>
        </w:rPr>
        <w:t>3</w:t>
      </w:r>
      <w:r>
        <w:t xml:space="preserve">  Tests</w:t>
      </w:r>
      <w:proofErr w:type="gramEnd"/>
      <w:r>
        <w:t xml:space="preserve"> of Normality — Kolmogorov-Smirnov and Shapiro-Wilk (N = 270)</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97"/>
        <w:gridCol w:w="580"/>
        <w:gridCol w:w="799"/>
        <w:gridCol w:w="797"/>
        <w:gridCol w:w="580"/>
        <w:gridCol w:w="797"/>
        <w:gridCol w:w="2024"/>
      </w:tblGrid>
      <w:tr w:rsidR="001624DC" w14:paraId="38C00C43" w14:textId="77777777">
        <w:tblPrEx>
          <w:tblCellMar>
            <w:top w:w="0" w:type="dxa"/>
            <w:bottom w:w="0" w:type="dxa"/>
          </w:tblCellMar>
        </w:tblPrEx>
        <w:tc>
          <w:tcPr>
            <w:tcW w:w="2000" w:type="dxa"/>
            <w:tcBorders>
              <w:top w:val="single" w:sz="1" w:space="0" w:color="B8CCE4"/>
              <w:left w:val="single" w:sz="1" w:space="0" w:color="B8CCE4"/>
              <w:bottom w:val="single" w:sz="1" w:space="0" w:color="B8CCE4"/>
              <w:right w:val="single" w:sz="1" w:space="0" w:color="B8CCE4"/>
            </w:tcBorders>
            <w:shd w:val="clear" w:color="auto" w:fill="1F3864"/>
            <w:tcMar>
              <w:top w:w="100" w:type="dxa"/>
              <w:left w:w="140" w:type="dxa"/>
              <w:bottom w:w="100" w:type="dxa"/>
              <w:right w:w="140" w:type="dxa"/>
            </w:tcMar>
            <w:vAlign w:val="center"/>
          </w:tcPr>
          <w:p w14:paraId="6C8FF0B1" w14:textId="77777777" w:rsidR="001624DC" w:rsidRDefault="00000000">
            <w:pPr>
              <w:jc w:val="center"/>
            </w:pPr>
            <w:r>
              <w:rPr>
                <w:b/>
                <w:bCs/>
                <w:color w:val="FFFFFF"/>
                <w:sz w:val="20"/>
                <w:szCs w:val="20"/>
              </w:rPr>
              <w:t>Variable</w:t>
            </w:r>
          </w:p>
        </w:tc>
        <w:tc>
          <w:tcPr>
            <w:tcW w:w="800" w:type="dxa"/>
            <w:tcBorders>
              <w:top w:val="single" w:sz="1" w:space="0" w:color="B8CCE4"/>
              <w:left w:val="single" w:sz="1" w:space="0" w:color="B8CCE4"/>
              <w:bottom w:val="single" w:sz="1" w:space="0" w:color="B8CCE4"/>
              <w:right w:val="single" w:sz="1" w:space="0" w:color="B8CCE4"/>
            </w:tcBorders>
            <w:shd w:val="clear" w:color="auto" w:fill="1F3864"/>
            <w:tcMar>
              <w:top w:w="100" w:type="dxa"/>
              <w:left w:w="140" w:type="dxa"/>
              <w:bottom w:w="100" w:type="dxa"/>
              <w:right w:w="140" w:type="dxa"/>
            </w:tcMar>
            <w:vAlign w:val="center"/>
          </w:tcPr>
          <w:p w14:paraId="69119F59" w14:textId="77777777" w:rsidR="001624DC" w:rsidRDefault="00000000">
            <w:pPr>
              <w:jc w:val="center"/>
            </w:pPr>
            <w:r>
              <w:rPr>
                <w:b/>
                <w:bCs/>
                <w:color w:val="FFFFFF"/>
                <w:sz w:val="20"/>
                <w:szCs w:val="20"/>
              </w:rPr>
              <w:t>K-S</w:t>
            </w:r>
          </w:p>
        </w:tc>
        <w:tc>
          <w:tcPr>
            <w:tcW w:w="560" w:type="dxa"/>
            <w:tcBorders>
              <w:top w:val="single" w:sz="1" w:space="0" w:color="B8CCE4"/>
              <w:left w:val="single" w:sz="1" w:space="0" w:color="B8CCE4"/>
              <w:bottom w:val="single" w:sz="1" w:space="0" w:color="B8CCE4"/>
              <w:right w:val="single" w:sz="1" w:space="0" w:color="B8CCE4"/>
            </w:tcBorders>
            <w:shd w:val="clear" w:color="auto" w:fill="1F3864"/>
            <w:tcMar>
              <w:top w:w="100" w:type="dxa"/>
              <w:left w:w="140" w:type="dxa"/>
              <w:bottom w:w="100" w:type="dxa"/>
              <w:right w:w="140" w:type="dxa"/>
            </w:tcMar>
            <w:vAlign w:val="center"/>
          </w:tcPr>
          <w:p w14:paraId="641B0CA5" w14:textId="77777777" w:rsidR="001624DC" w:rsidRDefault="00000000">
            <w:pPr>
              <w:jc w:val="center"/>
            </w:pPr>
            <w:r>
              <w:rPr>
                <w:b/>
                <w:bCs/>
                <w:color w:val="FFFFFF"/>
                <w:sz w:val="20"/>
                <w:szCs w:val="20"/>
              </w:rPr>
              <w:t>df</w:t>
            </w:r>
          </w:p>
        </w:tc>
        <w:tc>
          <w:tcPr>
            <w:tcW w:w="800" w:type="dxa"/>
            <w:tcBorders>
              <w:top w:val="single" w:sz="1" w:space="0" w:color="B8CCE4"/>
              <w:left w:val="single" w:sz="1" w:space="0" w:color="B8CCE4"/>
              <w:bottom w:val="single" w:sz="1" w:space="0" w:color="B8CCE4"/>
              <w:right w:val="single" w:sz="1" w:space="0" w:color="B8CCE4"/>
            </w:tcBorders>
            <w:shd w:val="clear" w:color="auto" w:fill="1F3864"/>
            <w:tcMar>
              <w:top w:w="100" w:type="dxa"/>
              <w:left w:w="140" w:type="dxa"/>
              <w:bottom w:w="100" w:type="dxa"/>
              <w:right w:w="140" w:type="dxa"/>
            </w:tcMar>
            <w:vAlign w:val="center"/>
          </w:tcPr>
          <w:p w14:paraId="7CC104AF" w14:textId="77777777" w:rsidR="001624DC" w:rsidRDefault="00000000">
            <w:pPr>
              <w:jc w:val="center"/>
            </w:pPr>
            <w:r>
              <w:rPr>
                <w:b/>
                <w:bCs/>
                <w:color w:val="FFFFFF"/>
                <w:sz w:val="20"/>
                <w:szCs w:val="20"/>
              </w:rPr>
              <w:t>p</w:t>
            </w:r>
          </w:p>
        </w:tc>
        <w:tc>
          <w:tcPr>
            <w:tcW w:w="800" w:type="dxa"/>
            <w:tcBorders>
              <w:top w:val="single" w:sz="1" w:space="0" w:color="B8CCE4"/>
              <w:left w:val="single" w:sz="1" w:space="0" w:color="B8CCE4"/>
              <w:bottom w:val="single" w:sz="1" w:space="0" w:color="B8CCE4"/>
              <w:right w:val="single" w:sz="1" w:space="0" w:color="B8CCE4"/>
            </w:tcBorders>
            <w:shd w:val="clear" w:color="auto" w:fill="1F3864"/>
            <w:tcMar>
              <w:top w:w="100" w:type="dxa"/>
              <w:left w:w="140" w:type="dxa"/>
              <w:bottom w:w="100" w:type="dxa"/>
              <w:right w:w="140" w:type="dxa"/>
            </w:tcMar>
            <w:vAlign w:val="center"/>
          </w:tcPr>
          <w:p w14:paraId="13DD9940" w14:textId="77777777" w:rsidR="001624DC" w:rsidRDefault="00000000">
            <w:pPr>
              <w:jc w:val="center"/>
            </w:pPr>
            <w:r>
              <w:rPr>
                <w:b/>
                <w:bCs/>
                <w:color w:val="FFFFFF"/>
                <w:sz w:val="20"/>
                <w:szCs w:val="20"/>
              </w:rPr>
              <w:t>S-W</w:t>
            </w:r>
          </w:p>
        </w:tc>
        <w:tc>
          <w:tcPr>
            <w:tcW w:w="560" w:type="dxa"/>
            <w:tcBorders>
              <w:top w:val="single" w:sz="1" w:space="0" w:color="B8CCE4"/>
              <w:left w:val="single" w:sz="1" w:space="0" w:color="B8CCE4"/>
              <w:bottom w:val="single" w:sz="1" w:space="0" w:color="B8CCE4"/>
              <w:right w:val="single" w:sz="1" w:space="0" w:color="B8CCE4"/>
            </w:tcBorders>
            <w:shd w:val="clear" w:color="auto" w:fill="1F3864"/>
            <w:tcMar>
              <w:top w:w="100" w:type="dxa"/>
              <w:left w:w="140" w:type="dxa"/>
              <w:bottom w:w="100" w:type="dxa"/>
              <w:right w:w="140" w:type="dxa"/>
            </w:tcMar>
            <w:vAlign w:val="center"/>
          </w:tcPr>
          <w:p w14:paraId="374CE07A" w14:textId="77777777" w:rsidR="001624DC" w:rsidRDefault="00000000">
            <w:pPr>
              <w:jc w:val="center"/>
            </w:pPr>
            <w:r>
              <w:rPr>
                <w:b/>
                <w:bCs/>
                <w:color w:val="FFFFFF"/>
                <w:sz w:val="20"/>
                <w:szCs w:val="20"/>
              </w:rPr>
              <w:t>df</w:t>
            </w:r>
          </w:p>
        </w:tc>
        <w:tc>
          <w:tcPr>
            <w:tcW w:w="800" w:type="dxa"/>
            <w:tcBorders>
              <w:top w:val="single" w:sz="1" w:space="0" w:color="B8CCE4"/>
              <w:left w:val="single" w:sz="1" w:space="0" w:color="B8CCE4"/>
              <w:bottom w:val="single" w:sz="1" w:space="0" w:color="B8CCE4"/>
              <w:right w:val="single" w:sz="1" w:space="0" w:color="B8CCE4"/>
            </w:tcBorders>
            <w:shd w:val="clear" w:color="auto" w:fill="1F3864"/>
            <w:tcMar>
              <w:top w:w="100" w:type="dxa"/>
              <w:left w:w="140" w:type="dxa"/>
              <w:bottom w:w="100" w:type="dxa"/>
              <w:right w:w="140" w:type="dxa"/>
            </w:tcMar>
            <w:vAlign w:val="center"/>
          </w:tcPr>
          <w:p w14:paraId="1B4C72F4" w14:textId="77777777" w:rsidR="001624DC" w:rsidRDefault="00000000">
            <w:pPr>
              <w:jc w:val="center"/>
            </w:pPr>
            <w:r>
              <w:rPr>
                <w:b/>
                <w:bCs/>
                <w:color w:val="FFFFFF"/>
                <w:sz w:val="20"/>
                <w:szCs w:val="20"/>
              </w:rPr>
              <w:t>p</w:t>
            </w:r>
          </w:p>
        </w:tc>
        <w:tc>
          <w:tcPr>
            <w:tcW w:w="2040" w:type="dxa"/>
            <w:tcBorders>
              <w:top w:val="single" w:sz="1" w:space="0" w:color="B8CCE4"/>
              <w:left w:val="single" w:sz="1" w:space="0" w:color="B8CCE4"/>
              <w:bottom w:val="single" w:sz="1" w:space="0" w:color="B8CCE4"/>
              <w:right w:val="single" w:sz="1" w:space="0" w:color="B8CCE4"/>
            </w:tcBorders>
            <w:shd w:val="clear" w:color="auto" w:fill="1F3864"/>
            <w:tcMar>
              <w:top w:w="100" w:type="dxa"/>
              <w:left w:w="140" w:type="dxa"/>
              <w:bottom w:w="100" w:type="dxa"/>
              <w:right w:w="140" w:type="dxa"/>
            </w:tcMar>
            <w:vAlign w:val="center"/>
          </w:tcPr>
          <w:p w14:paraId="5EE2AAD1" w14:textId="77777777" w:rsidR="001624DC" w:rsidRDefault="00000000">
            <w:pPr>
              <w:jc w:val="center"/>
            </w:pPr>
            <w:r>
              <w:rPr>
                <w:b/>
                <w:bCs/>
                <w:color w:val="FFFFFF"/>
                <w:sz w:val="20"/>
                <w:szCs w:val="20"/>
              </w:rPr>
              <w:t>Practical Decision</w:t>
            </w:r>
          </w:p>
        </w:tc>
      </w:tr>
      <w:tr w:rsidR="001624DC" w14:paraId="09DFE2E0" w14:textId="77777777">
        <w:tblPrEx>
          <w:tblCellMar>
            <w:top w:w="0" w:type="dxa"/>
            <w:bottom w:w="0" w:type="dxa"/>
          </w:tblCellMar>
        </w:tblPrEx>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3AA3353D" w14:textId="77777777" w:rsidR="001624DC" w:rsidRDefault="00000000">
            <w:r>
              <w:rPr>
                <w:sz w:val="20"/>
                <w:szCs w:val="20"/>
              </w:rPr>
              <w:t>PCQ Total Mean</w:t>
            </w:r>
          </w:p>
        </w:tc>
        <w:tc>
          <w:tcPr>
            <w:tcW w:w="8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223E4944" w14:textId="77777777" w:rsidR="001624DC" w:rsidRDefault="00000000">
            <w:pPr>
              <w:jc w:val="center"/>
            </w:pPr>
            <w:r>
              <w:rPr>
                <w:sz w:val="20"/>
                <w:szCs w:val="20"/>
              </w:rPr>
              <w:t>.055</w:t>
            </w:r>
          </w:p>
        </w:tc>
        <w:tc>
          <w:tcPr>
            <w:tcW w:w="56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4A8D82F4" w14:textId="77777777" w:rsidR="001624DC" w:rsidRDefault="00000000">
            <w:pPr>
              <w:jc w:val="center"/>
            </w:pPr>
            <w:r>
              <w:rPr>
                <w:sz w:val="20"/>
                <w:szCs w:val="20"/>
              </w:rPr>
              <w:t>270</w:t>
            </w:r>
          </w:p>
        </w:tc>
        <w:tc>
          <w:tcPr>
            <w:tcW w:w="8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31E5AEE5" w14:textId="77777777" w:rsidR="001624DC" w:rsidRDefault="00000000">
            <w:pPr>
              <w:jc w:val="center"/>
            </w:pPr>
            <w:r>
              <w:rPr>
                <w:color w:val="833C00"/>
                <w:sz w:val="20"/>
                <w:szCs w:val="20"/>
              </w:rPr>
              <w:t>.046</w:t>
            </w:r>
          </w:p>
        </w:tc>
        <w:tc>
          <w:tcPr>
            <w:tcW w:w="8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53736261" w14:textId="77777777" w:rsidR="001624DC" w:rsidRDefault="00000000">
            <w:pPr>
              <w:jc w:val="center"/>
            </w:pPr>
            <w:r>
              <w:rPr>
                <w:sz w:val="20"/>
                <w:szCs w:val="20"/>
              </w:rPr>
              <w:t>.984</w:t>
            </w:r>
          </w:p>
        </w:tc>
        <w:tc>
          <w:tcPr>
            <w:tcW w:w="56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0C91FF41" w14:textId="77777777" w:rsidR="001624DC" w:rsidRDefault="00000000">
            <w:pPr>
              <w:jc w:val="center"/>
            </w:pPr>
            <w:r>
              <w:rPr>
                <w:sz w:val="20"/>
                <w:szCs w:val="20"/>
              </w:rPr>
              <w:t>270</w:t>
            </w:r>
          </w:p>
        </w:tc>
        <w:tc>
          <w:tcPr>
            <w:tcW w:w="8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57FA1630" w14:textId="77777777" w:rsidR="001624DC" w:rsidRDefault="00000000">
            <w:pPr>
              <w:jc w:val="center"/>
            </w:pPr>
            <w:r>
              <w:rPr>
                <w:color w:val="833C00"/>
                <w:sz w:val="20"/>
                <w:szCs w:val="20"/>
              </w:rPr>
              <w:t>.003</w:t>
            </w:r>
          </w:p>
        </w:tc>
        <w:tc>
          <w:tcPr>
            <w:tcW w:w="204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30320468" w14:textId="77777777" w:rsidR="001624DC" w:rsidRDefault="00000000">
            <w:pPr>
              <w:jc w:val="center"/>
            </w:pPr>
            <w:r>
              <w:rPr>
                <w:b/>
                <w:bCs/>
                <w:color w:val="375623"/>
                <w:sz w:val="20"/>
                <w:szCs w:val="20"/>
              </w:rPr>
              <w:t>Approx. Normal ✓</w:t>
            </w:r>
          </w:p>
        </w:tc>
      </w:tr>
      <w:tr w:rsidR="001624DC" w14:paraId="604B5C2B" w14:textId="77777777">
        <w:tblPrEx>
          <w:tblCellMar>
            <w:top w:w="0" w:type="dxa"/>
            <w:bottom w:w="0" w:type="dxa"/>
          </w:tblCellMar>
        </w:tblPrEx>
        <w:tc>
          <w:tcPr>
            <w:tcW w:w="2000" w:type="dxa"/>
            <w:tcBorders>
              <w:top w:val="single" w:sz="1" w:space="0" w:color="B8CCE4"/>
              <w:left w:val="single" w:sz="1" w:space="0" w:color="B8CCE4"/>
              <w:bottom w:val="single" w:sz="1" w:space="0" w:color="B8CCE4"/>
              <w:right w:val="single" w:sz="1" w:space="0" w:color="B8CCE4"/>
            </w:tcBorders>
            <w:shd w:val="clear" w:color="auto" w:fill="EBF2FB"/>
            <w:tcMar>
              <w:top w:w="100" w:type="dxa"/>
              <w:left w:w="140" w:type="dxa"/>
              <w:bottom w:w="100" w:type="dxa"/>
              <w:right w:w="140" w:type="dxa"/>
            </w:tcMar>
            <w:vAlign w:val="center"/>
          </w:tcPr>
          <w:p w14:paraId="6D0F5DB9" w14:textId="77777777" w:rsidR="001624DC" w:rsidRDefault="00000000">
            <w:r>
              <w:rPr>
                <w:sz w:val="20"/>
                <w:szCs w:val="20"/>
              </w:rPr>
              <w:t>UWES Total Mean</w:t>
            </w:r>
          </w:p>
        </w:tc>
        <w:tc>
          <w:tcPr>
            <w:tcW w:w="800" w:type="dxa"/>
            <w:tcBorders>
              <w:top w:val="single" w:sz="1" w:space="0" w:color="B8CCE4"/>
              <w:left w:val="single" w:sz="1" w:space="0" w:color="B8CCE4"/>
              <w:bottom w:val="single" w:sz="1" w:space="0" w:color="B8CCE4"/>
              <w:right w:val="single" w:sz="1" w:space="0" w:color="B8CCE4"/>
            </w:tcBorders>
            <w:shd w:val="clear" w:color="auto" w:fill="EBF2FB"/>
            <w:tcMar>
              <w:top w:w="100" w:type="dxa"/>
              <w:left w:w="140" w:type="dxa"/>
              <w:bottom w:w="100" w:type="dxa"/>
              <w:right w:w="140" w:type="dxa"/>
            </w:tcMar>
            <w:vAlign w:val="center"/>
          </w:tcPr>
          <w:p w14:paraId="018B84D0" w14:textId="77777777" w:rsidR="001624DC" w:rsidRDefault="00000000">
            <w:pPr>
              <w:jc w:val="center"/>
            </w:pPr>
            <w:r>
              <w:rPr>
                <w:sz w:val="20"/>
                <w:szCs w:val="20"/>
              </w:rPr>
              <w:t>.080</w:t>
            </w:r>
          </w:p>
        </w:tc>
        <w:tc>
          <w:tcPr>
            <w:tcW w:w="560" w:type="dxa"/>
            <w:tcBorders>
              <w:top w:val="single" w:sz="1" w:space="0" w:color="B8CCE4"/>
              <w:left w:val="single" w:sz="1" w:space="0" w:color="B8CCE4"/>
              <w:bottom w:val="single" w:sz="1" w:space="0" w:color="B8CCE4"/>
              <w:right w:val="single" w:sz="1" w:space="0" w:color="B8CCE4"/>
            </w:tcBorders>
            <w:shd w:val="clear" w:color="auto" w:fill="EBF2FB"/>
            <w:tcMar>
              <w:top w:w="100" w:type="dxa"/>
              <w:left w:w="140" w:type="dxa"/>
              <w:bottom w:w="100" w:type="dxa"/>
              <w:right w:w="140" w:type="dxa"/>
            </w:tcMar>
            <w:vAlign w:val="center"/>
          </w:tcPr>
          <w:p w14:paraId="6072C3C0" w14:textId="77777777" w:rsidR="001624DC" w:rsidRDefault="00000000">
            <w:pPr>
              <w:jc w:val="center"/>
            </w:pPr>
            <w:r>
              <w:rPr>
                <w:sz w:val="20"/>
                <w:szCs w:val="20"/>
              </w:rPr>
              <w:t>270</w:t>
            </w:r>
          </w:p>
        </w:tc>
        <w:tc>
          <w:tcPr>
            <w:tcW w:w="800" w:type="dxa"/>
            <w:tcBorders>
              <w:top w:val="single" w:sz="1" w:space="0" w:color="B8CCE4"/>
              <w:left w:val="single" w:sz="1" w:space="0" w:color="B8CCE4"/>
              <w:bottom w:val="single" w:sz="1" w:space="0" w:color="B8CCE4"/>
              <w:right w:val="single" w:sz="1" w:space="0" w:color="B8CCE4"/>
            </w:tcBorders>
            <w:shd w:val="clear" w:color="auto" w:fill="EBF2FB"/>
            <w:tcMar>
              <w:top w:w="100" w:type="dxa"/>
              <w:left w:w="140" w:type="dxa"/>
              <w:bottom w:w="100" w:type="dxa"/>
              <w:right w:w="140" w:type="dxa"/>
            </w:tcMar>
            <w:vAlign w:val="center"/>
          </w:tcPr>
          <w:p w14:paraId="2DCC92B1" w14:textId="77777777" w:rsidR="001624DC" w:rsidRDefault="00000000">
            <w:pPr>
              <w:jc w:val="center"/>
            </w:pPr>
            <w:r>
              <w:rPr>
                <w:color w:val="833C00"/>
                <w:sz w:val="20"/>
                <w:szCs w:val="20"/>
              </w:rPr>
              <w:t>&lt;.001</w:t>
            </w:r>
          </w:p>
        </w:tc>
        <w:tc>
          <w:tcPr>
            <w:tcW w:w="800" w:type="dxa"/>
            <w:tcBorders>
              <w:top w:val="single" w:sz="1" w:space="0" w:color="B8CCE4"/>
              <w:left w:val="single" w:sz="1" w:space="0" w:color="B8CCE4"/>
              <w:bottom w:val="single" w:sz="1" w:space="0" w:color="B8CCE4"/>
              <w:right w:val="single" w:sz="1" w:space="0" w:color="B8CCE4"/>
            </w:tcBorders>
            <w:shd w:val="clear" w:color="auto" w:fill="EBF2FB"/>
            <w:tcMar>
              <w:top w:w="100" w:type="dxa"/>
              <w:left w:w="140" w:type="dxa"/>
              <w:bottom w:w="100" w:type="dxa"/>
              <w:right w:w="140" w:type="dxa"/>
            </w:tcMar>
            <w:vAlign w:val="center"/>
          </w:tcPr>
          <w:p w14:paraId="1C244B7F" w14:textId="77777777" w:rsidR="001624DC" w:rsidRDefault="00000000">
            <w:pPr>
              <w:jc w:val="center"/>
            </w:pPr>
            <w:r>
              <w:rPr>
                <w:sz w:val="20"/>
                <w:szCs w:val="20"/>
              </w:rPr>
              <w:t>.984</w:t>
            </w:r>
          </w:p>
        </w:tc>
        <w:tc>
          <w:tcPr>
            <w:tcW w:w="560" w:type="dxa"/>
            <w:tcBorders>
              <w:top w:val="single" w:sz="1" w:space="0" w:color="B8CCE4"/>
              <w:left w:val="single" w:sz="1" w:space="0" w:color="B8CCE4"/>
              <w:bottom w:val="single" w:sz="1" w:space="0" w:color="B8CCE4"/>
              <w:right w:val="single" w:sz="1" w:space="0" w:color="B8CCE4"/>
            </w:tcBorders>
            <w:shd w:val="clear" w:color="auto" w:fill="EBF2FB"/>
            <w:tcMar>
              <w:top w:w="100" w:type="dxa"/>
              <w:left w:w="140" w:type="dxa"/>
              <w:bottom w:w="100" w:type="dxa"/>
              <w:right w:w="140" w:type="dxa"/>
            </w:tcMar>
            <w:vAlign w:val="center"/>
          </w:tcPr>
          <w:p w14:paraId="37710DA5" w14:textId="77777777" w:rsidR="001624DC" w:rsidRDefault="00000000">
            <w:pPr>
              <w:jc w:val="center"/>
            </w:pPr>
            <w:r>
              <w:rPr>
                <w:sz w:val="20"/>
                <w:szCs w:val="20"/>
              </w:rPr>
              <w:t>270</w:t>
            </w:r>
          </w:p>
        </w:tc>
        <w:tc>
          <w:tcPr>
            <w:tcW w:w="800" w:type="dxa"/>
            <w:tcBorders>
              <w:top w:val="single" w:sz="1" w:space="0" w:color="B8CCE4"/>
              <w:left w:val="single" w:sz="1" w:space="0" w:color="B8CCE4"/>
              <w:bottom w:val="single" w:sz="1" w:space="0" w:color="B8CCE4"/>
              <w:right w:val="single" w:sz="1" w:space="0" w:color="B8CCE4"/>
            </w:tcBorders>
            <w:shd w:val="clear" w:color="auto" w:fill="EBF2FB"/>
            <w:tcMar>
              <w:top w:w="100" w:type="dxa"/>
              <w:left w:w="140" w:type="dxa"/>
              <w:bottom w:w="100" w:type="dxa"/>
              <w:right w:w="140" w:type="dxa"/>
            </w:tcMar>
            <w:vAlign w:val="center"/>
          </w:tcPr>
          <w:p w14:paraId="072549DD" w14:textId="77777777" w:rsidR="001624DC" w:rsidRDefault="00000000">
            <w:pPr>
              <w:jc w:val="center"/>
            </w:pPr>
            <w:r>
              <w:rPr>
                <w:color w:val="833C00"/>
                <w:sz w:val="20"/>
                <w:szCs w:val="20"/>
              </w:rPr>
              <w:t>.004</w:t>
            </w:r>
          </w:p>
        </w:tc>
        <w:tc>
          <w:tcPr>
            <w:tcW w:w="2040" w:type="dxa"/>
            <w:tcBorders>
              <w:top w:val="single" w:sz="1" w:space="0" w:color="B8CCE4"/>
              <w:left w:val="single" w:sz="1" w:space="0" w:color="B8CCE4"/>
              <w:bottom w:val="single" w:sz="1" w:space="0" w:color="B8CCE4"/>
              <w:right w:val="single" w:sz="1" w:space="0" w:color="B8CCE4"/>
            </w:tcBorders>
            <w:shd w:val="clear" w:color="auto" w:fill="EBF2FB"/>
            <w:tcMar>
              <w:top w:w="100" w:type="dxa"/>
              <w:left w:w="140" w:type="dxa"/>
              <w:bottom w:w="100" w:type="dxa"/>
              <w:right w:w="140" w:type="dxa"/>
            </w:tcMar>
            <w:vAlign w:val="center"/>
          </w:tcPr>
          <w:p w14:paraId="3C8F4B5F" w14:textId="77777777" w:rsidR="001624DC" w:rsidRDefault="00000000">
            <w:pPr>
              <w:jc w:val="center"/>
            </w:pPr>
            <w:r>
              <w:rPr>
                <w:b/>
                <w:bCs/>
                <w:color w:val="375623"/>
                <w:sz w:val="20"/>
                <w:szCs w:val="20"/>
              </w:rPr>
              <w:t>Approx. Normal ✓</w:t>
            </w:r>
          </w:p>
        </w:tc>
      </w:tr>
      <w:tr w:rsidR="001624DC" w14:paraId="651420E2" w14:textId="77777777">
        <w:tblPrEx>
          <w:tblCellMar>
            <w:top w:w="0" w:type="dxa"/>
            <w:bottom w:w="0" w:type="dxa"/>
          </w:tblCellMar>
        </w:tblPrEx>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461BC399" w14:textId="77777777" w:rsidR="001624DC" w:rsidRDefault="00000000">
            <w:r>
              <w:rPr>
                <w:sz w:val="20"/>
                <w:szCs w:val="20"/>
              </w:rPr>
              <w:t>MSQ Total Mean</w:t>
            </w:r>
          </w:p>
        </w:tc>
        <w:tc>
          <w:tcPr>
            <w:tcW w:w="8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322BA697" w14:textId="77777777" w:rsidR="001624DC" w:rsidRDefault="00000000">
            <w:pPr>
              <w:jc w:val="center"/>
            </w:pPr>
            <w:r>
              <w:rPr>
                <w:sz w:val="20"/>
                <w:szCs w:val="20"/>
              </w:rPr>
              <w:t>.067</w:t>
            </w:r>
          </w:p>
        </w:tc>
        <w:tc>
          <w:tcPr>
            <w:tcW w:w="56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4FA2B8CF" w14:textId="77777777" w:rsidR="001624DC" w:rsidRDefault="00000000">
            <w:pPr>
              <w:jc w:val="center"/>
            </w:pPr>
            <w:r>
              <w:rPr>
                <w:sz w:val="20"/>
                <w:szCs w:val="20"/>
              </w:rPr>
              <w:t>270</w:t>
            </w:r>
          </w:p>
        </w:tc>
        <w:tc>
          <w:tcPr>
            <w:tcW w:w="8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3098C1C1" w14:textId="77777777" w:rsidR="001624DC" w:rsidRDefault="00000000">
            <w:pPr>
              <w:jc w:val="center"/>
            </w:pPr>
            <w:r>
              <w:rPr>
                <w:color w:val="833C00"/>
                <w:sz w:val="20"/>
                <w:szCs w:val="20"/>
              </w:rPr>
              <w:t>.005</w:t>
            </w:r>
          </w:p>
        </w:tc>
        <w:tc>
          <w:tcPr>
            <w:tcW w:w="8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6F4DD9CF" w14:textId="77777777" w:rsidR="001624DC" w:rsidRDefault="00000000">
            <w:pPr>
              <w:jc w:val="center"/>
            </w:pPr>
            <w:r>
              <w:rPr>
                <w:sz w:val="20"/>
                <w:szCs w:val="20"/>
              </w:rPr>
              <w:t>.980</w:t>
            </w:r>
          </w:p>
        </w:tc>
        <w:tc>
          <w:tcPr>
            <w:tcW w:w="56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18A9CC18" w14:textId="77777777" w:rsidR="001624DC" w:rsidRDefault="00000000">
            <w:pPr>
              <w:jc w:val="center"/>
            </w:pPr>
            <w:r>
              <w:rPr>
                <w:sz w:val="20"/>
                <w:szCs w:val="20"/>
              </w:rPr>
              <w:t>270</w:t>
            </w:r>
          </w:p>
        </w:tc>
        <w:tc>
          <w:tcPr>
            <w:tcW w:w="8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45076BCB" w14:textId="77777777" w:rsidR="001624DC" w:rsidRDefault="00000000">
            <w:pPr>
              <w:jc w:val="center"/>
            </w:pPr>
            <w:r>
              <w:rPr>
                <w:color w:val="833C00"/>
                <w:sz w:val="20"/>
                <w:szCs w:val="20"/>
              </w:rPr>
              <w:t>.001</w:t>
            </w:r>
          </w:p>
        </w:tc>
        <w:tc>
          <w:tcPr>
            <w:tcW w:w="204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48BF11A1" w14:textId="77777777" w:rsidR="001624DC" w:rsidRDefault="00000000">
            <w:pPr>
              <w:jc w:val="center"/>
            </w:pPr>
            <w:r>
              <w:rPr>
                <w:b/>
                <w:bCs/>
                <w:color w:val="375623"/>
                <w:sz w:val="20"/>
                <w:szCs w:val="20"/>
              </w:rPr>
              <w:t>Approx. Normal ✓</w:t>
            </w:r>
          </w:p>
        </w:tc>
      </w:tr>
    </w:tbl>
    <w:p w14:paraId="503E5E4F" w14:textId="77777777" w:rsidR="001624DC" w:rsidRDefault="00000000">
      <w:pPr>
        <w:spacing w:before="80" w:after="200"/>
        <w:ind w:left="360"/>
        <w:jc w:val="both"/>
      </w:pPr>
      <w:r>
        <w:rPr>
          <w:b/>
          <w:bCs/>
          <w:sz w:val="21"/>
          <w:szCs w:val="21"/>
        </w:rPr>
        <w:t xml:space="preserve">Note. </w:t>
      </w:r>
      <w:r>
        <w:rPr>
          <w:i/>
          <w:iCs/>
          <w:sz w:val="21"/>
          <w:szCs w:val="21"/>
        </w:rPr>
        <w:t>All values are sourced directly from the SPSS Tests of Normality table (Assumption_Testing.pdf, p. 4). K-S = Kolmogorov-Smirnov with Lilliefors Significance Correction; S-W = Shapiro-Wilk. df = 270 for all variables. Sig. = two-tailed significance level. Red p-values indicate statistical significance at α = .05; however, the Practical Decision column reflects the integrated assessment incorporating sample size considerations and the Central Limit Theorem.</w:t>
      </w:r>
    </w:p>
    <w:p w14:paraId="03B4DF3C" w14:textId="77777777" w:rsidR="001624DC" w:rsidRDefault="00000000">
      <w:pPr>
        <w:spacing w:before="100" w:after="100" w:line="360" w:lineRule="auto"/>
        <w:ind w:firstLine="720"/>
        <w:jc w:val="both"/>
      </w:pPr>
      <w:r>
        <w:t>The formal normality tests yielded statistically significant results for all three variables: PCQ Total Mean (K-S = .055, p = .046; S-W = .984, p = .003), UWES Total Mean (K-S = .080, p &lt; .001; S-W = .984, p = .004), and MSQ Total Mean (K-S = .067, p = .005; S-W = .980, p = .001). However, it is methodologically established that formal normality tests are hypersensitive to minor distributional deviations as sample size increases (Field, 2018; Pallant, 2020). With N = 270, even trivially small departures from theoretical normality will produce significant test results. The Shapiro-Wilk statistics (.980–.984) are all very close to 1.0, indicating only negligible departures from normality.</w:t>
      </w:r>
    </w:p>
    <w:p w14:paraId="4CE4AECD" w14:textId="77777777" w:rsidR="001624DC" w:rsidRDefault="00000000">
      <w:pPr>
        <w:spacing w:before="100" w:after="100" w:line="360" w:lineRule="auto"/>
        <w:ind w:firstLine="720"/>
        <w:jc w:val="both"/>
      </w:pPr>
      <w:r>
        <w:t>Furthermore, the Central Limit Theorem provides robust theoretical justification for parametric methods at this sample size. For samples exceeding n = 30, the sampling distribution of the mean converges to normality regardless of the population distribution; at N = 270, this convergence is virtually guaranteed (Field, 2018; Hair et al., 2019). Combined with the acceptable skewness and kurtosis indices presented in Table 2, the overall evidence supports the conclusion that the distributional properties of all three composite variables are sufficiently normal for valid parametric inference.</w:t>
      </w:r>
    </w:p>
    <w:p w14:paraId="7C12DC8A" w14:textId="77777777" w:rsidR="001624DC" w:rsidRDefault="001624DC">
      <w:pPr>
        <w:spacing w:before="80" w:after="80"/>
      </w:pPr>
    </w:p>
    <w:p w14:paraId="7AA393D0" w14:textId="77777777" w:rsidR="001624DC" w:rsidRDefault="00000000">
      <w:pPr>
        <w:pStyle w:val="Heading2"/>
        <w:pBdr>
          <w:bottom w:val="single" w:sz="4" w:space="2" w:color="2E5496"/>
        </w:pBdr>
      </w:pPr>
      <w:proofErr w:type="gramStart"/>
      <w:r>
        <w:lastRenderedPageBreak/>
        <w:t>3.3  Visual</w:t>
      </w:r>
      <w:proofErr w:type="gramEnd"/>
      <w:r>
        <w:t xml:space="preserve"> Inspection: Histograms, Q-Q Plots, and Boxplots</w:t>
      </w:r>
    </w:p>
    <w:p w14:paraId="706A922A" w14:textId="77777777" w:rsidR="001624DC" w:rsidRDefault="00000000">
      <w:pPr>
        <w:spacing w:before="100" w:after="100" w:line="360" w:lineRule="auto"/>
        <w:ind w:firstLine="720"/>
        <w:jc w:val="both"/>
      </w:pPr>
      <w:r>
        <w:t>Visual inspection of the histograms, Normal Q-Q plots, Detrended Normal Q-Q plots, and boxplots generated by the SPSS EXAMINE procedure (Assumption_Testing.pdf, pp. 5–10) provided additional confirmation of the quantitative findings.</w:t>
      </w:r>
    </w:p>
    <w:p w14:paraId="43763BFC" w14:textId="77777777" w:rsidR="001624DC" w:rsidRDefault="00000000">
      <w:pPr>
        <w:spacing w:before="100" w:after="100" w:line="360" w:lineRule="auto"/>
        <w:ind w:firstLine="720"/>
        <w:jc w:val="both"/>
      </w:pPr>
      <w:r>
        <w:t>The histogram for PCQ Total Mean (Mean = 4.13, SD = .639) displays an approximately unimodal, bell-shaped distribution with a minor negative skew. The histogram for UWES Total Mean (Mean = 4.23, SD = .909) shows a roughly symmetrical distribution, with slight multimodality at the 3.5 and 4.5 regions consistent with the discrete character of the 7-point frequency scale. The histogram for MSQ Total Mean (Mean = 3.69, SD = .691) is the most symmetric of the three, displaying a clearly bell-shaped, near-Gaussian distribution.</w:t>
      </w:r>
    </w:p>
    <w:p w14:paraId="29E80D96" w14:textId="77777777" w:rsidR="001624DC" w:rsidRDefault="00000000">
      <w:pPr>
        <w:spacing w:before="100" w:after="100" w:line="360" w:lineRule="auto"/>
        <w:ind w:firstLine="720"/>
        <w:jc w:val="both"/>
      </w:pPr>
      <w:r>
        <w:t>In all three Normal Q-Q plots, the observed data points align closely with the diagonal reference line across the central range of each variable, with only minor deviations at the lower and upper tails — consistent with the mild skewness quantified in Table 2. The Detrended Q-Q plots further confirm that distributional deviations from zero are small, random, and unsystematic, without any curved or patterned structure that would indicate a substantively non-normal distribution. The boxplots identified only isolated mild outliers at the lower tail (Cases 139, 210, and 241), which are examined in detail in Section 6.</w:t>
      </w:r>
    </w:p>
    <w:p w14:paraId="465E0191" w14:textId="77777777" w:rsidR="001624DC" w:rsidRDefault="001624DC">
      <w:pPr>
        <w:spacing w:before="80" w:after="80"/>
      </w:pPr>
    </w:p>
    <w:p w14:paraId="1F6EFBDB" w14:textId="77777777" w:rsidR="001624DC" w:rsidRDefault="00000000">
      <w:pPr>
        <w:pStyle w:val="Heading1"/>
        <w:ind w:left="240" w:right="240"/>
      </w:pPr>
      <w:r>
        <w:t>4.  Homogeneity of Variance — Levene's Test</w:t>
      </w:r>
    </w:p>
    <w:p w14:paraId="7FC0D4C6" w14:textId="77777777" w:rsidR="001624DC" w:rsidRDefault="00000000">
      <w:pPr>
        <w:spacing w:before="100" w:after="100" w:line="360" w:lineRule="auto"/>
        <w:ind w:firstLine="720"/>
        <w:jc w:val="both"/>
      </w:pPr>
      <w:r>
        <w:t>Homogeneity of variance — the assumption that the population variances of the dependent variables are equal across comparison groups — was assessed using Levene's Test of Equality of Variances (based on mean), with gender as the grouping variable (1 = Male, n = 173; 2 = Female, n = 97). This assumption is relevant to independent-samples t-tests and one-way ANOVA procedures planned for Stages 7 and 8, and provides general confirmation that the variance structure of the data is stable across the primary demographic grouping variable (Field, 2018). Table 4 presents the test results.</w:t>
      </w:r>
    </w:p>
    <w:p w14:paraId="23AFB66E" w14:textId="77777777" w:rsidR="001624DC" w:rsidRDefault="001624DC">
      <w:pPr>
        <w:spacing w:before="80" w:after="80"/>
      </w:pPr>
    </w:p>
    <w:p w14:paraId="26F64F3D" w14:textId="77777777" w:rsidR="001624DC" w:rsidRDefault="00000000">
      <w:pPr>
        <w:spacing w:before="240" w:after="80"/>
      </w:pPr>
      <w:r>
        <w:rPr>
          <w:b/>
          <w:bCs/>
        </w:rPr>
        <w:t xml:space="preserve">Table </w:t>
      </w:r>
      <w:proofErr w:type="gramStart"/>
      <w:r>
        <w:rPr>
          <w:b/>
          <w:bCs/>
        </w:rPr>
        <w:t>4</w:t>
      </w:r>
      <w:r>
        <w:t xml:space="preserve">  Levene's</w:t>
      </w:r>
      <w:proofErr w:type="gramEnd"/>
      <w:r>
        <w:t xml:space="preserve"> Test of Homogeneity of Variance — By Gender Group (N = 270)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2"/>
        <w:gridCol w:w="1398"/>
        <w:gridCol w:w="730"/>
        <w:gridCol w:w="699"/>
        <w:gridCol w:w="997"/>
        <w:gridCol w:w="3144"/>
      </w:tblGrid>
      <w:tr w:rsidR="001624DC" w14:paraId="3F824DC0"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1F3864"/>
            <w:tcMar>
              <w:top w:w="100" w:type="dxa"/>
              <w:left w:w="140" w:type="dxa"/>
              <w:bottom w:w="100" w:type="dxa"/>
              <w:right w:w="140" w:type="dxa"/>
            </w:tcMar>
            <w:vAlign w:val="center"/>
          </w:tcPr>
          <w:p w14:paraId="524A9041" w14:textId="77777777" w:rsidR="001624DC" w:rsidRDefault="00000000">
            <w:pPr>
              <w:jc w:val="center"/>
            </w:pPr>
            <w:r>
              <w:rPr>
                <w:b/>
                <w:bCs/>
                <w:color w:val="FFFFFF"/>
                <w:sz w:val="20"/>
                <w:szCs w:val="20"/>
              </w:rPr>
              <w:t>Variable</w:t>
            </w:r>
          </w:p>
        </w:tc>
        <w:tc>
          <w:tcPr>
            <w:tcW w:w="1400" w:type="dxa"/>
            <w:tcBorders>
              <w:top w:val="single" w:sz="1" w:space="0" w:color="B8CCE4"/>
              <w:left w:val="single" w:sz="1" w:space="0" w:color="B8CCE4"/>
              <w:bottom w:val="single" w:sz="1" w:space="0" w:color="B8CCE4"/>
              <w:right w:val="single" w:sz="1" w:space="0" w:color="B8CCE4"/>
            </w:tcBorders>
            <w:shd w:val="clear" w:color="auto" w:fill="1F3864"/>
            <w:tcMar>
              <w:top w:w="100" w:type="dxa"/>
              <w:left w:w="140" w:type="dxa"/>
              <w:bottom w:w="100" w:type="dxa"/>
              <w:right w:w="140" w:type="dxa"/>
            </w:tcMar>
            <w:vAlign w:val="center"/>
          </w:tcPr>
          <w:p w14:paraId="118CF731" w14:textId="77777777" w:rsidR="001624DC" w:rsidRDefault="00000000">
            <w:pPr>
              <w:jc w:val="center"/>
            </w:pPr>
            <w:r>
              <w:rPr>
                <w:b/>
                <w:bCs/>
                <w:color w:val="FFFFFF"/>
                <w:sz w:val="20"/>
                <w:szCs w:val="20"/>
              </w:rPr>
              <w:t>Grouping Variable</w:t>
            </w:r>
          </w:p>
        </w:tc>
        <w:tc>
          <w:tcPr>
            <w:tcW w:w="700" w:type="dxa"/>
            <w:tcBorders>
              <w:top w:val="single" w:sz="1" w:space="0" w:color="B8CCE4"/>
              <w:left w:val="single" w:sz="1" w:space="0" w:color="B8CCE4"/>
              <w:bottom w:val="single" w:sz="1" w:space="0" w:color="B8CCE4"/>
              <w:right w:val="single" w:sz="1" w:space="0" w:color="B8CCE4"/>
            </w:tcBorders>
            <w:shd w:val="clear" w:color="auto" w:fill="1F3864"/>
            <w:tcMar>
              <w:top w:w="100" w:type="dxa"/>
              <w:left w:w="140" w:type="dxa"/>
              <w:bottom w:w="100" w:type="dxa"/>
              <w:right w:w="140" w:type="dxa"/>
            </w:tcMar>
            <w:vAlign w:val="center"/>
          </w:tcPr>
          <w:p w14:paraId="67F3C3A7" w14:textId="77777777" w:rsidR="001624DC" w:rsidRDefault="00000000">
            <w:pPr>
              <w:jc w:val="center"/>
            </w:pPr>
            <w:r>
              <w:rPr>
                <w:b/>
                <w:bCs/>
                <w:color w:val="FFFFFF"/>
                <w:sz w:val="20"/>
                <w:szCs w:val="20"/>
              </w:rPr>
              <w:t>F</w:t>
            </w:r>
          </w:p>
        </w:tc>
        <w:tc>
          <w:tcPr>
            <w:tcW w:w="700" w:type="dxa"/>
            <w:tcBorders>
              <w:top w:val="single" w:sz="1" w:space="0" w:color="B8CCE4"/>
              <w:left w:val="single" w:sz="1" w:space="0" w:color="B8CCE4"/>
              <w:bottom w:val="single" w:sz="1" w:space="0" w:color="B8CCE4"/>
              <w:right w:val="single" w:sz="1" w:space="0" w:color="B8CCE4"/>
            </w:tcBorders>
            <w:shd w:val="clear" w:color="auto" w:fill="1F3864"/>
            <w:tcMar>
              <w:top w:w="100" w:type="dxa"/>
              <w:left w:w="140" w:type="dxa"/>
              <w:bottom w:w="100" w:type="dxa"/>
              <w:right w:w="140" w:type="dxa"/>
            </w:tcMar>
            <w:vAlign w:val="center"/>
          </w:tcPr>
          <w:p w14:paraId="0DA5C7FF" w14:textId="77777777" w:rsidR="001624DC" w:rsidRDefault="00000000">
            <w:pPr>
              <w:jc w:val="center"/>
            </w:pPr>
            <w:r>
              <w:rPr>
                <w:b/>
                <w:bCs/>
                <w:color w:val="FFFFFF"/>
                <w:sz w:val="20"/>
                <w:szCs w:val="20"/>
              </w:rPr>
              <w:t>df1</w:t>
            </w:r>
          </w:p>
        </w:tc>
        <w:tc>
          <w:tcPr>
            <w:tcW w:w="1000" w:type="dxa"/>
            <w:tcBorders>
              <w:top w:val="single" w:sz="1" w:space="0" w:color="B8CCE4"/>
              <w:left w:val="single" w:sz="1" w:space="0" w:color="B8CCE4"/>
              <w:bottom w:val="single" w:sz="1" w:space="0" w:color="B8CCE4"/>
              <w:right w:val="single" w:sz="1" w:space="0" w:color="B8CCE4"/>
            </w:tcBorders>
            <w:shd w:val="clear" w:color="auto" w:fill="1F3864"/>
            <w:tcMar>
              <w:top w:w="100" w:type="dxa"/>
              <w:left w:w="140" w:type="dxa"/>
              <w:bottom w:w="100" w:type="dxa"/>
              <w:right w:w="140" w:type="dxa"/>
            </w:tcMar>
            <w:vAlign w:val="center"/>
          </w:tcPr>
          <w:p w14:paraId="2BF62B73" w14:textId="77777777" w:rsidR="001624DC" w:rsidRDefault="00000000">
            <w:pPr>
              <w:jc w:val="center"/>
            </w:pPr>
            <w:r>
              <w:rPr>
                <w:b/>
                <w:bCs/>
                <w:color w:val="FFFFFF"/>
                <w:sz w:val="20"/>
                <w:szCs w:val="20"/>
              </w:rPr>
              <w:t>df2 / p</w:t>
            </w:r>
          </w:p>
        </w:tc>
        <w:tc>
          <w:tcPr>
            <w:tcW w:w="3160" w:type="dxa"/>
            <w:tcBorders>
              <w:top w:val="single" w:sz="1" w:space="0" w:color="B8CCE4"/>
              <w:left w:val="single" w:sz="1" w:space="0" w:color="B8CCE4"/>
              <w:bottom w:val="single" w:sz="1" w:space="0" w:color="B8CCE4"/>
              <w:right w:val="single" w:sz="1" w:space="0" w:color="B8CCE4"/>
            </w:tcBorders>
            <w:shd w:val="clear" w:color="auto" w:fill="1F3864"/>
            <w:tcMar>
              <w:top w:w="100" w:type="dxa"/>
              <w:left w:w="140" w:type="dxa"/>
              <w:bottom w:w="100" w:type="dxa"/>
              <w:right w:w="140" w:type="dxa"/>
            </w:tcMar>
            <w:vAlign w:val="center"/>
          </w:tcPr>
          <w:p w14:paraId="1DED9BE4" w14:textId="77777777" w:rsidR="001624DC" w:rsidRDefault="00000000">
            <w:pPr>
              <w:jc w:val="center"/>
            </w:pPr>
            <w:r>
              <w:rPr>
                <w:b/>
                <w:bCs/>
                <w:color w:val="FFFFFF"/>
                <w:sz w:val="20"/>
                <w:szCs w:val="20"/>
              </w:rPr>
              <w:t>Decision</w:t>
            </w:r>
          </w:p>
        </w:tc>
      </w:tr>
      <w:tr w:rsidR="001624DC" w14:paraId="561C7282"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04ED8303" w14:textId="77777777" w:rsidR="001624DC" w:rsidRDefault="00000000">
            <w:r>
              <w:rPr>
                <w:sz w:val="20"/>
                <w:szCs w:val="20"/>
              </w:rPr>
              <w:t>Psychological Capital (PCQ)</w:t>
            </w:r>
          </w:p>
        </w:tc>
        <w:tc>
          <w:tcPr>
            <w:tcW w:w="14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26C7CFC6" w14:textId="77777777" w:rsidR="001624DC" w:rsidRDefault="00000000">
            <w:pPr>
              <w:jc w:val="center"/>
            </w:pPr>
            <w:r>
              <w:rPr>
                <w:sz w:val="20"/>
                <w:szCs w:val="20"/>
              </w:rPr>
              <w:t>Gender (Male vs. Female)</w:t>
            </w:r>
          </w:p>
        </w:tc>
        <w:tc>
          <w:tcPr>
            <w:tcW w:w="7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5A7AB5EC" w14:textId="77777777" w:rsidR="001624DC" w:rsidRDefault="00000000">
            <w:pPr>
              <w:jc w:val="center"/>
            </w:pPr>
            <w:r>
              <w:rPr>
                <w:b/>
                <w:bCs/>
                <w:sz w:val="20"/>
                <w:szCs w:val="20"/>
              </w:rPr>
              <w:t>1.216</w:t>
            </w:r>
          </w:p>
        </w:tc>
        <w:tc>
          <w:tcPr>
            <w:tcW w:w="7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30A1F427" w14:textId="77777777" w:rsidR="001624DC" w:rsidRDefault="00000000">
            <w:pPr>
              <w:jc w:val="center"/>
            </w:pPr>
            <w:r>
              <w:rPr>
                <w:sz w:val="20"/>
                <w:szCs w:val="20"/>
              </w:rPr>
              <w:t>1</w:t>
            </w:r>
          </w:p>
        </w:tc>
        <w:tc>
          <w:tcPr>
            <w:tcW w:w="10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502058B4" w14:textId="77777777" w:rsidR="001624DC" w:rsidRDefault="00000000">
            <w:pPr>
              <w:jc w:val="center"/>
            </w:pPr>
            <w:r>
              <w:rPr>
                <w:sz w:val="20"/>
                <w:szCs w:val="20"/>
              </w:rPr>
              <w:t>268 / .271</w:t>
            </w:r>
          </w:p>
        </w:tc>
        <w:tc>
          <w:tcPr>
            <w:tcW w:w="316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03F7D7BF" w14:textId="77777777" w:rsidR="001624DC" w:rsidRDefault="00000000">
            <w:pPr>
              <w:jc w:val="center"/>
            </w:pPr>
            <w:r>
              <w:rPr>
                <w:b/>
                <w:bCs/>
                <w:color w:val="375623"/>
                <w:sz w:val="20"/>
                <w:szCs w:val="20"/>
              </w:rPr>
              <w:t>Equal variances — Met ✓</w:t>
            </w:r>
          </w:p>
        </w:tc>
      </w:tr>
      <w:tr w:rsidR="001624DC" w14:paraId="26574F11"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EBF2FB"/>
            <w:tcMar>
              <w:top w:w="100" w:type="dxa"/>
              <w:left w:w="140" w:type="dxa"/>
              <w:bottom w:w="100" w:type="dxa"/>
              <w:right w:w="140" w:type="dxa"/>
            </w:tcMar>
            <w:vAlign w:val="center"/>
          </w:tcPr>
          <w:p w14:paraId="1C61C0F1" w14:textId="77777777" w:rsidR="001624DC" w:rsidRDefault="00000000">
            <w:r>
              <w:rPr>
                <w:sz w:val="20"/>
                <w:szCs w:val="20"/>
              </w:rPr>
              <w:t>Work Engagement (UWES)</w:t>
            </w:r>
          </w:p>
        </w:tc>
        <w:tc>
          <w:tcPr>
            <w:tcW w:w="1400" w:type="dxa"/>
            <w:tcBorders>
              <w:top w:val="single" w:sz="1" w:space="0" w:color="B8CCE4"/>
              <w:left w:val="single" w:sz="1" w:space="0" w:color="B8CCE4"/>
              <w:bottom w:val="single" w:sz="1" w:space="0" w:color="B8CCE4"/>
              <w:right w:val="single" w:sz="1" w:space="0" w:color="B8CCE4"/>
            </w:tcBorders>
            <w:shd w:val="clear" w:color="auto" w:fill="EBF2FB"/>
            <w:tcMar>
              <w:top w:w="100" w:type="dxa"/>
              <w:left w:w="140" w:type="dxa"/>
              <w:bottom w:w="100" w:type="dxa"/>
              <w:right w:w="140" w:type="dxa"/>
            </w:tcMar>
            <w:vAlign w:val="center"/>
          </w:tcPr>
          <w:p w14:paraId="6D339D9D" w14:textId="77777777" w:rsidR="001624DC" w:rsidRDefault="00000000">
            <w:pPr>
              <w:jc w:val="center"/>
            </w:pPr>
            <w:r>
              <w:rPr>
                <w:sz w:val="20"/>
                <w:szCs w:val="20"/>
              </w:rPr>
              <w:t>Gender (Male vs. Female)</w:t>
            </w:r>
          </w:p>
        </w:tc>
        <w:tc>
          <w:tcPr>
            <w:tcW w:w="700" w:type="dxa"/>
            <w:tcBorders>
              <w:top w:val="single" w:sz="1" w:space="0" w:color="B8CCE4"/>
              <w:left w:val="single" w:sz="1" w:space="0" w:color="B8CCE4"/>
              <w:bottom w:val="single" w:sz="1" w:space="0" w:color="B8CCE4"/>
              <w:right w:val="single" w:sz="1" w:space="0" w:color="B8CCE4"/>
            </w:tcBorders>
            <w:shd w:val="clear" w:color="auto" w:fill="EBF2FB"/>
            <w:tcMar>
              <w:top w:w="100" w:type="dxa"/>
              <w:left w:w="140" w:type="dxa"/>
              <w:bottom w:w="100" w:type="dxa"/>
              <w:right w:w="140" w:type="dxa"/>
            </w:tcMar>
            <w:vAlign w:val="center"/>
          </w:tcPr>
          <w:p w14:paraId="7032757C" w14:textId="77777777" w:rsidR="001624DC" w:rsidRDefault="00000000">
            <w:pPr>
              <w:jc w:val="center"/>
            </w:pPr>
            <w:r>
              <w:rPr>
                <w:b/>
                <w:bCs/>
                <w:sz w:val="20"/>
                <w:szCs w:val="20"/>
              </w:rPr>
              <w:t>.022</w:t>
            </w:r>
          </w:p>
        </w:tc>
        <w:tc>
          <w:tcPr>
            <w:tcW w:w="700" w:type="dxa"/>
            <w:tcBorders>
              <w:top w:val="single" w:sz="1" w:space="0" w:color="B8CCE4"/>
              <w:left w:val="single" w:sz="1" w:space="0" w:color="B8CCE4"/>
              <w:bottom w:val="single" w:sz="1" w:space="0" w:color="B8CCE4"/>
              <w:right w:val="single" w:sz="1" w:space="0" w:color="B8CCE4"/>
            </w:tcBorders>
            <w:shd w:val="clear" w:color="auto" w:fill="EBF2FB"/>
            <w:tcMar>
              <w:top w:w="100" w:type="dxa"/>
              <w:left w:w="140" w:type="dxa"/>
              <w:bottom w:w="100" w:type="dxa"/>
              <w:right w:w="140" w:type="dxa"/>
            </w:tcMar>
            <w:vAlign w:val="center"/>
          </w:tcPr>
          <w:p w14:paraId="5AD21426" w14:textId="77777777" w:rsidR="001624DC" w:rsidRDefault="00000000">
            <w:pPr>
              <w:jc w:val="center"/>
            </w:pPr>
            <w:r>
              <w:rPr>
                <w:sz w:val="20"/>
                <w:szCs w:val="20"/>
              </w:rPr>
              <w:t>1</w:t>
            </w:r>
          </w:p>
        </w:tc>
        <w:tc>
          <w:tcPr>
            <w:tcW w:w="1000" w:type="dxa"/>
            <w:tcBorders>
              <w:top w:val="single" w:sz="1" w:space="0" w:color="B8CCE4"/>
              <w:left w:val="single" w:sz="1" w:space="0" w:color="B8CCE4"/>
              <w:bottom w:val="single" w:sz="1" w:space="0" w:color="B8CCE4"/>
              <w:right w:val="single" w:sz="1" w:space="0" w:color="B8CCE4"/>
            </w:tcBorders>
            <w:shd w:val="clear" w:color="auto" w:fill="EBF2FB"/>
            <w:tcMar>
              <w:top w:w="100" w:type="dxa"/>
              <w:left w:w="140" w:type="dxa"/>
              <w:bottom w:w="100" w:type="dxa"/>
              <w:right w:w="140" w:type="dxa"/>
            </w:tcMar>
            <w:vAlign w:val="center"/>
          </w:tcPr>
          <w:p w14:paraId="485BEA9E" w14:textId="77777777" w:rsidR="001624DC" w:rsidRDefault="00000000">
            <w:pPr>
              <w:jc w:val="center"/>
            </w:pPr>
            <w:r>
              <w:rPr>
                <w:sz w:val="20"/>
                <w:szCs w:val="20"/>
              </w:rPr>
              <w:t>268 / .881</w:t>
            </w:r>
          </w:p>
        </w:tc>
        <w:tc>
          <w:tcPr>
            <w:tcW w:w="3160" w:type="dxa"/>
            <w:tcBorders>
              <w:top w:val="single" w:sz="1" w:space="0" w:color="B8CCE4"/>
              <w:left w:val="single" w:sz="1" w:space="0" w:color="B8CCE4"/>
              <w:bottom w:val="single" w:sz="1" w:space="0" w:color="B8CCE4"/>
              <w:right w:val="single" w:sz="1" w:space="0" w:color="B8CCE4"/>
            </w:tcBorders>
            <w:shd w:val="clear" w:color="auto" w:fill="EBF2FB"/>
            <w:tcMar>
              <w:top w:w="100" w:type="dxa"/>
              <w:left w:w="140" w:type="dxa"/>
              <w:bottom w:w="100" w:type="dxa"/>
              <w:right w:w="140" w:type="dxa"/>
            </w:tcMar>
            <w:vAlign w:val="center"/>
          </w:tcPr>
          <w:p w14:paraId="0944900F" w14:textId="77777777" w:rsidR="001624DC" w:rsidRDefault="00000000">
            <w:pPr>
              <w:jc w:val="center"/>
            </w:pPr>
            <w:r>
              <w:rPr>
                <w:b/>
                <w:bCs/>
                <w:color w:val="375623"/>
                <w:sz w:val="20"/>
                <w:szCs w:val="20"/>
              </w:rPr>
              <w:t>Equal variances — Met ✓</w:t>
            </w:r>
          </w:p>
        </w:tc>
      </w:tr>
      <w:tr w:rsidR="001624DC" w14:paraId="5ECC12C2"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7E80FAD1" w14:textId="77777777" w:rsidR="001624DC" w:rsidRDefault="00000000">
            <w:r>
              <w:rPr>
                <w:sz w:val="20"/>
                <w:szCs w:val="20"/>
              </w:rPr>
              <w:lastRenderedPageBreak/>
              <w:t>Job Satisfaction (MSQ)</w:t>
            </w:r>
          </w:p>
        </w:tc>
        <w:tc>
          <w:tcPr>
            <w:tcW w:w="14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3523143F" w14:textId="77777777" w:rsidR="001624DC" w:rsidRDefault="00000000">
            <w:pPr>
              <w:jc w:val="center"/>
            </w:pPr>
            <w:r>
              <w:rPr>
                <w:sz w:val="20"/>
                <w:szCs w:val="20"/>
              </w:rPr>
              <w:t>Gender (Male vs. Female)</w:t>
            </w:r>
          </w:p>
        </w:tc>
        <w:tc>
          <w:tcPr>
            <w:tcW w:w="7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1DCC7328" w14:textId="77777777" w:rsidR="001624DC" w:rsidRDefault="00000000">
            <w:pPr>
              <w:jc w:val="center"/>
            </w:pPr>
            <w:r>
              <w:rPr>
                <w:b/>
                <w:bCs/>
                <w:sz w:val="20"/>
                <w:szCs w:val="20"/>
              </w:rPr>
              <w:t>1.103</w:t>
            </w:r>
          </w:p>
        </w:tc>
        <w:tc>
          <w:tcPr>
            <w:tcW w:w="7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476A76D5" w14:textId="77777777" w:rsidR="001624DC" w:rsidRDefault="00000000">
            <w:pPr>
              <w:jc w:val="center"/>
            </w:pPr>
            <w:r>
              <w:rPr>
                <w:sz w:val="20"/>
                <w:szCs w:val="20"/>
              </w:rPr>
              <w:t>1</w:t>
            </w:r>
          </w:p>
        </w:tc>
        <w:tc>
          <w:tcPr>
            <w:tcW w:w="10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5A5DB726" w14:textId="77777777" w:rsidR="001624DC" w:rsidRDefault="00000000">
            <w:pPr>
              <w:jc w:val="center"/>
            </w:pPr>
            <w:r>
              <w:rPr>
                <w:sz w:val="20"/>
                <w:szCs w:val="20"/>
              </w:rPr>
              <w:t>268 / .294</w:t>
            </w:r>
          </w:p>
        </w:tc>
        <w:tc>
          <w:tcPr>
            <w:tcW w:w="316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58480A9D" w14:textId="77777777" w:rsidR="001624DC" w:rsidRDefault="00000000">
            <w:pPr>
              <w:jc w:val="center"/>
            </w:pPr>
            <w:r>
              <w:rPr>
                <w:b/>
                <w:bCs/>
                <w:color w:val="375623"/>
                <w:sz w:val="20"/>
                <w:szCs w:val="20"/>
              </w:rPr>
              <w:t>Equal variances — Met ✓</w:t>
            </w:r>
          </w:p>
        </w:tc>
      </w:tr>
    </w:tbl>
    <w:p w14:paraId="55F881A1" w14:textId="77777777" w:rsidR="001624DC" w:rsidRDefault="00000000">
      <w:pPr>
        <w:spacing w:before="80" w:after="200"/>
        <w:ind w:left="360"/>
        <w:jc w:val="both"/>
      </w:pPr>
      <w:r>
        <w:rPr>
          <w:b/>
          <w:bCs/>
          <w:sz w:val="21"/>
          <w:szCs w:val="21"/>
        </w:rPr>
        <w:t xml:space="preserve">Note. </w:t>
      </w:r>
      <w:r>
        <w:rPr>
          <w:i/>
          <w:iCs/>
          <w:sz w:val="21"/>
          <w:szCs w:val="21"/>
        </w:rPr>
        <w:t>All values are sourced directly from the SPSS Tests of Homogeneity of Variances table (Assumption_Testing.pdf, p. 12). Levene's Test is Based on Mean (standard criterion). df1 = between-groups degrees of freedom (1, reflecting two gender groups); df2 = within-groups degrees of freedom (268 = 270 − 2). A non-significant result (p &gt; .05) indicates the assumption of equal variances is met. Source: SPSS ONEWAY procedure with /STATISTICS HOMOGENEITY subcommand.</w:t>
      </w:r>
    </w:p>
    <w:p w14:paraId="3991DF92" w14:textId="77777777" w:rsidR="001624DC" w:rsidRDefault="00000000">
      <w:pPr>
        <w:spacing w:before="100" w:after="100" w:line="360" w:lineRule="auto"/>
        <w:ind w:firstLine="720"/>
        <w:jc w:val="both"/>
      </w:pPr>
      <w:r>
        <w:t>Levene's Test was non-significant for all three composite variables: PCQ Total Mean (</w:t>
      </w:r>
      <w:proofErr w:type="gramStart"/>
      <w:r>
        <w:t>F(</w:t>
      </w:r>
      <w:proofErr w:type="gramEnd"/>
      <w:r>
        <w:t>1, 268) = 1.216, p = .271), UWES Total Mean (</w:t>
      </w:r>
      <w:proofErr w:type="gramStart"/>
      <w:r>
        <w:t>F(</w:t>
      </w:r>
      <w:proofErr w:type="gramEnd"/>
      <w:r>
        <w:t>1, 268) = .022, p = .881), and MSQ Total Mean (</w:t>
      </w:r>
      <w:proofErr w:type="gramStart"/>
      <w:r>
        <w:t>F(</w:t>
      </w:r>
      <w:proofErr w:type="gramEnd"/>
      <w:r>
        <w:t>1, 268) = 1.103, p = .294). All p-values substantially exceed the α = .05 criterion, confirming that the assumption of homogeneity of variance is satisfied across gender groups for all three study variables.</w:t>
      </w:r>
    </w:p>
    <w:p w14:paraId="2C3AB4F7" w14:textId="77777777" w:rsidR="001624DC" w:rsidRDefault="00000000">
      <w:pPr>
        <w:spacing w:before="100" w:after="100" w:line="360" w:lineRule="auto"/>
        <w:ind w:firstLine="720"/>
        <w:jc w:val="both"/>
      </w:pPr>
      <w:r>
        <w:t>The near-zero Levene statistic for Work Engagement (F = .022, p = .881) is particularly notable, indicating virtually identical variance between male and female faculty members on this measure — suggesting that the dispersion of work engagement scores is highly uniform across gender within the QOU faculty population. This result confirms that equal-variance parametric tests are appropriate for all planned gender-group comparisons, without the need for Welch's correction. Additionally, the homogeneity finding supports the stability and generalisability of the regression coefficients to be estimated in Stage 8 across both gender groups.</w:t>
      </w:r>
    </w:p>
    <w:p w14:paraId="633D21CC" w14:textId="77777777" w:rsidR="001624DC" w:rsidRDefault="001624DC">
      <w:pPr>
        <w:spacing w:before="80" w:after="80"/>
      </w:pPr>
    </w:p>
    <w:p w14:paraId="3B46868C" w14:textId="77777777" w:rsidR="001624DC" w:rsidRDefault="00000000">
      <w:pPr>
        <w:pStyle w:val="Heading1"/>
        <w:ind w:left="240" w:right="240"/>
      </w:pPr>
      <w:r>
        <w:t>5.  Multicollinearity Assessment</w:t>
      </w:r>
    </w:p>
    <w:p w14:paraId="1BA470DE" w14:textId="77777777" w:rsidR="001624DC" w:rsidRDefault="00000000">
      <w:pPr>
        <w:spacing w:before="100" w:after="100" w:line="360" w:lineRule="auto"/>
        <w:ind w:firstLine="720"/>
        <w:jc w:val="both"/>
      </w:pPr>
      <w:r>
        <w:t>The absence of problematic multicollinearity — a condition in which independent or mediating variables are so strongly intercorrelated that they cannot be distinguished analytically — was assessed by examining the Pearson bivariate correlation matrix among the three study variables. The commonly adopted threshold for indicating potentially problematic multicollinearity is r ≥ .80 (Hair et al., 2019; Field, 2018); correlations substantially below this threshold support the discriminant validity of the variables and the interpretability of regression coefficients. Table 5 presents the correlation matrix.</w:t>
      </w:r>
    </w:p>
    <w:p w14:paraId="0E8ABD7B" w14:textId="77777777" w:rsidR="001624DC" w:rsidRDefault="001624DC">
      <w:pPr>
        <w:spacing w:before="80" w:after="80"/>
      </w:pPr>
    </w:p>
    <w:p w14:paraId="7B93E070" w14:textId="77777777" w:rsidR="001624DC" w:rsidRDefault="00000000">
      <w:pPr>
        <w:spacing w:before="240" w:after="80"/>
      </w:pPr>
      <w:r>
        <w:rPr>
          <w:b/>
          <w:bCs/>
        </w:rPr>
        <w:t xml:space="preserve">Table </w:t>
      </w:r>
      <w:proofErr w:type="gramStart"/>
      <w:r>
        <w:rPr>
          <w:b/>
          <w:bCs/>
        </w:rPr>
        <w:t>5</w:t>
      </w:r>
      <w:r>
        <w:t xml:space="preserve">  Pearson</w:t>
      </w:r>
      <w:proofErr w:type="gramEnd"/>
      <w:r>
        <w:t xml:space="preserve"> Correlation Matrix — Main Study Variables (N = 270)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360"/>
      </w:tblGrid>
      <w:tr w:rsidR="001624DC" w14:paraId="139069B1" w14:textId="77777777">
        <w:tblPrEx>
          <w:tblCellMar>
            <w:top w:w="0" w:type="dxa"/>
            <w:bottom w:w="0" w:type="dxa"/>
          </w:tblCellMar>
        </w:tblPrEx>
        <w:tc>
          <w:tcPr>
            <w:tcW w:w="3000" w:type="dxa"/>
            <w:tcBorders>
              <w:top w:val="single" w:sz="1" w:space="0" w:color="B8CCE4"/>
              <w:left w:val="single" w:sz="1" w:space="0" w:color="B8CCE4"/>
              <w:bottom w:val="single" w:sz="1" w:space="0" w:color="B8CCE4"/>
              <w:right w:val="single" w:sz="1" w:space="0" w:color="B8CCE4"/>
            </w:tcBorders>
            <w:shd w:val="clear" w:color="auto" w:fill="1F3864"/>
            <w:tcMar>
              <w:top w:w="100" w:type="dxa"/>
              <w:left w:w="140" w:type="dxa"/>
              <w:bottom w:w="100" w:type="dxa"/>
              <w:right w:w="140" w:type="dxa"/>
            </w:tcMar>
            <w:vAlign w:val="center"/>
          </w:tcPr>
          <w:p w14:paraId="731610D6" w14:textId="77777777" w:rsidR="001624DC" w:rsidRDefault="00000000">
            <w:pPr>
              <w:jc w:val="center"/>
            </w:pPr>
            <w:r>
              <w:rPr>
                <w:b/>
                <w:bCs/>
                <w:color w:val="FFFFFF"/>
                <w:sz w:val="20"/>
                <w:szCs w:val="20"/>
              </w:rPr>
              <w:t>Variable</w:t>
            </w:r>
          </w:p>
        </w:tc>
        <w:tc>
          <w:tcPr>
            <w:tcW w:w="2000" w:type="dxa"/>
            <w:tcBorders>
              <w:top w:val="single" w:sz="1" w:space="0" w:color="B8CCE4"/>
              <w:left w:val="single" w:sz="1" w:space="0" w:color="B8CCE4"/>
              <w:bottom w:val="single" w:sz="1" w:space="0" w:color="B8CCE4"/>
              <w:right w:val="single" w:sz="1" w:space="0" w:color="B8CCE4"/>
            </w:tcBorders>
            <w:shd w:val="clear" w:color="auto" w:fill="1F3864"/>
            <w:tcMar>
              <w:top w:w="100" w:type="dxa"/>
              <w:left w:w="140" w:type="dxa"/>
              <w:bottom w:w="100" w:type="dxa"/>
              <w:right w:w="140" w:type="dxa"/>
            </w:tcMar>
            <w:vAlign w:val="center"/>
          </w:tcPr>
          <w:p w14:paraId="3090CE2A" w14:textId="77777777" w:rsidR="001624DC" w:rsidRDefault="00000000">
            <w:pPr>
              <w:jc w:val="center"/>
            </w:pPr>
            <w:r>
              <w:rPr>
                <w:b/>
                <w:bCs/>
                <w:color w:val="FFFFFF"/>
                <w:sz w:val="20"/>
                <w:szCs w:val="20"/>
              </w:rPr>
              <w:t>1. PCQ</w:t>
            </w:r>
          </w:p>
        </w:tc>
        <w:tc>
          <w:tcPr>
            <w:tcW w:w="2000" w:type="dxa"/>
            <w:tcBorders>
              <w:top w:val="single" w:sz="1" w:space="0" w:color="B8CCE4"/>
              <w:left w:val="single" w:sz="1" w:space="0" w:color="B8CCE4"/>
              <w:bottom w:val="single" w:sz="1" w:space="0" w:color="B8CCE4"/>
              <w:right w:val="single" w:sz="1" w:space="0" w:color="B8CCE4"/>
            </w:tcBorders>
            <w:shd w:val="clear" w:color="auto" w:fill="1F3864"/>
            <w:tcMar>
              <w:top w:w="100" w:type="dxa"/>
              <w:left w:w="140" w:type="dxa"/>
              <w:bottom w:w="100" w:type="dxa"/>
              <w:right w:w="140" w:type="dxa"/>
            </w:tcMar>
            <w:vAlign w:val="center"/>
          </w:tcPr>
          <w:p w14:paraId="3E41F4CE" w14:textId="77777777" w:rsidR="001624DC" w:rsidRDefault="00000000">
            <w:pPr>
              <w:jc w:val="center"/>
            </w:pPr>
            <w:r>
              <w:rPr>
                <w:b/>
                <w:bCs/>
                <w:color w:val="FFFFFF"/>
                <w:sz w:val="20"/>
                <w:szCs w:val="20"/>
              </w:rPr>
              <w:t>2. UWES</w:t>
            </w:r>
          </w:p>
        </w:tc>
        <w:tc>
          <w:tcPr>
            <w:tcW w:w="2360" w:type="dxa"/>
            <w:tcBorders>
              <w:top w:val="single" w:sz="1" w:space="0" w:color="B8CCE4"/>
              <w:left w:val="single" w:sz="1" w:space="0" w:color="B8CCE4"/>
              <w:bottom w:val="single" w:sz="1" w:space="0" w:color="B8CCE4"/>
              <w:right w:val="single" w:sz="1" w:space="0" w:color="B8CCE4"/>
            </w:tcBorders>
            <w:shd w:val="clear" w:color="auto" w:fill="1F3864"/>
            <w:tcMar>
              <w:top w:w="100" w:type="dxa"/>
              <w:left w:w="140" w:type="dxa"/>
              <w:bottom w:w="100" w:type="dxa"/>
              <w:right w:w="140" w:type="dxa"/>
            </w:tcMar>
            <w:vAlign w:val="center"/>
          </w:tcPr>
          <w:p w14:paraId="03594A9F" w14:textId="77777777" w:rsidR="001624DC" w:rsidRDefault="00000000">
            <w:pPr>
              <w:jc w:val="center"/>
            </w:pPr>
            <w:r>
              <w:rPr>
                <w:b/>
                <w:bCs/>
                <w:color w:val="FFFFFF"/>
                <w:sz w:val="20"/>
                <w:szCs w:val="20"/>
              </w:rPr>
              <w:t>3. MSQ</w:t>
            </w:r>
          </w:p>
        </w:tc>
      </w:tr>
      <w:tr w:rsidR="001624DC" w14:paraId="3E31BFEB" w14:textId="77777777">
        <w:tblPrEx>
          <w:tblCellMar>
            <w:top w:w="0" w:type="dxa"/>
            <w:bottom w:w="0" w:type="dxa"/>
          </w:tblCellMar>
        </w:tblPrEx>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26335A0F" w14:textId="77777777" w:rsidR="001624DC" w:rsidRDefault="00000000">
            <w:r>
              <w:rPr>
                <w:b/>
                <w:bCs/>
                <w:sz w:val="20"/>
                <w:szCs w:val="20"/>
              </w:rPr>
              <w:t>1. Psychological Capital (PCQ)</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1B12B21D" w14:textId="77777777" w:rsidR="001624DC" w:rsidRDefault="00000000">
            <w:pPr>
              <w:jc w:val="center"/>
            </w:pPr>
            <w:r>
              <w:rPr>
                <w:color w:val="595959"/>
                <w:sz w:val="20"/>
                <w:szCs w:val="20"/>
              </w:rPr>
              <w:t>—</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3747D302" w14:textId="77777777" w:rsidR="001624DC" w:rsidRDefault="00000000">
            <w:pPr>
              <w:jc w:val="center"/>
            </w:pPr>
            <w:r>
              <w:rPr>
                <w:b/>
                <w:bCs/>
                <w:color w:val="375623"/>
                <w:sz w:val="20"/>
                <w:szCs w:val="20"/>
              </w:rPr>
              <w:t>.529**</w:t>
            </w:r>
          </w:p>
        </w:tc>
        <w:tc>
          <w:tcPr>
            <w:tcW w:w="236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5976D0B6" w14:textId="77777777" w:rsidR="001624DC" w:rsidRDefault="00000000">
            <w:pPr>
              <w:jc w:val="center"/>
            </w:pPr>
            <w:r>
              <w:rPr>
                <w:b/>
                <w:bCs/>
                <w:color w:val="375623"/>
                <w:sz w:val="20"/>
                <w:szCs w:val="20"/>
              </w:rPr>
              <w:t>.482**</w:t>
            </w:r>
          </w:p>
        </w:tc>
      </w:tr>
      <w:tr w:rsidR="001624DC" w14:paraId="792F71E4" w14:textId="77777777">
        <w:tblPrEx>
          <w:tblCellMar>
            <w:top w:w="0" w:type="dxa"/>
            <w:bottom w:w="0" w:type="dxa"/>
          </w:tblCellMar>
        </w:tblPrEx>
        <w:tc>
          <w:tcPr>
            <w:tcW w:w="3000" w:type="dxa"/>
            <w:tcBorders>
              <w:top w:val="single" w:sz="1" w:space="0" w:color="B8CCE4"/>
              <w:left w:val="single" w:sz="1" w:space="0" w:color="B8CCE4"/>
              <w:bottom w:val="single" w:sz="1" w:space="0" w:color="B8CCE4"/>
              <w:right w:val="single" w:sz="1" w:space="0" w:color="B8CCE4"/>
            </w:tcBorders>
            <w:shd w:val="clear" w:color="auto" w:fill="EBF2FB"/>
            <w:tcMar>
              <w:top w:w="100" w:type="dxa"/>
              <w:left w:w="140" w:type="dxa"/>
              <w:bottom w:w="100" w:type="dxa"/>
              <w:right w:w="140" w:type="dxa"/>
            </w:tcMar>
            <w:vAlign w:val="center"/>
          </w:tcPr>
          <w:p w14:paraId="159C6022" w14:textId="77777777" w:rsidR="001624DC" w:rsidRDefault="00000000">
            <w:r>
              <w:rPr>
                <w:b/>
                <w:bCs/>
                <w:sz w:val="20"/>
                <w:szCs w:val="20"/>
              </w:rPr>
              <w:t>2. Work Engagement (UWES)</w:t>
            </w:r>
          </w:p>
        </w:tc>
        <w:tc>
          <w:tcPr>
            <w:tcW w:w="2000" w:type="dxa"/>
            <w:tcBorders>
              <w:top w:val="single" w:sz="1" w:space="0" w:color="B8CCE4"/>
              <w:left w:val="single" w:sz="1" w:space="0" w:color="B8CCE4"/>
              <w:bottom w:val="single" w:sz="1" w:space="0" w:color="B8CCE4"/>
              <w:right w:val="single" w:sz="1" w:space="0" w:color="B8CCE4"/>
            </w:tcBorders>
            <w:shd w:val="clear" w:color="auto" w:fill="EBF2FB"/>
            <w:tcMar>
              <w:top w:w="100" w:type="dxa"/>
              <w:left w:w="140" w:type="dxa"/>
              <w:bottom w:w="100" w:type="dxa"/>
              <w:right w:w="140" w:type="dxa"/>
            </w:tcMar>
            <w:vAlign w:val="center"/>
          </w:tcPr>
          <w:p w14:paraId="2B20AFF3" w14:textId="77777777" w:rsidR="001624DC" w:rsidRDefault="00000000">
            <w:pPr>
              <w:jc w:val="center"/>
            </w:pPr>
            <w:r>
              <w:rPr>
                <w:b/>
                <w:bCs/>
                <w:color w:val="375623"/>
                <w:sz w:val="20"/>
                <w:szCs w:val="20"/>
              </w:rPr>
              <w:t>.529**</w:t>
            </w:r>
          </w:p>
        </w:tc>
        <w:tc>
          <w:tcPr>
            <w:tcW w:w="2000" w:type="dxa"/>
            <w:tcBorders>
              <w:top w:val="single" w:sz="1" w:space="0" w:color="B8CCE4"/>
              <w:left w:val="single" w:sz="1" w:space="0" w:color="B8CCE4"/>
              <w:bottom w:val="single" w:sz="1" w:space="0" w:color="B8CCE4"/>
              <w:right w:val="single" w:sz="1" w:space="0" w:color="B8CCE4"/>
            </w:tcBorders>
            <w:shd w:val="clear" w:color="auto" w:fill="EBF2FB"/>
            <w:tcMar>
              <w:top w:w="100" w:type="dxa"/>
              <w:left w:w="140" w:type="dxa"/>
              <w:bottom w:w="100" w:type="dxa"/>
              <w:right w:w="140" w:type="dxa"/>
            </w:tcMar>
            <w:vAlign w:val="center"/>
          </w:tcPr>
          <w:p w14:paraId="200ACE94" w14:textId="77777777" w:rsidR="001624DC" w:rsidRDefault="00000000">
            <w:pPr>
              <w:jc w:val="center"/>
            </w:pPr>
            <w:r>
              <w:rPr>
                <w:color w:val="595959"/>
                <w:sz w:val="20"/>
                <w:szCs w:val="20"/>
              </w:rPr>
              <w:t>—</w:t>
            </w:r>
          </w:p>
        </w:tc>
        <w:tc>
          <w:tcPr>
            <w:tcW w:w="2360" w:type="dxa"/>
            <w:tcBorders>
              <w:top w:val="single" w:sz="1" w:space="0" w:color="B8CCE4"/>
              <w:left w:val="single" w:sz="1" w:space="0" w:color="B8CCE4"/>
              <w:bottom w:val="single" w:sz="1" w:space="0" w:color="B8CCE4"/>
              <w:right w:val="single" w:sz="1" w:space="0" w:color="B8CCE4"/>
            </w:tcBorders>
            <w:shd w:val="clear" w:color="auto" w:fill="EBF2FB"/>
            <w:tcMar>
              <w:top w:w="100" w:type="dxa"/>
              <w:left w:w="140" w:type="dxa"/>
              <w:bottom w:w="100" w:type="dxa"/>
              <w:right w:w="140" w:type="dxa"/>
            </w:tcMar>
            <w:vAlign w:val="center"/>
          </w:tcPr>
          <w:p w14:paraId="59A3BA50" w14:textId="77777777" w:rsidR="001624DC" w:rsidRDefault="00000000">
            <w:pPr>
              <w:jc w:val="center"/>
            </w:pPr>
            <w:r>
              <w:rPr>
                <w:b/>
                <w:bCs/>
                <w:color w:val="375623"/>
                <w:sz w:val="20"/>
                <w:szCs w:val="20"/>
              </w:rPr>
              <w:t>.651**</w:t>
            </w:r>
          </w:p>
        </w:tc>
      </w:tr>
      <w:tr w:rsidR="001624DC" w14:paraId="49D973C8" w14:textId="77777777">
        <w:tblPrEx>
          <w:tblCellMar>
            <w:top w:w="0" w:type="dxa"/>
            <w:bottom w:w="0" w:type="dxa"/>
          </w:tblCellMar>
        </w:tblPrEx>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2C312812" w14:textId="77777777" w:rsidR="001624DC" w:rsidRDefault="00000000">
            <w:r>
              <w:rPr>
                <w:b/>
                <w:bCs/>
                <w:sz w:val="20"/>
                <w:szCs w:val="20"/>
              </w:rPr>
              <w:t>3. Job Satisfaction (MSQ)</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74DB1845" w14:textId="77777777" w:rsidR="001624DC" w:rsidRDefault="00000000">
            <w:pPr>
              <w:jc w:val="center"/>
            </w:pPr>
            <w:r>
              <w:rPr>
                <w:b/>
                <w:bCs/>
                <w:color w:val="375623"/>
                <w:sz w:val="20"/>
                <w:szCs w:val="20"/>
              </w:rPr>
              <w:t>.482**</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143F1830" w14:textId="77777777" w:rsidR="001624DC" w:rsidRDefault="00000000">
            <w:pPr>
              <w:jc w:val="center"/>
            </w:pPr>
            <w:r>
              <w:rPr>
                <w:b/>
                <w:bCs/>
                <w:color w:val="375623"/>
                <w:sz w:val="20"/>
                <w:szCs w:val="20"/>
              </w:rPr>
              <w:t>.651**</w:t>
            </w:r>
          </w:p>
        </w:tc>
        <w:tc>
          <w:tcPr>
            <w:tcW w:w="236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538FAC7F" w14:textId="77777777" w:rsidR="001624DC" w:rsidRDefault="00000000">
            <w:pPr>
              <w:jc w:val="center"/>
            </w:pPr>
            <w:r>
              <w:rPr>
                <w:color w:val="595959"/>
                <w:sz w:val="20"/>
                <w:szCs w:val="20"/>
              </w:rPr>
              <w:t>—</w:t>
            </w:r>
          </w:p>
        </w:tc>
      </w:tr>
      <w:tr w:rsidR="001624DC" w14:paraId="02C59B3A" w14:textId="77777777">
        <w:tblPrEx>
          <w:tblCellMar>
            <w:top w:w="0" w:type="dxa"/>
            <w:bottom w:w="0" w:type="dxa"/>
          </w:tblCellMar>
        </w:tblPrEx>
        <w:tc>
          <w:tcPr>
            <w:tcW w:w="3000" w:type="dxa"/>
            <w:tcBorders>
              <w:top w:val="single" w:sz="1" w:space="0" w:color="B8CCE4"/>
              <w:left w:val="single" w:sz="1" w:space="0" w:color="B8CCE4"/>
              <w:bottom w:val="single" w:sz="1" w:space="0" w:color="B8CCE4"/>
              <w:right w:val="single" w:sz="1" w:space="0" w:color="B8CCE4"/>
            </w:tcBorders>
            <w:shd w:val="clear" w:color="auto" w:fill="EBF2FB"/>
            <w:tcMar>
              <w:top w:w="100" w:type="dxa"/>
              <w:left w:w="140" w:type="dxa"/>
              <w:bottom w:w="100" w:type="dxa"/>
              <w:right w:w="140" w:type="dxa"/>
            </w:tcMar>
            <w:vAlign w:val="center"/>
          </w:tcPr>
          <w:p w14:paraId="363B8BDC" w14:textId="77777777" w:rsidR="001624DC" w:rsidRDefault="00000000">
            <w:r>
              <w:rPr>
                <w:sz w:val="20"/>
                <w:szCs w:val="20"/>
              </w:rPr>
              <w:t>p-value (2-tailed)</w:t>
            </w:r>
          </w:p>
        </w:tc>
        <w:tc>
          <w:tcPr>
            <w:tcW w:w="2000" w:type="dxa"/>
            <w:tcBorders>
              <w:top w:val="single" w:sz="1" w:space="0" w:color="B8CCE4"/>
              <w:left w:val="single" w:sz="1" w:space="0" w:color="B8CCE4"/>
              <w:bottom w:val="single" w:sz="1" w:space="0" w:color="B8CCE4"/>
              <w:right w:val="single" w:sz="1" w:space="0" w:color="B8CCE4"/>
            </w:tcBorders>
            <w:shd w:val="clear" w:color="auto" w:fill="EBF2FB"/>
            <w:tcMar>
              <w:top w:w="100" w:type="dxa"/>
              <w:left w:w="140" w:type="dxa"/>
              <w:bottom w:w="100" w:type="dxa"/>
              <w:right w:w="140" w:type="dxa"/>
            </w:tcMar>
            <w:vAlign w:val="center"/>
          </w:tcPr>
          <w:p w14:paraId="25714659" w14:textId="77777777" w:rsidR="001624DC" w:rsidRDefault="00000000">
            <w:pPr>
              <w:jc w:val="center"/>
            </w:pPr>
            <w:r>
              <w:rPr>
                <w:color w:val="595959"/>
                <w:sz w:val="20"/>
                <w:szCs w:val="20"/>
              </w:rPr>
              <w:t>—</w:t>
            </w:r>
          </w:p>
        </w:tc>
        <w:tc>
          <w:tcPr>
            <w:tcW w:w="2000" w:type="dxa"/>
            <w:tcBorders>
              <w:top w:val="single" w:sz="1" w:space="0" w:color="B8CCE4"/>
              <w:left w:val="single" w:sz="1" w:space="0" w:color="B8CCE4"/>
              <w:bottom w:val="single" w:sz="1" w:space="0" w:color="B8CCE4"/>
              <w:right w:val="single" w:sz="1" w:space="0" w:color="B8CCE4"/>
            </w:tcBorders>
            <w:shd w:val="clear" w:color="auto" w:fill="EBF2FB"/>
            <w:tcMar>
              <w:top w:w="100" w:type="dxa"/>
              <w:left w:w="140" w:type="dxa"/>
              <w:bottom w:w="100" w:type="dxa"/>
              <w:right w:w="140" w:type="dxa"/>
            </w:tcMar>
            <w:vAlign w:val="center"/>
          </w:tcPr>
          <w:p w14:paraId="05A48C7E" w14:textId="77777777" w:rsidR="001624DC" w:rsidRDefault="00000000">
            <w:pPr>
              <w:jc w:val="center"/>
            </w:pPr>
            <w:r>
              <w:rPr>
                <w:color w:val="595959"/>
                <w:sz w:val="20"/>
                <w:szCs w:val="20"/>
              </w:rPr>
              <w:t>&lt; .001</w:t>
            </w:r>
          </w:p>
        </w:tc>
        <w:tc>
          <w:tcPr>
            <w:tcW w:w="2360" w:type="dxa"/>
            <w:tcBorders>
              <w:top w:val="single" w:sz="1" w:space="0" w:color="B8CCE4"/>
              <w:left w:val="single" w:sz="1" w:space="0" w:color="B8CCE4"/>
              <w:bottom w:val="single" w:sz="1" w:space="0" w:color="B8CCE4"/>
              <w:right w:val="single" w:sz="1" w:space="0" w:color="B8CCE4"/>
            </w:tcBorders>
            <w:shd w:val="clear" w:color="auto" w:fill="EBF2FB"/>
            <w:tcMar>
              <w:top w:w="100" w:type="dxa"/>
              <w:left w:w="140" w:type="dxa"/>
              <w:bottom w:w="100" w:type="dxa"/>
              <w:right w:w="140" w:type="dxa"/>
            </w:tcMar>
            <w:vAlign w:val="center"/>
          </w:tcPr>
          <w:p w14:paraId="14AE6E2E" w14:textId="77777777" w:rsidR="001624DC" w:rsidRDefault="00000000">
            <w:pPr>
              <w:jc w:val="center"/>
            </w:pPr>
            <w:r>
              <w:rPr>
                <w:color w:val="595959"/>
                <w:sz w:val="20"/>
                <w:szCs w:val="20"/>
              </w:rPr>
              <w:t>&lt; .001</w:t>
            </w:r>
          </w:p>
        </w:tc>
      </w:tr>
      <w:tr w:rsidR="001624DC" w14:paraId="4B3E4D99" w14:textId="77777777">
        <w:tblPrEx>
          <w:tblCellMar>
            <w:top w:w="0" w:type="dxa"/>
            <w:bottom w:w="0" w:type="dxa"/>
          </w:tblCellMar>
        </w:tblPrEx>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71E0C29B" w14:textId="77777777" w:rsidR="001624DC" w:rsidRDefault="00000000">
            <w:r>
              <w:rPr>
                <w:sz w:val="20"/>
                <w:szCs w:val="20"/>
              </w:rPr>
              <w:lastRenderedPageBreak/>
              <w:t>N</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5696998A" w14:textId="77777777" w:rsidR="001624DC" w:rsidRDefault="00000000">
            <w:pPr>
              <w:jc w:val="center"/>
            </w:pPr>
            <w:r>
              <w:rPr>
                <w:color w:val="595959"/>
                <w:sz w:val="20"/>
                <w:szCs w:val="20"/>
              </w:rPr>
              <w:t>270</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6A8D1CD2" w14:textId="77777777" w:rsidR="001624DC" w:rsidRDefault="00000000">
            <w:pPr>
              <w:jc w:val="center"/>
            </w:pPr>
            <w:r>
              <w:rPr>
                <w:color w:val="595959"/>
                <w:sz w:val="20"/>
                <w:szCs w:val="20"/>
              </w:rPr>
              <w:t>270</w:t>
            </w:r>
          </w:p>
        </w:tc>
        <w:tc>
          <w:tcPr>
            <w:tcW w:w="236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42978E63" w14:textId="77777777" w:rsidR="001624DC" w:rsidRDefault="00000000">
            <w:pPr>
              <w:jc w:val="center"/>
            </w:pPr>
            <w:r>
              <w:rPr>
                <w:color w:val="595959"/>
                <w:sz w:val="20"/>
                <w:szCs w:val="20"/>
              </w:rPr>
              <w:t>270</w:t>
            </w:r>
          </w:p>
        </w:tc>
      </w:tr>
    </w:tbl>
    <w:p w14:paraId="3033B40F" w14:textId="77777777" w:rsidR="001624DC" w:rsidRDefault="00000000">
      <w:pPr>
        <w:spacing w:before="80" w:after="200"/>
        <w:ind w:left="360"/>
        <w:jc w:val="both"/>
      </w:pPr>
      <w:r>
        <w:rPr>
          <w:b/>
          <w:bCs/>
          <w:sz w:val="21"/>
          <w:szCs w:val="21"/>
        </w:rPr>
        <w:t xml:space="preserve">Note. </w:t>
      </w:r>
      <w:r>
        <w:rPr>
          <w:i/>
          <w:iCs/>
          <w:sz w:val="21"/>
          <w:szCs w:val="21"/>
        </w:rPr>
        <w:t>All values are sourced directly from the SPSS Correlations table (Assumption_Testing.pdf, p. 14). ** p &lt; .01 (2-tailed). N = 270 for all variable pairs; listwise exclusion; missing = 0. The threshold for problematic multicollinearity is typically r ≥ .80 (Hair et al., 2019). PCQ = Psychological Capital Questionnaire total mean; UWES = Utrecht Work Engagement Scale total mean; MSQ = Minnesota Satisfaction Questionnaire total mean. All correlations are significant at p &lt; .001.</w:t>
      </w:r>
    </w:p>
    <w:p w14:paraId="4A8F763F" w14:textId="77777777" w:rsidR="001624DC" w:rsidRDefault="00000000">
      <w:pPr>
        <w:spacing w:before="100" w:after="100" w:line="360" w:lineRule="auto"/>
        <w:ind w:firstLine="720"/>
        <w:jc w:val="both"/>
      </w:pPr>
      <w:r>
        <w:t>All bivariate correlations are positive and statistically significant at p &lt; .001 (two-tailed). The strongest association is observed between Work Engagement and Job Satisfaction (r = .651), followed by Psychological Capital and Work Engagement (r = .529), and Psychological Capital and Job Satisfaction (r = .482). All observed correlations are well below the .80 threshold, confirming the absence of problematic multicollinearity and establishing that the three variables maintain sufficient discriminant separation for regression analysis.</w:t>
      </w:r>
    </w:p>
    <w:p w14:paraId="7CB81DB5" w14:textId="77777777" w:rsidR="001624DC" w:rsidRDefault="00000000">
      <w:pPr>
        <w:spacing w:before="100" w:after="100" w:line="360" w:lineRule="auto"/>
        <w:ind w:firstLine="720"/>
        <w:jc w:val="both"/>
      </w:pPr>
      <w:r>
        <w:t>The pattern of correlations is theoretically congruent with the study's conceptual model: Psychological Capital is positively associated with both Work Engagement (the dependent variable) and Job Satisfaction (the proposed mediator), and Job Satisfaction is positively associated with Work Engagement. These relationships are consistent with the Conservation of Resources Theory (Hobfoll, 1989) and the Positive Organisational Behaviour framework (Luthans et al., 2007), which both predict that positive psychological resources will correlate positively with motivational and attitudinal work outcomes. The inter-predictor correlation (PCQ–MSQ: r = .482) further supports the plausibility of a mediated pathway and is well within acceptable bounds for mediation analysis (Hayes, 2018).</w:t>
      </w:r>
    </w:p>
    <w:p w14:paraId="3E58AC41" w14:textId="77777777" w:rsidR="001624DC" w:rsidRDefault="001624DC">
      <w:pPr>
        <w:spacing w:before="80" w:after="80"/>
      </w:pPr>
    </w:p>
    <w:p w14:paraId="6AD50B0F" w14:textId="77777777" w:rsidR="001624DC" w:rsidRDefault="00000000">
      <w:pPr>
        <w:pStyle w:val="Heading1"/>
        <w:ind w:left="240" w:right="240"/>
      </w:pPr>
      <w:r>
        <w:t>6.  Outlier Assessment</w:t>
      </w:r>
    </w:p>
    <w:p w14:paraId="0A16294D" w14:textId="77777777" w:rsidR="001624DC" w:rsidRDefault="00000000">
      <w:pPr>
        <w:spacing w:before="100" w:after="100" w:line="360" w:lineRule="auto"/>
        <w:ind w:firstLine="720"/>
        <w:jc w:val="both"/>
      </w:pPr>
      <w:r>
        <w:t>Potential outliers were identified through examination of the extreme values tables generated by the SPSS EXAMINE procedure (Assumption_Testing.pdf, pp. 3–4), supplemented by visual inspection of the boxplots. Table 6 presents the five highest and five lowest observed values for each composite variable, with substantive interpretations.</w:t>
      </w:r>
    </w:p>
    <w:p w14:paraId="0F3B235A" w14:textId="77777777" w:rsidR="001624DC" w:rsidRDefault="001624DC">
      <w:pPr>
        <w:spacing w:before="80" w:after="80"/>
      </w:pPr>
    </w:p>
    <w:p w14:paraId="6AC7E5E5" w14:textId="77777777" w:rsidR="001624DC" w:rsidRDefault="00000000">
      <w:pPr>
        <w:spacing w:before="240" w:after="80"/>
      </w:pPr>
      <w:r>
        <w:rPr>
          <w:b/>
          <w:bCs/>
        </w:rPr>
        <w:t xml:space="preserve">Table </w:t>
      </w:r>
      <w:proofErr w:type="gramStart"/>
      <w:r>
        <w:rPr>
          <w:b/>
          <w:bCs/>
        </w:rPr>
        <w:t>6</w:t>
      </w:r>
      <w:r>
        <w:t xml:space="preserve">  Extreme</w:t>
      </w:r>
      <w:proofErr w:type="gramEnd"/>
      <w:r>
        <w:t xml:space="preserve"> Values — Composite Variables (N = 270)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200"/>
        <w:gridCol w:w="1800"/>
        <w:gridCol w:w="1200"/>
        <w:gridCol w:w="2560"/>
      </w:tblGrid>
      <w:tr w:rsidR="001624DC" w14:paraId="094B5029" w14:textId="77777777">
        <w:tblPrEx>
          <w:tblCellMar>
            <w:top w:w="0" w:type="dxa"/>
            <w:bottom w:w="0" w:type="dxa"/>
          </w:tblCellMar>
        </w:tblPrEx>
        <w:tc>
          <w:tcPr>
            <w:tcW w:w="2600" w:type="dxa"/>
            <w:tcBorders>
              <w:top w:val="single" w:sz="1" w:space="0" w:color="B8CCE4"/>
              <w:left w:val="single" w:sz="1" w:space="0" w:color="B8CCE4"/>
              <w:bottom w:val="single" w:sz="1" w:space="0" w:color="B8CCE4"/>
              <w:right w:val="single" w:sz="1" w:space="0" w:color="B8CCE4"/>
            </w:tcBorders>
            <w:shd w:val="clear" w:color="auto" w:fill="1F3864"/>
            <w:tcMar>
              <w:top w:w="100" w:type="dxa"/>
              <w:left w:w="140" w:type="dxa"/>
              <w:bottom w:w="100" w:type="dxa"/>
              <w:right w:w="140" w:type="dxa"/>
            </w:tcMar>
            <w:vAlign w:val="center"/>
          </w:tcPr>
          <w:p w14:paraId="11CB76DC" w14:textId="77777777" w:rsidR="001624DC" w:rsidRDefault="00000000">
            <w:pPr>
              <w:jc w:val="center"/>
            </w:pPr>
            <w:r>
              <w:rPr>
                <w:b/>
                <w:bCs/>
                <w:color w:val="FFFFFF"/>
                <w:sz w:val="20"/>
                <w:szCs w:val="20"/>
              </w:rPr>
              <w:t>Variable</w:t>
            </w:r>
          </w:p>
        </w:tc>
        <w:tc>
          <w:tcPr>
            <w:tcW w:w="1200" w:type="dxa"/>
            <w:tcBorders>
              <w:top w:val="single" w:sz="1" w:space="0" w:color="B8CCE4"/>
              <w:left w:val="single" w:sz="1" w:space="0" w:color="B8CCE4"/>
              <w:bottom w:val="single" w:sz="1" w:space="0" w:color="B8CCE4"/>
              <w:right w:val="single" w:sz="1" w:space="0" w:color="B8CCE4"/>
            </w:tcBorders>
            <w:shd w:val="clear" w:color="auto" w:fill="1F3864"/>
            <w:tcMar>
              <w:top w:w="100" w:type="dxa"/>
              <w:left w:w="140" w:type="dxa"/>
              <w:bottom w:w="100" w:type="dxa"/>
              <w:right w:w="140" w:type="dxa"/>
            </w:tcMar>
            <w:vAlign w:val="center"/>
          </w:tcPr>
          <w:p w14:paraId="459B825B" w14:textId="77777777" w:rsidR="001624DC" w:rsidRDefault="00000000">
            <w:pPr>
              <w:jc w:val="center"/>
            </w:pPr>
            <w:r>
              <w:rPr>
                <w:b/>
                <w:bCs/>
                <w:color w:val="FFFFFF"/>
                <w:sz w:val="20"/>
                <w:szCs w:val="20"/>
              </w:rPr>
              <w:t>Position</w:t>
            </w:r>
          </w:p>
        </w:tc>
        <w:tc>
          <w:tcPr>
            <w:tcW w:w="1800" w:type="dxa"/>
            <w:tcBorders>
              <w:top w:val="single" w:sz="1" w:space="0" w:color="B8CCE4"/>
              <w:left w:val="single" w:sz="1" w:space="0" w:color="B8CCE4"/>
              <w:bottom w:val="single" w:sz="1" w:space="0" w:color="B8CCE4"/>
              <w:right w:val="single" w:sz="1" w:space="0" w:color="B8CCE4"/>
            </w:tcBorders>
            <w:shd w:val="clear" w:color="auto" w:fill="1F3864"/>
            <w:tcMar>
              <w:top w:w="100" w:type="dxa"/>
              <w:left w:w="140" w:type="dxa"/>
              <w:bottom w:w="100" w:type="dxa"/>
              <w:right w:w="140" w:type="dxa"/>
            </w:tcMar>
            <w:vAlign w:val="center"/>
          </w:tcPr>
          <w:p w14:paraId="79E4ABE1" w14:textId="77777777" w:rsidR="001624DC" w:rsidRDefault="00000000">
            <w:pPr>
              <w:jc w:val="center"/>
            </w:pPr>
            <w:r>
              <w:rPr>
                <w:b/>
                <w:bCs/>
                <w:color w:val="FFFFFF"/>
                <w:sz w:val="20"/>
                <w:szCs w:val="20"/>
              </w:rPr>
              <w:t>Case Number</w:t>
            </w:r>
          </w:p>
        </w:tc>
        <w:tc>
          <w:tcPr>
            <w:tcW w:w="1200" w:type="dxa"/>
            <w:tcBorders>
              <w:top w:val="single" w:sz="1" w:space="0" w:color="B8CCE4"/>
              <w:left w:val="single" w:sz="1" w:space="0" w:color="B8CCE4"/>
              <w:bottom w:val="single" w:sz="1" w:space="0" w:color="B8CCE4"/>
              <w:right w:val="single" w:sz="1" w:space="0" w:color="B8CCE4"/>
            </w:tcBorders>
            <w:shd w:val="clear" w:color="auto" w:fill="1F3864"/>
            <w:tcMar>
              <w:top w:w="100" w:type="dxa"/>
              <w:left w:w="140" w:type="dxa"/>
              <w:bottom w:w="100" w:type="dxa"/>
              <w:right w:w="140" w:type="dxa"/>
            </w:tcMar>
            <w:vAlign w:val="center"/>
          </w:tcPr>
          <w:p w14:paraId="54A2DA3D" w14:textId="77777777" w:rsidR="001624DC" w:rsidRDefault="00000000">
            <w:pPr>
              <w:jc w:val="center"/>
            </w:pPr>
            <w:r>
              <w:rPr>
                <w:b/>
                <w:bCs/>
                <w:color w:val="FFFFFF"/>
                <w:sz w:val="20"/>
                <w:szCs w:val="20"/>
              </w:rPr>
              <w:t>Value</w:t>
            </w:r>
          </w:p>
        </w:tc>
        <w:tc>
          <w:tcPr>
            <w:tcW w:w="2560" w:type="dxa"/>
            <w:tcBorders>
              <w:top w:val="single" w:sz="1" w:space="0" w:color="B8CCE4"/>
              <w:left w:val="single" w:sz="1" w:space="0" w:color="B8CCE4"/>
              <w:bottom w:val="single" w:sz="1" w:space="0" w:color="B8CCE4"/>
              <w:right w:val="single" w:sz="1" w:space="0" w:color="B8CCE4"/>
            </w:tcBorders>
            <w:shd w:val="clear" w:color="auto" w:fill="1F3864"/>
            <w:tcMar>
              <w:top w:w="100" w:type="dxa"/>
              <w:left w:w="140" w:type="dxa"/>
              <w:bottom w:w="100" w:type="dxa"/>
              <w:right w:w="140" w:type="dxa"/>
            </w:tcMar>
            <w:vAlign w:val="center"/>
          </w:tcPr>
          <w:p w14:paraId="069B279C" w14:textId="77777777" w:rsidR="001624DC" w:rsidRDefault="00000000">
            <w:pPr>
              <w:jc w:val="center"/>
            </w:pPr>
            <w:r>
              <w:rPr>
                <w:b/>
                <w:bCs/>
                <w:color w:val="FFFFFF"/>
                <w:sz w:val="20"/>
                <w:szCs w:val="20"/>
              </w:rPr>
              <w:t>Interpretation</w:t>
            </w:r>
          </w:p>
        </w:tc>
      </w:tr>
      <w:tr w:rsidR="001624DC" w14:paraId="719F7604" w14:textId="77777777">
        <w:tblPrEx>
          <w:tblCellMar>
            <w:top w:w="0" w:type="dxa"/>
            <w:bottom w:w="0" w:type="dxa"/>
          </w:tblCellMar>
        </w:tblPrEx>
        <w:tc>
          <w:tcPr>
            <w:tcW w:w="2600" w:type="dxa"/>
            <w:tcBorders>
              <w:top w:val="single" w:sz="1" w:space="0" w:color="B8CCE4"/>
              <w:left w:val="single" w:sz="1" w:space="0" w:color="B8CCE4"/>
              <w:bottom w:val="single" w:sz="1" w:space="0" w:color="B8CCE4"/>
              <w:right w:val="single" w:sz="1" w:space="0" w:color="B8CCE4"/>
            </w:tcBorders>
            <w:shd w:val="clear" w:color="auto" w:fill="F2F7FF"/>
            <w:tcMar>
              <w:top w:w="100" w:type="dxa"/>
              <w:left w:w="140" w:type="dxa"/>
              <w:bottom w:w="100" w:type="dxa"/>
              <w:right w:w="140" w:type="dxa"/>
            </w:tcMar>
            <w:vAlign w:val="center"/>
          </w:tcPr>
          <w:p w14:paraId="294EE91F" w14:textId="77777777" w:rsidR="001624DC" w:rsidRDefault="00000000">
            <w:r>
              <w:rPr>
                <w:b/>
                <w:bCs/>
                <w:sz w:val="20"/>
                <w:szCs w:val="20"/>
              </w:rPr>
              <w:t>PCQ Total Mean</w:t>
            </w:r>
          </w:p>
        </w:tc>
        <w:tc>
          <w:tcPr>
            <w:tcW w:w="1200" w:type="dxa"/>
            <w:tcBorders>
              <w:top w:val="single" w:sz="1" w:space="0" w:color="B8CCE4"/>
              <w:left w:val="single" w:sz="1" w:space="0" w:color="B8CCE4"/>
              <w:bottom w:val="single" w:sz="1" w:space="0" w:color="B8CCE4"/>
              <w:right w:val="single" w:sz="1" w:space="0" w:color="B8CCE4"/>
            </w:tcBorders>
            <w:shd w:val="clear" w:color="auto" w:fill="F2F7FF"/>
            <w:tcMar>
              <w:top w:w="100" w:type="dxa"/>
              <w:left w:w="140" w:type="dxa"/>
              <w:bottom w:w="100" w:type="dxa"/>
              <w:right w:w="140" w:type="dxa"/>
            </w:tcMar>
            <w:vAlign w:val="center"/>
          </w:tcPr>
          <w:p w14:paraId="535214E4" w14:textId="77777777" w:rsidR="001624DC" w:rsidRDefault="00000000">
            <w:pPr>
              <w:jc w:val="center"/>
            </w:pPr>
            <w:r>
              <w:rPr>
                <w:sz w:val="20"/>
                <w:szCs w:val="20"/>
              </w:rPr>
              <w:t>Highest 1</w:t>
            </w:r>
          </w:p>
        </w:tc>
        <w:tc>
          <w:tcPr>
            <w:tcW w:w="1800" w:type="dxa"/>
            <w:tcBorders>
              <w:top w:val="single" w:sz="1" w:space="0" w:color="B8CCE4"/>
              <w:left w:val="single" w:sz="1" w:space="0" w:color="B8CCE4"/>
              <w:bottom w:val="single" w:sz="1" w:space="0" w:color="B8CCE4"/>
              <w:right w:val="single" w:sz="1" w:space="0" w:color="B8CCE4"/>
            </w:tcBorders>
            <w:shd w:val="clear" w:color="auto" w:fill="F2F7FF"/>
            <w:tcMar>
              <w:top w:w="100" w:type="dxa"/>
              <w:left w:w="140" w:type="dxa"/>
              <w:bottom w:w="100" w:type="dxa"/>
              <w:right w:w="140" w:type="dxa"/>
            </w:tcMar>
            <w:vAlign w:val="center"/>
          </w:tcPr>
          <w:p w14:paraId="0EF84560" w14:textId="77777777" w:rsidR="001624DC" w:rsidRDefault="00000000">
            <w:pPr>
              <w:jc w:val="center"/>
            </w:pPr>
            <w:r>
              <w:rPr>
                <w:sz w:val="20"/>
                <w:szCs w:val="20"/>
              </w:rPr>
              <w:t>182</w:t>
            </w:r>
          </w:p>
        </w:tc>
        <w:tc>
          <w:tcPr>
            <w:tcW w:w="1200" w:type="dxa"/>
            <w:tcBorders>
              <w:top w:val="single" w:sz="1" w:space="0" w:color="B8CCE4"/>
              <w:left w:val="single" w:sz="1" w:space="0" w:color="B8CCE4"/>
              <w:bottom w:val="single" w:sz="1" w:space="0" w:color="B8CCE4"/>
              <w:right w:val="single" w:sz="1" w:space="0" w:color="B8CCE4"/>
            </w:tcBorders>
            <w:shd w:val="clear" w:color="auto" w:fill="F2F7FF"/>
            <w:tcMar>
              <w:top w:w="100" w:type="dxa"/>
              <w:left w:w="140" w:type="dxa"/>
              <w:bottom w:w="100" w:type="dxa"/>
              <w:right w:w="140" w:type="dxa"/>
            </w:tcMar>
            <w:vAlign w:val="center"/>
          </w:tcPr>
          <w:p w14:paraId="658A1F7B" w14:textId="77777777" w:rsidR="001624DC" w:rsidRDefault="00000000">
            <w:pPr>
              <w:jc w:val="center"/>
            </w:pPr>
            <w:r>
              <w:rPr>
                <w:b/>
                <w:bCs/>
                <w:sz w:val="20"/>
                <w:szCs w:val="20"/>
              </w:rPr>
              <w:t>5.33</w:t>
            </w:r>
          </w:p>
        </w:tc>
        <w:tc>
          <w:tcPr>
            <w:tcW w:w="2560" w:type="dxa"/>
            <w:tcBorders>
              <w:top w:val="single" w:sz="1" w:space="0" w:color="B8CCE4"/>
              <w:left w:val="single" w:sz="1" w:space="0" w:color="B8CCE4"/>
              <w:bottom w:val="single" w:sz="1" w:space="0" w:color="B8CCE4"/>
              <w:right w:val="single" w:sz="1" w:space="0" w:color="B8CCE4"/>
            </w:tcBorders>
            <w:shd w:val="clear" w:color="auto" w:fill="F2F7FF"/>
            <w:tcMar>
              <w:top w:w="100" w:type="dxa"/>
              <w:left w:w="140" w:type="dxa"/>
              <w:bottom w:w="100" w:type="dxa"/>
              <w:right w:w="140" w:type="dxa"/>
            </w:tcMar>
            <w:vAlign w:val="center"/>
          </w:tcPr>
          <w:p w14:paraId="7EE6A6F1" w14:textId="77777777" w:rsidR="001624DC" w:rsidRDefault="00000000">
            <w:r>
              <w:rPr>
                <w:i/>
                <w:iCs/>
                <w:color w:val="595959"/>
                <w:sz w:val="20"/>
                <w:szCs w:val="20"/>
              </w:rPr>
              <w:t>Within valid range (max = 6.0); no concern</w:t>
            </w:r>
          </w:p>
        </w:tc>
      </w:tr>
      <w:tr w:rsidR="001624DC" w14:paraId="547EDE8E" w14:textId="77777777">
        <w:tblPrEx>
          <w:tblCellMar>
            <w:top w:w="0" w:type="dxa"/>
            <w:bottom w:w="0" w:type="dxa"/>
          </w:tblCellMar>
        </w:tblPrEx>
        <w:tc>
          <w:tcPr>
            <w:tcW w:w="26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0D7F6B12" w14:textId="77777777" w:rsidR="001624DC" w:rsidRDefault="001624DC"/>
        </w:tc>
        <w:tc>
          <w:tcPr>
            <w:tcW w:w="12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6C3B4F81" w14:textId="77777777" w:rsidR="001624DC" w:rsidRDefault="00000000">
            <w:pPr>
              <w:jc w:val="center"/>
            </w:pPr>
            <w:r>
              <w:rPr>
                <w:sz w:val="20"/>
                <w:szCs w:val="20"/>
              </w:rPr>
              <w:t>Highest 2</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3A65EA05" w14:textId="77777777" w:rsidR="001624DC" w:rsidRDefault="00000000">
            <w:pPr>
              <w:jc w:val="center"/>
            </w:pPr>
            <w:r>
              <w:rPr>
                <w:sz w:val="20"/>
                <w:szCs w:val="20"/>
              </w:rPr>
              <w:t>198</w:t>
            </w:r>
          </w:p>
        </w:tc>
        <w:tc>
          <w:tcPr>
            <w:tcW w:w="12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72CF99DB" w14:textId="77777777" w:rsidR="001624DC" w:rsidRDefault="00000000">
            <w:pPr>
              <w:jc w:val="center"/>
            </w:pPr>
            <w:r>
              <w:rPr>
                <w:b/>
                <w:bCs/>
                <w:sz w:val="20"/>
                <w:szCs w:val="20"/>
              </w:rPr>
              <w:t>5.33</w:t>
            </w:r>
          </w:p>
        </w:tc>
        <w:tc>
          <w:tcPr>
            <w:tcW w:w="256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214E50CF" w14:textId="77777777" w:rsidR="001624DC" w:rsidRDefault="001624DC"/>
        </w:tc>
      </w:tr>
      <w:tr w:rsidR="001624DC" w14:paraId="70CD5E3D" w14:textId="77777777">
        <w:tblPrEx>
          <w:tblCellMar>
            <w:top w:w="0" w:type="dxa"/>
            <w:bottom w:w="0" w:type="dxa"/>
          </w:tblCellMar>
        </w:tblPrEx>
        <w:tc>
          <w:tcPr>
            <w:tcW w:w="26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222CC0C2" w14:textId="77777777" w:rsidR="001624DC" w:rsidRDefault="001624DC"/>
        </w:tc>
        <w:tc>
          <w:tcPr>
            <w:tcW w:w="12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29EB9DC8" w14:textId="77777777" w:rsidR="001624DC" w:rsidRDefault="00000000">
            <w:pPr>
              <w:jc w:val="center"/>
            </w:pPr>
            <w:r>
              <w:rPr>
                <w:sz w:val="20"/>
                <w:szCs w:val="20"/>
              </w:rPr>
              <w:t>Lowest 1</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4F10CA30" w14:textId="77777777" w:rsidR="001624DC" w:rsidRDefault="00000000">
            <w:pPr>
              <w:jc w:val="center"/>
            </w:pPr>
            <w:r>
              <w:rPr>
                <w:sz w:val="20"/>
                <w:szCs w:val="20"/>
              </w:rPr>
              <w:t>139</w:t>
            </w:r>
          </w:p>
        </w:tc>
        <w:tc>
          <w:tcPr>
            <w:tcW w:w="12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522966AF" w14:textId="77777777" w:rsidR="001624DC" w:rsidRDefault="00000000">
            <w:pPr>
              <w:jc w:val="center"/>
            </w:pPr>
            <w:r>
              <w:rPr>
                <w:b/>
                <w:bCs/>
                <w:sz w:val="20"/>
                <w:szCs w:val="20"/>
              </w:rPr>
              <w:t>2.04</w:t>
            </w:r>
          </w:p>
        </w:tc>
        <w:tc>
          <w:tcPr>
            <w:tcW w:w="256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195519D9" w14:textId="77777777" w:rsidR="001624DC" w:rsidRDefault="00000000">
            <w:r>
              <w:rPr>
                <w:i/>
                <w:iCs/>
                <w:color w:val="595959"/>
                <w:sz w:val="20"/>
                <w:szCs w:val="20"/>
              </w:rPr>
              <w:t>Notably low; retained — plausible authentic score</w:t>
            </w:r>
          </w:p>
        </w:tc>
      </w:tr>
      <w:tr w:rsidR="001624DC" w14:paraId="450C67DE" w14:textId="77777777">
        <w:tblPrEx>
          <w:tblCellMar>
            <w:top w:w="0" w:type="dxa"/>
            <w:bottom w:w="0" w:type="dxa"/>
          </w:tblCellMar>
        </w:tblPrEx>
        <w:tc>
          <w:tcPr>
            <w:tcW w:w="26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11A54426" w14:textId="77777777" w:rsidR="001624DC" w:rsidRDefault="001624DC"/>
        </w:tc>
        <w:tc>
          <w:tcPr>
            <w:tcW w:w="12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0C340E32" w14:textId="77777777" w:rsidR="001624DC" w:rsidRDefault="00000000">
            <w:pPr>
              <w:jc w:val="center"/>
            </w:pPr>
            <w:r>
              <w:rPr>
                <w:sz w:val="20"/>
                <w:szCs w:val="20"/>
              </w:rPr>
              <w:t>Lowest 2</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441143F8" w14:textId="77777777" w:rsidR="001624DC" w:rsidRDefault="00000000">
            <w:pPr>
              <w:jc w:val="center"/>
            </w:pPr>
            <w:r>
              <w:rPr>
                <w:sz w:val="20"/>
                <w:szCs w:val="20"/>
              </w:rPr>
              <w:t>210</w:t>
            </w:r>
          </w:p>
        </w:tc>
        <w:tc>
          <w:tcPr>
            <w:tcW w:w="12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65695696" w14:textId="77777777" w:rsidR="001624DC" w:rsidRDefault="00000000">
            <w:pPr>
              <w:jc w:val="center"/>
            </w:pPr>
            <w:r>
              <w:rPr>
                <w:b/>
                <w:bCs/>
                <w:sz w:val="20"/>
                <w:szCs w:val="20"/>
              </w:rPr>
              <w:t>2.38</w:t>
            </w:r>
          </w:p>
        </w:tc>
        <w:tc>
          <w:tcPr>
            <w:tcW w:w="256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152B9C00" w14:textId="77777777" w:rsidR="001624DC" w:rsidRDefault="001624DC"/>
        </w:tc>
      </w:tr>
      <w:tr w:rsidR="001624DC" w14:paraId="23118C9C" w14:textId="77777777">
        <w:tblPrEx>
          <w:tblCellMar>
            <w:top w:w="0" w:type="dxa"/>
            <w:bottom w:w="0" w:type="dxa"/>
          </w:tblCellMar>
        </w:tblPrEx>
        <w:tc>
          <w:tcPr>
            <w:tcW w:w="2600" w:type="dxa"/>
            <w:tcBorders>
              <w:top w:val="single" w:sz="1" w:space="0" w:color="B8CCE4"/>
              <w:left w:val="single" w:sz="1" w:space="0" w:color="B8CCE4"/>
              <w:bottom w:val="single" w:sz="1" w:space="0" w:color="B8CCE4"/>
              <w:right w:val="single" w:sz="1" w:space="0" w:color="B8CCE4"/>
            </w:tcBorders>
            <w:shd w:val="clear" w:color="auto" w:fill="F2F7FF"/>
            <w:tcMar>
              <w:top w:w="100" w:type="dxa"/>
              <w:left w:w="140" w:type="dxa"/>
              <w:bottom w:w="100" w:type="dxa"/>
              <w:right w:w="140" w:type="dxa"/>
            </w:tcMar>
            <w:vAlign w:val="center"/>
          </w:tcPr>
          <w:p w14:paraId="07F98E83" w14:textId="77777777" w:rsidR="001624DC" w:rsidRDefault="00000000">
            <w:r>
              <w:rPr>
                <w:b/>
                <w:bCs/>
                <w:sz w:val="20"/>
                <w:szCs w:val="20"/>
              </w:rPr>
              <w:t>UWES Total Mean</w:t>
            </w:r>
          </w:p>
        </w:tc>
        <w:tc>
          <w:tcPr>
            <w:tcW w:w="1200" w:type="dxa"/>
            <w:tcBorders>
              <w:top w:val="single" w:sz="1" w:space="0" w:color="B8CCE4"/>
              <w:left w:val="single" w:sz="1" w:space="0" w:color="B8CCE4"/>
              <w:bottom w:val="single" w:sz="1" w:space="0" w:color="B8CCE4"/>
              <w:right w:val="single" w:sz="1" w:space="0" w:color="B8CCE4"/>
            </w:tcBorders>
            <w:shd w:val="clear" w:color="auto" w:fill="F2F7FF"/>
            <w:tcMar>
              <w:top w:w="100" w:type="dxa"/>
              <w:left w:w="140" w:type="dxa"/>
              <w:bottom w:w="100" w:type="dxa"/>
              <w:right w:w="140" w:type="dxa"/>
            </w:tcMar>
            <w:vAlign w:val="center"/>
          </w:tcPr>
          <w:p w14:paraId="0BDCE96C" w14:textId="77777777" w:rsidR="001624DC" w:rsidRDefault="00000000">
            <w:pPr>
              <w:jc w:val="center"/>
            </w:pPr>
            <w:r>
              <w:rPr>
                <w:sz w:val="20"/>
                <w:szCs w:val="20"/>
              </w:rPr>
              <w:t>Highest 1</w:t>
            </w:r>
          </w:p>
        </w:tc>
        <w:tc>
          <w:tcPr>
            <w:tcW w:w="1800" w:type="dxa"/>
            <w:tcBorders>
              <w:top w:val="single" w:sz="1" w:space="0" w:color="B8CCE4"/>
              <w:left w:val="single" w:sz="1" w:space="0" w:color="B8CCE4"/>
              <w:bottom w:val="single" w:sz="1" w:space="0" w:color="B8CCE4"/>
              <w:right w:val="single" w:sz="1" w:space="0" w:color="B8CCE4"/>
            </w:tcBorders>
            <w:shd w:val="clear" w:color="auto" w:fill="F2F7FF"/>
            <w:tcMar>
              <w:top w:w="100" w:type="dxa"/>
              <w:left w:w="140" w:type="dxa"/>
              <w:bottom w:w="100" w:type="dxa"/>
              <w:right w:w="140" w:type="dxa"/>
            </w:tcMar>
            <w:vAlign w:val="center"/>
          </w:tcPr>
          <w:p w14:paraId="34F37FB2" w14:textId="77777777" w:rsidR="001624DC" w:rsidRDefault="00000000">
            <w:pPr>
              <w:jc w:val="center"/>
            </w:pPr>
            <w:r>
              <w:rPr>
                <w:sz w:val="20"/>
                <w:szCs w:val="20"/>
              </w:rPr>
              <w:t>140</w:t>
            </w:r>
          </w:p>
        </w:tc>
        <w:tc>
          <w:tcPr>
            <w:tcW w:w="1200" w:type="dxa"/>
            <w:tcBorders>
              <w:top w:val="single" w:sz="1" w:space="0" w:color="B8CCE4"/>
              <w:left w:val="single" w:sz="1" w:space="0" w:color="B8CCE4"/>
              <w:bottom w:val="single" w:sz="1" w:space="0" w:color="B8CCE4"/>
              <w:right w:val="single" w:sz="1" w:space="0" w:color="B8CCE4"/>
            </w:tcBorders>
            <w:shd w:val="clear" w:color="auto" w:fill="F2F7FF"/>
            <w:tcMar>
              <w:top w:w="100" w:type="dxa"/>
              <w:left w:w="140" w:type="dxa"/>
              <w:bottom w:w="100" w:type="dxa"/>
              <w:right w:w="140" w:type="dxa"/>
            </w:tcMar>
            <w:vAlign w:val="center"/>
          </w:tcPr>
          <w:p w14:paraId="7C7690A0" w14:textId="77777777" w:rsidR="001624DC" w:rsidRDefault="00000000">
            <w:pPr>
              <w:jc w:val="center"/>
            </w:pPr>
            <w:r>
              <w:rPr>
                <w:b/>
                <w:bCs/>
                <w:sz w:val="20"/>
                <w:szCs w:val="20"/>
              </w:rPr>
              <w:t>6.00</w:t>
            </w:r>
          </w:p>
        </w:tc>
        <w:tc>
          <w:tcPr>
            <w:tcW w:w="2560" w:type="dxa"/>
            <w:tcBorders>
              <w:top w:val="single" w:sz="1" w:space="0" w:color="B8CCE4"/>
              <w:left w:val="single" w:sz="1" w:space="0" w:color="B8CCE4"/>
              <w:bottom w:val="single" w:sz="1" w:space="0" w:color="B8CCE4"/>
              <w:right w:val="single" w:sz="1" w:space="0" w:color="B8CCE4"/>
            </w:tcBorders>
            <w:shd w:val="clear" w:color="auto" w:fill="F2F7FF"/>
            <w:tcMar>
              <w:top w:w="100" w:type="dxa"/>
              <w:left w:w="140" w:type="dxa"/>
              <w:bottom w:w="100" w:type="dxa"/>
              <w:right w:w="140" w:type="dxa"/>
            </w:tcMar>
            <w:vAlign w:val="center"/>
          </w:tcPr>
          <w:p w14:paraId="6B973678" w14:textId="77777777" w:rsidR="001624DC" w:rsidRDefault="00000000">
            <w:r>
              <w:rPr>
                <w:i/>
                <w:iCs/>
                <w:color w:val="595959"/>
                <w:sz w:val="20"/>
                <w:szCs w:val="20"/>
              </w:rPr>
              <w:t>Maximum possible score; within range</w:t>
            </w:r>
          </w:p>
        </w:tc>
      </w:tr>
      <w:tr w:rsidR="001624DC" w14:paraId="0D37954C" w14:textId="77777777">
        <w:tblPrEx>
          <w:tblCellMar>
            <w:top w:w="0" w:type="dxa"/>
            <w:bottom w:w="0" w:type="dxa"/>
          </w:tblCellMar>
        </w:tblPrEx>
        <w:tc>
          <w:tcPr>
            <w:tcW w:w="26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734C0F9D" w14:textId="77777777" w:rsidR="001624DC" w:rsidRDefault="001624DC"/>
        </w:tc>
        <w:tc>
          <w:tcPr>
            <w:tcW w:w="12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47FFFD29" w14:textId="77777777" w:rsidR="001624DC" w:rsidRDefault="00000000">
            <w:pPr>
              <w:jc w:val="center"/>
            </w:pPr>
            <w:r>
              <w:rPr>
                <w:sz w:val="20"/>
                <w:szCs w:val="20"/>
              </w:rPr>
              <w:t>Highest 2</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429FE2F0" w14:textId="77777777" w:rsidR="001624DC" w:rsidRDefault="00000000">
            <w:pPr>
              <w:jc w:val="center"/>
            </w:pPr>
            <w:r>
              <w:rPr>
                <w:sz w:val="20"/>
                <w:szCs w:val="20"/>
              </w:rPr>
              <w:t>163</w:t>
            </w:r>
          </w:p>
        </w:tc>
        <w:tc>
          <w:tcPr>
            <w:tcW w:w="12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0AD1F140" w14:textId="77777777" w:rsidR="001624DC" w:rsidRDefault="00000000">
            <w:pPr>
              <w:jc w:val="center"/>
            </w:pPr>
            <w:r>
              <w:rPr>
                <w:b/>
                <w:bCs/>
                <w:sz w:val="20"/>
                <w:szCs w:val="20"/>
              </w:rPr>
              <w:t>6.00</w:t>
            </w:r>
          </w:p>
        </w:tc>
        <w:tc>
          <w:tcPr>
            <w:tcW w:w="256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3320D27B" w14:textId="77777777" w:rsidR="001624DC" w:rsidRDefault="001624DC"/>
        </w:tc>
      </w:tr>
      <w:tr w:rsidR="001624DC" w14:paraId="4EEAFD0C" w14:textId="77777777">
        <w:tblPrEx>
          <w:tblCellMar>
            <w:top w:w="0" w:type="dxa"/>
            <w:bottom w:w="0" w:type="dxa"/>
          </w:tblCellMar>
        </w:tblPrEx>
        <w:tc>
          <w:tcPr>
            <w:tcW w:w="26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28674B91" w14:textId="77777777" w:rsidR="001624DC" w:rsidRDefault="001624DC"/>
        </w:tc>
        <w:tc>
          <w:tcPr>
            <w:tcW w:w="12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1DCAD40B" w14:textId="77777777" w:rsidR="001624DC" w:rsidRDefault="00000000">
            <w:pPr>
              <w:jc w:val="center"/>
            </w:pPr>
            <w:r>
              <w:rPr>
                <w:sz w:val="20"/>
                <w:szCs w:val="20"/>
              </w:rPr>
              <w:t>Lowest 1</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09355FB9" w14:textId="77777777" w:rsidR="001624DC" w:rsidRDefault="00000000">
            <w:pPr>
              <w:jc w:val="center"/>
            </w:pPr>
            <w:r>
              <w:rPr>
                <w:sz w:val="20"/>
                <w:szCs w:val="20"/>
              </w:rPr>
              <w:t>241</w:t>
            </w:r>
          </w:p>
        </w:tc>
        <w:tc>
          <w:tcPr>
            <w:tcW w:w="12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5FA5F8BF" w14:textId="77777777" w:rsidR="001624DC" w:rsidRDefault="00000000">
            <w:pPr>
              <w:jc w:val="center"/>
            </w:pPr>
            <w:r>
              <w:rPr>
                <w:b/>
                <w:bCs/>
                <w:sz w:val="20"/>
                <w:szCs w:val="20"/>
              </w:rPr>
              <w:t>1.44</w:t>
            </w:r>
          </w:p>
        </w:tc>
        <w:tc>
          <w:tcPr>
            <w:tcW w:w="256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7D44AE98" w14:textId="77777777" w:rsidR="001624DC" w:rsidRDefault="00000000">
            <w:r>
              <w:rPr>
                <w:i/>
                <w:iCs/>
                <w:color w:val="595959"/>
                <w:sz w:val="20"/>
                <w:szCs w:val="20"/>
              </w:rPr>
              <w:t>Notably low; retained — no evidence of error</w:t>
            </w:r>
          </w:p>
        </w:tc>
      </w:tr>
      <w:tr w:rsidR="001624DC" w14:paraId="312E4CD6" w14:textId="77777777">
        <w:tblPrEx>
          <w:tblCellMar>
            <w:top w:w="0" w:type="dxa"/>
            <w:bottom w:w="0" w:type="dxa"/>
          </w:tblCellMar>
        </w:tblPrEx>
        <w:tc>
          <w:tcPr>
            <w:tcW w:w="26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27FA8AB4" w14:textId="77777777" w:rsidR="001624DC" w:rsidRDefault="001624DC"/>
        </w:tc>
        <w:tc>
          <w:tcPr>
            <w:tcW w:w="12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51A7F0F5" w14:textId="77777777" w:rsidR="001624DC" w:rsidRDefault="00000000">
            <w:pPr>
              <w:jc w:val="center"/>
            </w:pPr>
            <w:r>
              <w:rPr>
                <w:sz w:val="20"/>
                <w:szCs w:val="20"/>
              </w:rPr>
              <w:t>Lowest 2</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32D3D17A" w14:textId="77777777" w:rsidR="001624DC" w:rsidRDefault="00000000">
            <w:pPr>
              <w:jc w:val="center"/>
            </w:pPr>
            <w:r>
              <w:rPr>
                <w:sz w:val="20"/>
                <w:szCs w:val="20"/>
              </w:rPr>
              <w:t>153</w:t>
            </w:r>
          </w:p>
        </w:tc>
        <w:tc>
          <w:tcPr>
            <w:tcW w:w="12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0318136F" w14:textId="77777777" w:rsidR="001624DC" w:rsidRDefault="00000000">
            <w:pPr>
              <w:jc w:val="center"/>
            </w:pPr>
            <w:r>
              <w:rPr>
                <w:b/>
                <w:bCs/>
                <w:sz w:val="20"/>
                <w:szCs w:val="20"/>
              </w:rPr>
              <w:t>1.56</w:t>
            </w:r>
          </w:p>
        </w:tc>
        <w:tc>
          <w:tcPr>
            <w:tcW w:w="256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4DAE4232" w14:textId="77777777" w:rsidR="001624DC" w:rsidRDefault="001624DC"/>
        </w:tc>
      </w:tr>
      <w:tr w:rsidR="001624DC" w14:paraId="288C2BE9" w14:textId="77777777">
        <w:tblPrEx>
          <w:tblCellMar>
            <w:top w:w="0" w:type="dxa"/>
            <w:bottom w:w="0" w:type="dxa"/>
          </w:tblCellMar>
        </w:tblPrEx>
        <w:tc>
          <w:tcPr>
            <w:tcW w:w="2600" w:type="dxa"/>
            <w:tcBorders>
              <w:top w:val="single" w:sz="1" w:space="0" w:color="B8CCE4"/>
              <w:left w:val="single" w:sz="1" w:space="0" w:color="B8CCE4"/>
              <w:bottom w:val="single" w:sz="1" w:space="0" w:color="B8CCE4"/>
              <w:right w:val="single" w:sz="1" w:space="0" w:color="B8CCE4"/>
            </w:tcBorders>
            <w:shd w:val="clear" w:color="auto" w:fill="F2F7FF"/>
            <w:tcMar>
              <w:top w:w="100" w:type="dxa"/>
              <w:left w:w="140" w:type="dxa"/>
              <w:bottom w:w="100" w:type="dxa"/>
              <w:right w:w="140" w:type="dxa"/>
            </w:tcMar>
            <w:vAlign w:val="center"/>
          </w:tcPr>
          <w:p w14:paraId="584681F6" w14:textId="77777777" w:rsidR="001624DC" w:rsidRDefault="00000000">
            <w:r>
              <w:rPr>
                <w:b/>
                <w:bCs/>
                <w:sz w:val="20"/>
                <w:szCs w:val="20"/>
              </w:rPr>
              <w:t>MSQ Total Mean</w:t>
            </w:r>
          </w:p>
        </w:tc>
        <w:tc>
          <w:tcPr>
            <w:tcW w:w="1200" w:type="dxa"/>
            <w:tcBorders>
              <w:top w:val="single" w:sz="1" w:space="0" w:color="B8CCE4"/>
              <w:left w:val="single" w:sz="1" w:space="0" w:color="B8CCE4"/>
              <w:bottom w:val="single" w:sz="1" w:space="0" w:color="B8CCE4"/>
              <w:right w:val="single" w:sz="1" w:space="0" w:color="B8CCE4"/>
            </w:tcBorders>
            <w:shd w:val="clear" w:color="auto" w:fill="F2F7FF"/>
            <w:tcMar>
              <w:top w:w="100" w:type="dxa"/>
              <w:left w:w="140" w:type="dxa"/>
              <w:bottom w:w="100" w:type="dxa"/>
              <w:right w:w="140" w:type="dxa"/>
            </w:tcMar>
            <w:vAlign w:val="center"/>
          </w:tcPr>
          <w:p w14:paraId="23F49A81" w14:textId="77777777" w:rsidR="001624DC" w:rsidRDefault="00000000">
            <w:pPr>
              <w:jc w:val="center"/>
            </w:pPr>
            <w:r>
              <w:rPr>
                <w:sz w:val="20"/>
                <w:szCs w:val="20"/>
              </w:rPr>
              <w:t>Highest 1</w:t>
            </w:r>
          </w:p>
        </w:tc>
        <w:tc>
          <w:tcPr>
            <w:tcW w:w="1800" w:type="dxa"/>
            <w:tcBorders>
              <w:top w:val="single" w:sz="1" w:space="0" w:color="B8CCE4"/>
              <w:left w:val="single" w:sz="1" w:space="0" w:color="B8CCE4"/>
              <w:bottom w:val="single" w:sz="1" w:space="0" w:color="B8CCE4"/>
              <w:right w:val="single" w:sz="1" w:space="0" w:color="B8CCE4"/>
            </w:tcBorders>
            <w:shd w:val="clear" w:color="auto" w:fill="F2F7FF"/>
            <w:tcMar>
              <w:top w:w="100" w:type="dxa"/>
              <w:left w:w="140" w:type="dxa"/>
              <w:bottom w:w="100" w:type="dxa"/>
              <w:right w:w="140" w:type="dxa"/>
            </w:tcMar>
            <w:vAlign w:val="center"/>
          </w:tcPr>
          <w:p w14:paraId="79D7FC0F" w14:textId="77777777" w:rsidR="001624DC" w:rsidRDefault="00000000">
            <w:pPr>
              <w:jc w:val="center"/>
            </w:pPr>
            <w:r>
              <w:rPr>
                <w:sz w:val="20"/>
                <w:szCs w:val="20"/>
              </w:rPr>
              <w:t>17</w:t>
            </w:r>
          </w:p>
        </w:tc>
        <w:tc>
          <w:tcPr>
            <w:tcW w:w="1200" w:type="dxa"/>
            <w:tcBorders>
              <w:top w:val="single" w:sz="1" w:space="0" w:color="B8CCE4"/>
              <w:left w:val="single" w:sz="1" w:space="0" w:color="B8CCE4"/>
              <w:bottom w:val="single" w:sz="1" w:space="0" w:color="B8CCE4"/>
              <w:right w:val="single" w:sz="1" w:space="0" w:color="B8CCE4"/>
            </w:tcBorders>
            <w:shd w:val="clear" w:color="auto" w:fill="F2F7FF"/>
            <w:tcMar>
              <w:top w:w="100" w:type="dxa"/>
              <w:left w:w="140" w:type="dxa"/>
              <w:bottom w:w="100" w:type="dxa"/>
              <w:right w:w="140" w:type="dxa"/>
            </w:tcMar>
            <w:vAlign w:val="center"/>
          </w:tcPr>
          <w:p w14:paraId="6DEDCA4D" w14:textId="77777777" w:rsidR="001624DC" w:rsidRDefault="00000000">
            <w:pPr>
              <w:jc w:val="center"/>
            </w:pPr>
            <w:r>
              <w:rPr>
                <w:b/>
                <w:bCs/>
                <w:sz w:val="20"/>
                <w:szCs w:val="20"/>
              </w:rPr>
              <w:t>4.95</w:t>
            </w:r>
          </w:p>
        </w:tc>
        <w:tc>
          <w:tcPr>
            <w:tcW w:w="2560" w:type="dxa"/>
            <w:tcBorders>
              <w:top w:val="single" w:sz="1" w:space="0" w:color="B8CCE4"/>
              <w:left w:val="single" w:sz="1" w:space="0" w:color="B8CCE4"/>
              <w:bottom w:val="single" w:sz="1" w:space="0" w:color="B8CCE4"/>
              <w:right w:val="single" w:sz="1" w:space="0" w:color="B8CCE4"/>
            </w:tcBorders>
            <w:shd w:val="clear" w:color="auto" w:fill="F2F7FF"/>
            <w:tcMar>
              <w:top w:w="100" w:type="dxa"/>
              <w:left w:w="140" w:type="dxa"/>
              <w:bottom w:w="100" w:type="dxa"/>
              <w:right w:w="140" w:type="dxa"/>
            </w:tcMar>
            <w:vAlign w:val="center"/>
          </w:tcPr>
          <w:p w14:paraId="5676D9BE" w14:textId="77777777" w:rsidR="001624DC" w:rsidRDefault="00000000">
            <w:r>
              <w:rPr>
                <w:i/>
                <w:iCs/>
                <w:color w:val="595959"/>
                <w:sz w:val="20"/>
                <w:szCs w:val="20"/>
              </w:rPr>
              <w:t>Near-maximum; within range (max = 5.0)</w:t>
            </w:r>
          </w:p>
        </w:tc>
      </w:tr>
      <w:tr w:rsidR="001624DC" w14:paraId="26A4D8F4" w14:textId="77777777">
        <w:tblPrEx>
          <w:tblCellMar>
            <w:top w:w="0" w:type="dxa"/>
            <w:bottom w:w="0" w:type="dxa"/>
          </w:tblCellMar>
        </w:tblPrEx>
        <w:tc>
          <w:tcPr>
            <w:tcW w:w="26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247D53FA" w14:textId="77777777" w:rsidR="001624DC" w:rsidRDefault="001624DC"/>
        </w:tc>
        <w:tc>
          <w:tcPr>
            <w:tcW w:w="12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770B587C" w14:textId="77777777" w:rsidR="001624DC" w:rsidRDefault="00000000">
            <w:pPr>
              <w:jc w:val="center"/>
            </w:pPr>
            <w:r>
              <w:rPr>
                <w:sz w:val="20"/>
                <w:szCs w:val="20"/>
              </w:rPr>
              <w:t>Highest 2</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094E95DF" w14:textId="77777777" w:rsidR="001624DC" w:rsidRDefault="00000000">
            <w:pPr>
              <w:jc w:val="center"/>
            </w:pPr>
            <w:r>
              <w:rPr>
                <w:sz w:val="20"/>
                <w:szCs w:val="20"/>
              </w:rPr>
              <w:t>163</w:t>
            </w:r>
          </w:p>
        </w:tc>
        <w:tc>
          <w:tcPr>
            <w:tcW w:w="12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26D83333" w14:textId="77777777" w:rsidR="001624DC" w:rsidRDefault="00000000">
            <w:pPr>
              <w:jc w:val="center"/>
            </w:pPr>
            <w:r>
              <w:rPr>
                <w:b/>
                <w:bCs/>
                <w:sz w:val="20"/>
                <w:szCs w:val="20"/>
              </w:rPr>
              <w:t>4.95</w:t>
            </w:r>
          </w:p>
        </w:tc>
        <w:tc>
          <w:tcPr>
            <w:tcW w:w="256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4F31054A" w14:textId="77777777" w:rsidR="001624DC" w:rsidRDefault="001624DC"/>
        </w:tc>
      </w:tr>
      <w:tr w:rsidR="001624DC" w14:paraId="481AC6FA" w14:textId="77777777">
        <w:tblPrEx>
          <w:tblCellMar>
            <w:top w:w="0" w:type="dxa"/>
            <w:bottom w:w="0" w:type="dxa"/>
          </w:tblCellMar>
        </w:tblPrEx>
        <w:tc>
          <w:tcPr>
            <w:tcW w:w="26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1D23BFCA" w14:textId="77777777" w:rsidR="001624DC" w:rsidRDefault="001624DC"/>
        </w:tc>
        <w:tc>
          <w:tcPr>
            <w:tcW w:w="12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7F81763B" w14:textId="77777777" w:rsidR="001624DC" w:rsidRDefault="00000000">
            <w:pPr>
              <w:jc w:val="center"/>
            </w:pPr>
            <w:r>
              <w:rPr>
                <w:sz w:val="20"/>
                <w:szCs w:val="20"/>
              </w:rPr>
              <w:t>Lowest 1</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24A1AB13" w14:textId="77777777" w:rsidR="001624DC" w:rsidRDefault="00000000">
            <w:pPr>
              <w:jc w:val="center"/>
            </w:pPr>
            <w:r>
              <w:rPr>
                <w:sz w:val="20"/>
                <w:szCs w:val="20"/>
              </w:rPr>
              <w:t>139</w:t>
            </w:r>
          </w:p>
        </w:tc>
        <w:tc>
          <w:tcPr>
            <w:tcW w:w="12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692CB245" w14:textId="77777777" w:rsidR="001624DC" w:rsidRDefault="00000000">
            <w:pPr>
              <w:jc w:val="center"/>
            </w:pPr>
            <w:r>
              <w:rPr>
                <w:b/>
                <w:bCs/>
                <w:sz w:val="20"/>
                <w:szCs w:val="20"/>
              </w:rPr>
              <w:t>1.65</w:t>
            </w:r>
          </w:p>
        </w:tc>
        <w:tc>
          <w:tcPr>
            <w:tcW w:w="256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72BFEE02" w14:textId="77777777" w:rsidR="001624DC" w:rsidRDefault="00000000">
            <w:r>
              <w:rPr>
                <w:i/>
                <w:iCs/>
                <w:color w:val="595959"/>
                <w:sz w:val="20"/>
                <w:szCs w:val="20"/>
              </w:rPr>
              <w:t>Case 139: low PCQ &amp; MSQ — consistent low responder</w:t>
            </w:r>
          </w:p>
        </w:tc>
      </w:tr>
      <w:tr w:rsidR="001624DC" w14:paraId="213E3CBD" w14:textId="77777777">
        <w:tblPrEx>
          <w:tblCellMar>
            <w:top w:w="0" w:type="dxa"/>
            <w:bottom w:w="0" w:type="dxa"/>
          </w:tblCellMar>
        </w:tblPrEx>
        <w:tc>
          <w:tcPr>
            <w:tcW w:w="26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46502F39" w14:textId="77777777" w:rsidR="001624DC" w:rsidRDefault="001624DC"/>
        </w:tc>
        <w:tc>
          <w:tcPr>
            <w:tcW w:w="12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0D3085B6" w14:textId="77777777" w:rsidR="001624DC" w:rsidRDefault="00000000">
            <w:pPr>
              <w:jc w:val="center"/>
            </w:pPr>
            <w:r>
              <w:rPr>
                <w:sz w:val="20"/>
                <w:szCs w:val="20"/>
              </w:rPr>
              <w:t>Lowest 2</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19864F17" w14:textId="77777777" w:rsidR="001624DC" w:rsidRDefault="00000000">
            <w:pPr>
              <w:jc w:val="center"/>
            </w:pPr>
            <w:r>
              <w:rPr>
                <w:sz w:val="20"/>
                <w:szCs w:val="20"/>
              </w:rPr>
              <w:t>210</w:t>
            </w:r>
          </w:p>
        </w:tc>
        <w:tc>
          <w:tcPr>
            <w:tcW w:w="12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5094F321" w14:textId="77777777" w:rsidR="001624DC" w:rsidRDefault="00000000">
            <w:pPr>
              <w:jc w:val="center"/>
            </w:pPr>
            <w:r>
              <w:rPr>
                <w:b/>
                <w:bCs/>
                <w:sz w:val="20"/>
                <w:szCs w:val="20"/>
              </w:rPr>
              <w:t>1.80</w:t>
            </w:r>
          </w:p>
        </w:tc>
        <w:tc>
          <w:tcPr>
            <w:tcW w:w="256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7D4027A7" w14:textId="77777777" w:rsidR="001624DC" w:rsidRDefault="001624DC"/>
        </w:tc>
      </w:tr>
    </w:tbl>
    <w:p w14:paraId="6BACD6EE" w14:textId="77777777" w:rsidR="001624DC" w:rsidRDefault="00000000">
      <w:pPr>
        <w:spacing w:before="80" w:after="200"/>
        <w:ind w:left="360"/>
        <w:jc w:val="both"/>
      </w:pPr>
      <w:r>
        <w:rPr>
          <w:b/>
          <w:bCs/>
          <w:sz w:val="21"/>
          <w:szCs w:val="21"/>
        </w:rPr>
        <w:t xml:space="preserve">Note. </w:t>
      </w:r>
      <w:r>
        <w:rPr>
          <w:i/>
          <w:iCs/>
          <w:sz w:val="21"/>
          <w:szCs w:val="21"/>
        </w:rPr>
        <w:t>All case numbers and values are sourced directly from the SPSS Extreme Values table (Assumption_Testing.pdf, pp. 3–4). Interpretations in the rightmost column are the analyst's assessments based on substantive review of the scores in the context of scale ranges and sample characteristics. No cases were removed.</w:t>
      </w:r>
    </w:p>
    <w:p w14:paraId="60BE521C" w14:textId="77777777" w:rsidR="001624DC" w:rsidRDefault="00000000">
      <w:pPr>
        <w:spacing w:before="100" w:after="100" w:line="360" w:lineRule="auto"/>
        <w:ind w:firstLine="720"/>
        <w:jc w:val="both"/>
      </w:pPr>
      <w:r>
        <w:t>The extreme values analysis reveals a small number of cases with notably high or low composite scores. For PCQ, the lowest value (2.04, Case 139) falls approximately 3.3 standard deviations below the mean (M = 4.1307, SD = .639), while the highest values (5.33, Cases 182 and 198) approach but do not reach the scale maximum of 6.0. For UWES, two cases attained the maximum possible score (6.00), while the lowest value (1.44, Case 241) falls 3.1 standard deviations below the mean. For MSQ, the highest values (4.95) approach the scale ceiling, while the lowest value (1.65, Case 139) falls approximately 2.9 standard deviations below the mean.</w:t>
      </w:r>
    </w:p>
    <w:p w14:paraId="0060DA83" w14:textId="77777777" w:rsidR="001624DC" w:rsidRDefault="00000000">
      <w:pPr>
        <w:spacing w:before="100" w:after="100" w:line="360" w:lineRule="auto"/>
        <w:ind w:firstLine="720"/>
        <w:jc w:val="both"/>
      </w:pPr>
      <w:r>
        <w:t xml:space="preserve">Critically, Cases 139 and 210 appear among the lowest values for both PCQ and MSQ, suggesting a pattern of consistently low psychological capital and job satisfaction across multiple instruments — which is substantively plausible rather than indicative of random error or careless responding. In the context of QOU's operational environment, where some faculty members experience pronounced occupational stressors including institutional resource constraints, salary concerns, and the wider impact of political instability on academic life in Palestine (Abualrob &amp; Atar, 2019), it is entirely credible that a small subset of staff would report substantially diminished psychological resources and satisfaction. These cases represent authentic individual variation and are retained in the dataset, as they do not constitute </w:t>
      </w:r>
      <w:r>
        <w:lastRenderedPageBreak/>
        <w:t>statistically influential leverage points that would distort the regression estimates or invalidate the inferential findings.</w:t>
      </w:r>
    </w:p>
    <w:p w14:paraId="1EAB7B01" w14:textId="77777777" w:rsidR="001624DC" w:rsidRDefault="001624DC">
      <w:pPr>
        <w:spacing w:before="80" w:after="80"/>
      </w:pPr>
    </w:p>
    <w:p w14:paraId="339A9DAC" w14:textId="77777777" w:rsidR="001624DC" w:rsidRDefault="00000000">
      <w:pPr>
        <w:pStyle w:val="Heading1"/>
        <w:ind w:left="240" w:right="240"/>
      </w:pPr>
      <w:r>
        <w:t>7.  Independence of Observations</w:t>
      </w:r>
    </w:p>
    <w:p w14:paraId="4D9F9C36" w14:textId="77777777" w:rsidR="001624DC" w:rsidRDefault="00000000">
      <w:pPr>
        <w:spacing w:before="100" w:after="100" w:line="360" w:lineRule="auto"/>
        <w:ind w:firstLine="720"/>
        <w:jc w:val="both"/>
      </w:pPr>
      <w:r>
        <w:t>The assumption of independence of observations requires that each participant's responses are not influenced by, and do not influence, the responses of any other participant. This assumption is satisfied by the study's cross-sectional survey design, in which each of the 270 QOU academic staff members completed the survey instrument independently, without knowledge of or interaction with other respondents' answers. No repeated measures, cluster sampling with shared environments, or time-series components are present in the data structure. Respondents were drawn from 15 geographically distributed branches across the West Bank and Gaza Strip, and the survey was administered under conditions that precluded response sharing. Accordingly, the independence assumption is considered met by design and does not require formal statistical verification (Tabachnick &amp; Fidell, 2019; Field, 2018).</w:t>
      </w:r>
    </w:p>
    <w:p w14:paraId="7F389D74" w14:textId="77777777" w:rsidR="001624DC" w:rsidRDefault="001624DC">
      <w:pPr>
        <w:spacing w:before="80" w:after="80"/>
      </w:pPr>
    </w:p>
    <w:p w14:paraId="39FD632D" w14:textId="77777777" w:rsidR="001624DC" w:rsidRDefault="00000000">
      <w:pPr>
        <w:pStyle w:val="Heading1"/>
        <w:ind w:left="240" w:right="240"/>
      </w:pPr>
      <w:r>
        <w:t>8.  Consolidated Summary of Assumption Testing Results</w:t>
      </w:r>
    </w:p>
    <w:p w14:paraId="48D28EE3" w14:textId="77777777" w:rsidR="001624DC" w:rsidRDefault="00000000">
      <w:pPr>
        <w:spacing w:before="100" w:after="100" w:line="360" w:lineRule="auto"/>
        <w:ind w:firstLine="720"/>
        <w:jc w:val="both"/>
      </w:pPr>
      <w:r>
        <w:t>Table 7 presents a consolidated overview of all assumption testing conducted in this stage, integrating formal test results, quantitative indices, and substantive assessments.</w:t>
      </w:r>
    </w:p>
    <w:p w14:paraId="50C076A0" w14:textId="77777777" w:rsidR="001624DC" w:rsidRDefault="001624DC">
      <w:pPr>
        <w:spacing w:before="80" w:after="80"/>
      </w:pPr>
    </w:p>
    <w:p w14:paraId="0293C201" w14:textId="77777777" w:rsidR="001624DC" w:rsidRDefault="00000000">
      <w:pPr>
        <w:spacing w:before="240" w:after="80"/>
      </w:pPr>
      <w:r>
        <w:rPr>
          <w:b/>
          <w:bCs/>
        </w:rPr>
        <w:t xml:space="preserve">Table </w:t>
      </w:r>
      <w:proofErr w:type="gramStart"/>
      <w:r>
        <w:rPr>
          <w:b/>
          <w:bCs/>
        </w:rPr>
        <w:t>7</w:t>
      </w:r>
      <w:r>
        <w:t xml:space="preserve">  Consolidated</w:t>
      </w:r>
      <w:proofErr w:type="gramEnd"/>
      <w:r>
        <w:t xml:space="preserve"> Summary of Statistical Assumption Testing (N = 270)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1500"/>
        <w:gridCol w:w="3060"/>
      </w:tblGrid>
      <w:tr w:rsidR="001624DC" w14:paraId="27980516"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1F3864"/>
            <w:tcMar>
              <w:top w:w="100" w:type="dxa"/>
              <w:left w:w="140" w:type="dxa"/>
              <w:bottom w:w="100" w:type="dxa"/>
              <w:right w:w="140" w:type="dxa"/>
            </w:tcMar>
            <w:vAlign w:val="center"/>
          </w:tcPr>
          <w:p w14:paraId="798646B9" w14:textId="77777777" w:rsidR="001624DC" w:rsidRDefault="00000000">
            <w:pPr>
              <w:jc w:val="center"/>
            </w:pPr>
            <w:r>
              <w:rPr>
                <w:b/>
                <w:bCs/>
                <w:color w:val="FFFFFF"/>
                <w:sz w:val="20"/>
                <w:szCs w:val="20"/>
              </w:rPr>
              <w:t>Assumption</w:t>
            </w:r>
          </w:p>
        </w:tc>
        <w:tc>
          <w:tcPr>
            <w:tcW w:w="2600" w:type="dxa"/>
            <w:tcBorders>
              <w:top w:val="single" w:sz="1" w:space="0" w:color="B8CCE4"/>
              <w:left w:val="single" w:sz="1" w:space="0" w:color="B8CCE4"/>
              <w:bottom w:val="single" w:sz="1" w:space="0" w:color="B8CCE4"/>
              <w:right w:val="single" w:sz="1" w:space="0" w:color="B8CCE4"/>
            </w:tcBorders>
            <w:shd w:val="clear" w:color="auto" w:fill="1F3864"/>
            <w:tcMar>
              <w:top w:w="100" w:type="dxa"/>
              <w:left w:w="140" w:type="dxa"/>
              <w:bottom w:w="100" w:type="dxa"/>
              <w:right w:w="140" w:type="dxa"/>
            </w:tcMar>
            <w:vAlign w:val="center"/>
          </w:tcPr>
          <w:p w14:paraId="2F54276A" w14:textId="77777777" w:rsidR="001624DC" w:rsidRDefault="00000000">
            <w:pPr>
              <w:jc w:val="center"/>
            </w:pPr>
            <w:r>
              <w:rPr>
                <w:b/>
                <w:bCs/>
                <w:color w:val="FFFFFF"/>
                <w:sz w:val="20"/>
                <w:szCs w:val="20"/>
              </w:rPr>
              <w:t>Test / Criterion</w:t>
            </w:r>
          </w:p>
        </w:tc>
        <w:tc>
          <w:tcPr>
            <w:tcW w:w="1500" w:type="dxa"/>
            <w:tcBorders>
              <w:top w:val="single" w:sz="1" w:space="0" w:color="B8CCE4"/>
              <w:left w:val="single" w:sz="1" w:space="0" w:color="B8CCE4"/>
              <w:bottom w:val="single" w:sz="1" w:space="0" w:color="B8CCE4"/>
              <w:right w:val="single" w:sz="1" w:space="0" w:color="B8CCE4"/>
            </w:tcBorders>
            <w:shd w:val="clear" w:color="auto" w:fill="1F3864"/>
            <w:tcMar>
              <w:top w:w="100" w:type="dxa"/>
              <w:left w:w="140" w:type="dxa"/>
              <w:bottom w:w="100" w:type="dxa"/>
              <w:right w:w="140" w:type="dxa"/>
            </w:tcMar>
            <w:vAlign w:val="center"/>
          </w:tcPr>
          <w:p w14:paraId="4A78CFD2" w14:textId="77777777" w:rsidR="001624DC" w:rsidRDefault="00000000">
            <w:pPr>
              <w:jc w:val="center"/>
            </w:pPr>
            <w:r>
              <w:rPr>
                <w:b/>
                <w:bCs/>
                <w:color w:val="FFFFFF"/>
                <w:sz w:val="20"/>
                <w:szCs w:val="20"/>
              </w:rPr>
              <w:t>Result</w:t>
            </w:r>
          </w:p>
        </w:tc>
        <w:tc>
          <w:tcPr>
            <w:tcW w:w="3060" w:type="dxa"/>
            <w:tcBorders>
              <w:top w:val="single" w:sz="1" w:space="0" w:color="B8CCE4"/>
              <w:left w:val="single" w:sz="1" w:space="0" w:color="B8CCE4"/>
              <w:bottom w:val="single" w:sz="1" w:space="0" w:color="B8CCE4"/>
              <w:right w:val="single" w:sz="1" w:space="0" w:color="B8CCE4"/>
            </w:tcBorders>
            <w:shd w:val="clear" w:color="auto" w:fill="1F3864"/>
            <w:tcMar>
              <w:top w:w="100" w:type="dxa"/>
              <w:left w:w="140" w:type="dxa"/>
              <w:bottom w:w="100" w:type="dxa"/>
              <w:right w:w="140" w:type="dxa"/>
            </w:tcMar>
            <w:vAlign w:val="center"/>
          </w:tcPr>
          <w:p w14:paraId="17C97B9D" w14:textId="77777777" w:rsidR="001624DC" w:rsidRDefault="00000000">
            <w:pPr>
              <w:jc w:val="center"/>
            </w:pPr>
            <w:r>
              <w:rPr>
                <w:b/>
                <w:bCs/>
                <w:color w:val="FFFFFF"/>
                <w:sz w:val="20"/>
                <w:szCs w:val="20"/>
              </w:rPr>
              <w:t>Decision</w:t>
            </w:r>
          </w:p>
        </w:tc>
      </w:tr>
      <w:tr w:rsidR="001624DC" w14:paraId="218584DB"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0E07E8AC" w14:textId="77777777" w:rsidR="001624DC" w:rsidRDefault="00000000">
            <w:r>
              <w:rPr>
                <w:b/>
                <w:bCs/>
                <w:sz w:val="20"/>
                <w:szCs w:val="20"/>
              </w:rPr>
              <w:t>Normality (Skewness &amp; Kurtosis)</w:t>
            </w:r>
          </w:p>
        </w:tc>
        <w:tc>
          <w:tcPr>
            <w:tcW w:w="26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6075D37E" w14:textId="77777777" w:rsidR="001624DC" w:rsidRDefault="00000000">
            <w:r>
              <w:rPr>
                <w:sz w:val="20"/>
                <w:szCs w:val="20"/>
              </w:rPr>
              <w:t>Kim (2013); Hair et al. (2019) |Sk|, |Ku| ≤ 1.0</w:t>
            </w:r>
          </w:p>
        </w:tc>
        <w:tc>
          <w:tcPr>
            <w:tcW w:w="1500" w:type="dxa"/>
            <w:tcBorders>
              <w:top w:val="single" w:sz="1" w:space="0" w:color="B8CCE4"/>
              <w:left w:val="single" w:sz="1" w:space="0" w:color="B8CCE4"/>
              <w:bottom w:val="single" w:sz="1" w:space="0" w:color="B8CCE4"/>
              <w:right w:val="single" w:sz="1" w:space="0" w:color="B8CCE4"/>
            </w:tcBorders>
            <w:shd w:val="clear" w:color="auto" w:fill="E2EFDA"/>
            <w:tcMar>
              <w:top w:w="100" w:type="dxa"/>
              <w:left w:w="140" w:type="dxa"/>
              <w:bottom w:w="100" w:type="dxa"/>
              <w:right w:w="140" w:type="dxa"/>
            </w:tcMar>
            <w:vAlign w:val="center"/>
          </w:tcPr>
          <w:p w14:paraId="233F6DC7" w14:textId="77777777" w:rsidR="001624DC" w:rsidRDefault="00000000">
            <w:pPr>
              <w:jc w:val="center"/>
            </w:pPr>
            <w:r>
              <w:rPr>
                <w:b/>
                <w:bCs/>
                <w:color w:val="375623"/>
                <w:sz w:val="20"/>
                <w:szCs w:val="20"/>
              </w:rPr>
              <w:t>All values &lt; 1.0</w:t>
            </w:r>
          </w:p>
        </w:tc>
        <w:tc>
          <w:tcPr>
            <w:tcW w:w="3060" w:type="dxa"/>
            <w:tcBorders>
              <w:top w:val="single" w:sz="1" w:space="0" w:color="B8CCE4"/>
              <w:left w:val="single" w:sz="1" w:space="0" w:color="B8CCE4"/>
              <w:bottom w:val="single" w:sz="1" w:space="0" w:color="B8CCE4"/>
              <w:right w:val="single" w:sz="1" w:space="0" w:color="B8CCE4"/>
            </w:tcBorders>
            <w:shd w:val="clear" w:color="auto" w:fill="E2EFDA"/>
            <w:tcMar>
              <w:top w:w="100" w:type="dxa"/>
              <w:left w:w="140" w:type="dxa"/>
              <w:bottom w:w="100" w:type="dxa"/>
              <w:right w:w="140" w:type="dxa"/>
            </w:tcMar>
            <w:vAlign w:val="center"/>
          </w:tcPr>
          <w:p w14:paraId="53633F70" w14:textId="77777777" w:rsidR="001624DC" w:rsidRDefault="00000000">
            <w:r>
              <w:rPr>
                <w:color w:val="375623"/>
                <w:sz w:val="20"/>
                <w:szCs w:val="20"/>
              </w:rPr>
              <w:t>✓ Met — distributions are practically normal</w:t>
            </w:r>
          </w:p>
        </w:tc>
      </w:tr>
      <w:tr w:rsidR="001624DC" w14:paraId="71315CD3"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EBF2FB"/>
            <w:tcMar>
              <w:top w:w="100" w:type="dxa"/>
              <w:left w:w="140" w:type="dxa"/>
              <w:bottom w:w="100" w:type="dxa"/>
              <w:right w:w="140" w:type="dxa"/>
            </w:tcMar>
            <w:vAlign w:val="center"/>
          </w:tcPr>
          <w:p w14:paraId="1A467EE2" w14:textId="77777777" w:rsidR="001624DC" w:rsidRDefault="00000000">
            <w:r>
              <w:rPr>
                <w:b/>
                <w:bCs/>
                <w:sz w:val="20"/>
                <w:szCs w:val="20"/>
              </w:rPr>
              <w:t>Normality (Formal Tests)</w:t>
            </w:r>
          </w:p>
        </w:tc>
        <w:tc>
          <w:tcPr>
            <w:tcW w:w="2600" w:type="dxa"/>
            <w:tcBorders>
              <w:top w:val="single" w:sz="1" w:space="0" w:color="B8CCE4"/>
              <w:left w:val="single" w:sz="1" w:space="0" w:color="B8CCE4"/>
              <w:bottom w:val="single" w:sz="1" w:space="0" w:color="B8CCE4"/>
              <w:right w:val="single" w:sz="1" w:space="0" w:color="B8CCE4"/>
            </w:tcBorders>
            <w:shd w:val="clear" w:color="auto" w:fill="EBF2FB"/>
            <w:tcMar>
              <w:top w:w="100" w:type="dxa"/>
              <w:left w:w="140" w:type="dxa"/>
              <w:bottom w:w="100" w:type="dxa"/>
              <w:right w:w="140" w:type="dxa"/>
            </w:tcMar>
            <w:vAlign w:val="center"/>
          </w:tcPr>
          <w:p w14:paraId="1D7E55DB" w14:textId="77777777" w:rsidR="001624DC" w:rsidRDefault="00000000">
            <w:r>
              <w:rPr>
                <w:sz w:val="20"/>
                <w:szCs w:val="20"/>
              </w:rPr>
              <w:t>Kolmogorov-Smirnov Shapiro-Wilk</w:t>
            </w:r>
          </w:p>
        </w:tc>
        <w:tc>
          <w:tcPr>
            <w:tcW w:w="1500" w:type="dxa"/>
            <w:tcBorders>
              <w:top w:val="single" w:sz="1" w:space="0" w:color="B8CCE4"/>
              <w:left w:val="single" w:sz="1" w:space="0" w:color="B8CCE4"/>
              <w:bottom w:val="single" w:sz="1" w:space="0" w:color="B8CCE4"/>
              <w:right w:val="single" w:sz="1" w:space="0" w:color="B8CCE4"/>
            </w:tcBorders>
            <w:shd w:val="clear" w:color="auto" w:fill="FFF2CC"/>
            <w:tcMar>
              <w:top w:w="100" w:type="dxa"/>
              <w:left w:w="140" w:type="dxa"/>
              <w:bottom w:w="100" w:type="dxa"/>
              <w:right w:w="140" w:type="dxa"/>
            </w:tcMar>
            <w:vAlign w:val="center"/>
          </w:tcPr>
          <w:p w14:paraId="12B07D6A" w14:textId="77777777" w:rsidR="001624DC" w:rsidRDefault="00000000">
            <w:pPr>
              <w:jc w:val="center"/>
            </w:pPr>
            <w:r>
              <w:rPr>
                <w:b/>
                <w:bCs/>
                <w:color w:val="7F6000"/>
                <w:sz w:val="20"/>
                <w:szCs w:val="20"/>
              </w:rPr>
              <w:t>p &lt; .05 (all) S-W: .980–.984</w:t>
            </w:r>
          </w:p>
        </w:tc>
        <w:tc>
          <w:tcPr>
            <w:tcW w:w="3060" w:type="dxa"/>
            <w:tcBorders>
              <w:top w:val="single" w:sz="1" w:space="0" w:color="B8CCE4"/>
              <w:left w:val="single" w:sz="1" w:space="0" w:color="B8CCE4"/>
              <w:bottom w:val="single" w:sz="1" w:space="0" w:color="B8CCE4"/>
              <w:right w:val="single" w:sz="1" w:space="0" w:color="B8CCE4"/>
            </w:tcBorders>
            <w:shd w:val="clear" w:color="auto" w:fill="FFF2CC"/>
            <w:tcMar>
              <w:top w:w="100" w:type="dxa"/>
              <w:left w:w="140" w:type="dxa"/>
              <w:bottom w:w="100" w:type="dxa"/>
              <w:right w:w="140" w:type="dxa"/>
            </w:tcMar>
            <w:vAlign w:val="center"/>
          </w:tcPr>
          <w:p w14:paraId="17C81098" w14:textId="77777777" w:rsidR="001624DC" w:rsidRDefault="00000000">
            <w:r>
              <w:rPr>
                <w:color w:val="7F6000"/>
                <w:sz w:val="20"/>
                <w:szCs w:val="20"/>
              </w:rPr>
              <w:t>⚠ Significant — mitigated by CLT and n = 270</w:t>
            </w:r>
          </w:p>
        </w:tc>
      </w:tr>
      <w:tr w:rsidR="001624DC" w14:paraId="42801327"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0DC3010B" w14:textId="77777777" w:rsidR="001624DC" w:rsidRDefault="00000000">
            <w:r>
              <w:rPr>
                <w:b/>
                <w:bCs/>
                <w:sz w:val="20"/>
                <w:szCs w:val="20"/>
              </w:rPr>
              <w:t>Normality (Visual)</w:t>
            </w:r>
          </w:p>
        </w:tc>
        <w:tc>
          <w:tcPr>
            <w:tcW w:w="26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0D0BB62D" w14:textId="77777777" w:rsidR="001624DC" w:rsidRDefault="00000000">
            <w:r>
              <w:rPr>
                <w:sz w:val="20"/>
                <w:szCs w:val="20"/>
              </w:rPr>
              <w:t>Histograms, Normal Q-Q Detrended Q-Q, Boxplots</w:t>
            </w:r>
          </w:p>
        </w:tc>
        <w:tc>
          <w:tcPr>
            <w:tcW w:w="1500" w:type="dxa"/>
            <w:tcBorders>
              <w:top w:val="single" w:sz="1" w:space="0" w:color="B8CCE4"/>
              <w:left w:val="single" w:sz="1" w:space="0" w:color="B8CCE4"/>
              <w:bottom w:val="single" w:sz="1" w:space="0" w:color="B8CCE4"/>
              <w:right w:val="single" w:sz="1" w:space="0" w:color="B8CCE4"/>
            </w:tcBorders>
            <w:shd w:val="clear" w:color="auto" w:fill="E2EFDA"/>
            <w:tcMar>
              <w:top w:w="100" w:type="dxa"/>
              <w:left w:w="140" w:type="dxa"/>
              <w:bottom w:w="100" w:type="dxa"/>
              <w:right w:w="140" w:type="dxa"/>
            </w:tcMar>
            <w:vAlign w:val="center"/>
          </w:tcPr>
          <w:p w14:paraId="15589226" w14:textId="77777777" w:rsidR="001624DC" w:rsidRDefault="00000000">
            <w:pPr>
              <w:jc w:val="center"/>
            </w:pPr>
            <w:r>
              <w:rPr>
                <w:b/>
                <w:bCs/>
                <w:color w:val="375623"/>
                <w:sz w:val="20"/>
                <w:szCs w:val="20"/>
              </w:rPr>
              <w:t>Near-normal shape; minor tail deviations</w:t>
            </w:r>
          </w:p>
        </w:tc>
        <w:tc>
          <w:tcPr>
            <w:tcW w:w="3060" w:type="dxa"/>
            <w:tcBorders>
              <w:top w:val="single" w:sz="1" w:space="0" w:color="B8CCE4"/>
              <w:left w:val="single" w:sz="1" w:space="0" w:color="B8CCE4"/>
              <w:bottom w:val="single" w:sz="1" w:space="0" w:color="B8CCE4"/>
              <w:right w:val="single" w:sz="1" w:space="0" w:color="B8CCE4"/>
            </w:tcBorders>
            <w:shd w:val="clear" w:color="auto" w:fill="E2EFDA"/>
            <w:tcMar>
              <w:top w:w="100" w:type="dxa"/>
              <w:left w:w="140" w:type="dxa"/>
              <w:bottom w:w="100" w:type="dxa"/>
              <w:right w:w="140" w:type="dxa"/>
            </w:tcMar>
            <w:vAlign w:val="center"/>
          </w:tcPr>
          <w:p w14:paraId="01EB7F52" w14:textId="77777777" w:rsidR="001624DC" w:rsidRDefault="00000000">
            <w:r>
              <w:rPr>
                <w:color w:val="375623"/>
                <w:sz w:val="20"/>
                <w:szCs w:val="20"/>
              </w:rPr>
              <w:t>✓ Met — visual evidence supports normality</w:t>
            </w:r>
          </w:p>
        </w:tc>
      </w:tr>
      <w:tr w:rsidR="001624DC" w14:paraId="2E803595"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EBF2FB"/>
            <w:tcMar>
              <w:top w:w="100" w:type="dxa"/>
              <w:left w:w="140" w:type="dxa"/>
              <w:bottom w:w="100" w:type="dxa"/>
              <w:right w:w="140" w:type="dxa"/>
            </w:tcMar>
            <w:vAlign w:val="center"/>
          </w:tcPr>
          <w:p w14:paraId="466B9902" w14:textId="77777777" w:rsidR="001624DC" w:rsidRDefault="00000000">
            <w:r>
              <w:rPr>
                <w:b/>
                <w:bCs/>
                <w:sz w:val="20"/>
                <w:szCs w:val="20"/>
              </w:rPr>
              <w:t>Homogeneity of Variance</w:t>
            </w:r>
          </w:p>
        </w:tc>
        <w:tc>
          <w:tcPr>
            <w:tcW w:w="2600" w:type="dxa"/>
            <w:tcBorders>
              <w:top w:val="single" w:sz="1" w:space="0" w:color="B8CCE4"/>
              <w:left w:val="single" w:sz="1" w:space="0" w:color="B8CCE4"/>
              <w:bottom w:val="single" w:sz="1" w:space="0" w:color="B8CCE4"/>
              <w:right w:val="single" w:sz="1" w:space="0" w:color="B8CCE4"/>
            </w:tcBorders>
            <w:shd w:val="clear" w:color="auto" w:fill="EBF2FB"/>
            <w:tcMar>
              <w:top w:w="100" w:type="dxa"/>
              <w:left w:w="140" w:type="dxa"/>
              <w:bottom w:w="100" w:type="dxa"/>
              <w:right w:w="140" w:type="dxa"/>
            </w:tcMar>
            <w:vAlign w:val="center"/>
          </w:tcPr>
          <w:p w14:paraId="28D9CA67" w14:textId="77777777" w:rsidR="001624DC" w:rsidRDefault="00000000">
            <w:r>
              <w:rPr>
                <w:sz w:val="20"/>
                <w:szCs w:val="20"/>
              </w:rPr>
              <w:t>Levene's Test (Based on Mean) Grouping: Gender</w:t>
            </w:r>
          </w:p>
        </w:tc>
        <w:tc>
          <w:tcPr>
            <w:tcW w:w="1500" w:type="dxa"/>
            <w:tcBorders>
              <w:top w:val="single" w:sz="1" w:space="0" w:color="B8CCE4"/>
              <w:left w:val="single" w:sz="1" w:space="0" w:color="B8CCE4"/>
              <w:bottom w:val="single" w:sz="1" w:space="0" w:color="B8CCE4"/>
              <w:right w:val="single" w:sz="1" w:space="0" w:color="B8CCE4"/>
            </w:tcBorders>
            <w:shd w:val="clear" w:color="auto" w:fill="E2EFDA"/>
            <w:tcMar>
              <w:top w:w="100" w:type="dxa"/>
              <w:left w:w="140" w:type="dxa"/>
              <w:bottom w:w="100" w:type="dxa"/>
              <w:right w:w="140" w:type="dxa"/>
            </w:tcMar>
            <w:vAlign w:val="center"/>
          </w:tcPr>
          <w:p w14:paraId="4636A1BE" w14:textId="77777777" w:rsidR="001624DC" w:rsidRDefault="00000000">
            <w:pPr>
              <w:jc w:val="center"/>
            </w:pPr>
            <w:r>
              <w:rPr>
                <w:b/>
                <w:bCs/>
                <w:color w:val="375623"/>
                <w:sz w:val="20"/>
                <w:szCs w:val="20"/>
              </w:rPr>
              <w:t>p = .271 / .881 / .294 (all p &gt; .05)</w:t>
            </w:r>
          </w:p>
        </w:tc>
        <w:tc>
          <w:tcPr>
            <w:tcW w:w="3060" w:type="dxa"/>
            <w:tcBorders>
              <w:top w:val="single" w:sz="1" w:space="0" w:color="B8CCE4"/>
              <w:left w:val="single" w:sz="1" w:space="0" w:color="B8CCE4"/>
              <w:bottom w:val="single" w:sz="1" w:space="0" w:color="B8CCE4"/>
              <w:right w:val="single" w:sz="1" w:space="0" w:color="B8CCE4"/>
            </w:tcBorders>
            <w:shd w:val="clear" w:color="auto" w:fill="E2EFDA"/>
            <w:tcMar>
              <w:top w:w="100" w:type="dxa"/>
              <w:left w:w="140" w:type="dxa"/>
              <w:bottom w:w="100" w:type="dxa"/>
              <w:right w:w="140" w:type="dxa"/>
            </w:tcMar>
            <w:vAlign w:val="center"/>
          </w:tcPr>
          <w:p w14:paraId="38E7C513" w14:textId="77777777" w:rsidR="001624DC" w:rsidRDefault="00000000">
            <w:r>
              <w:rPr>
                <w:color w:val="375623"/>
                <w:sz w:val="20"/>
                <w:szCs w:val="20"/>
              </w:rPr>
              <w:t>✓ Met — equal variances across gender groups</w:t>
            </w:r>
          </w:p>
        </w:tc>
      </w:tr>
      <w:tr w:rsidR="001624DC" w14:paraId="717ECE95"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07945A24" w14:textId="77777777" w:rsidR="001624DC" w:rsidRDefault="00000000">
            <w:r>
              <w:rPr>
                <w:b/>
                <w:bCs/>
                <w:sz w:val="20"/>
                <w:szCs w:val="20"/>
              </w:rPr>
              <w:t>Absence of Problematic Multicollinearity</w:t>
            </w:r>
          </w:p>
        </w:tc>
        <w:tc>
          <w:tcPr>
            <w:tcW w:w="26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6152D5B7" w14:textId="77777777" w:rsidR="001624DC" w:rsidRDefault="00000000">
            <w:r>
              <w:rPr>
                <w:sz w:val="20"/>
                <w:szCs w:val="20"/>
              </w:rPr>
              <w:t>Pearson r matrix Criterion: r &lt; .80</w:t>
            </w:r>
          </w:p>
        </w:tc>
        <w:tc>
          <w:tcPr>
            <w:tcW w:w="1500" w:type="dxa"/>
            <w:tcBorders>
              <w:top w:val="single" w:sz="1" w:space="0" w:color="B8CCE4"/>
              <w:left w:val="single" w:sz="1" w:space="0" w:color="B8CCE4"/>
              <w:bottom w:val="single" w:sz="1" w:space="0" w:color="B8CCE4"/>
              <w:right w:val="single" w:sz="1" w:space="0" w:color="B8CCE4"/>
            </w:tcBorders>
            <w:shd w:val="clear" w:color="auto" w:fill="E2EFDA"/>
            <w:tcMar>
              <w:top w:w="100" w:type="dxa"/>
              <w:left w:w="140" w:type="dxa"/>
              <w:bottom w:w="100" w:type="dxa"/>
              <w:right w:w="140" w:type="dxa"/>
            </w:tcMar>
            <w:vAlign w:val="center"/>
          </w:tcPr>
          <w:p w14:paraId="41DDC7FD" w14:textId="77777777" w:rsidR="001624DC" w:rsidRDefault="00000000">
            <w:pPr>
              <w:jc w:val="center"/>
            </w:pPr>
            <w:r>
              <w:rPr>
                <w:b/>
                <w:bCs/>
                <w:color w:val="375623"/>
                <w:sz w:val="20"/>
                <w:szCs w:val="20"/>
              </w:rPr>
              <w:t>r = .482–.651 (all &lt; .80)</w:t>
            </w:r>
          </w:p>
        </w:tc>
        <w:tc>
          <w:tcPr>
            <w:tcW w:w="3060" w:type="dxa"/>
            <w:tcBorders>
              <w:top w:val="single" w:sz="1" w:space="0" w:color="B8CCE4"/>
              <w:left w:val="single" w:sz="1" w:space="0" w:color="B8CCE4"/>
              <w:bottom w:val="single" w:sz="1" w:space="0" w:color="B8CCE4"/>
              <w:right w:val="single" w:sz="1" w:space="0" w:color="B8CCE4"/>
            </w:tcBorders>
            <w:shd w:val="clear" w:color="auto" w:fill="E2EFDA"/>
            <w:tcMar>
              <w:top w:w="100" w:type="dxa"/>
              <w:left w:w="140" w:type="dxa"/>
              <w:bottom w:w="100" w:type="dxa"/>
              <w:right w:w="140" w:type="dxa"/>
            </w:tcMar>
            <w:vAlign w:val="center"/>
          </w:tcPr>
          <w:p w14:paraId="744E0E12" w14:textId="77777777" w:rsidR="001624DC" w:rsidRDefault="00000000">
            <w:r>
              <w:rPr>
                <w:color w:val="375623"/>
                <w:sz w:val="20"/>
                <w:szCs w:val="20"/>
              </w:rPr>
              <w:t>✓ Met — no problematic multicollinearity</w:t>
            </w:r>
          </w:p>
        </w:tc>
      </w:tr>
      <w:tr w:rsidR="001624DC" w14:paraId="5360DF2D"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EBF2FB"/>
            <w:tcMar>
              <w:top w:w="100" w:type="dxa"/>
              <w:left w:w="140" w:type="dxa"/>
              <w:bottom w:w="100" w:type="dxa"/>
              <w:right w:w="140" w:type="dxa"/>
            </w:tcMar>
            <w:vAlign w:val="center"/>
          </w:tcPr>
          <w:p w14:paraId="28C828AF" w14:textId="77777777" w:rsidR="001624DC" w:rsidRDefault="00000000">
            <w:r>
              <w:rPr>
                <w:b/>
                <w:bCs/>
                <w:sz w:val="20"/>
                <w:szCs w:val="20"/>
              </w:rPr>
              <w:lastRenderedPageBreak/>
              <w:t>Absence of Influential Outliers</w:t>
            </w:r>
          </w:p>
        </w:tc>
        <w:tc>
          <w:tcPr>
            <w:tcW w:w="2600" w:type="dxa"/>
            <w:tcBorders>
              <w:top w:val="single" w:sz="1" w:space="0" w:color="B8CCE4"/>
              <w:left w:val="single" w:sz="1" w:space="0" w:color="B8CCE4"/>
              <w:bottom w:val="single" w:sz="1" w:space="0" w:color="B8CCE4"/>
              <w:right w:val="single" w:sz="1" w:space="0" w:color="B8CCE4"/>
            </w:tcBorders>
            <w:shd w:val="clear" w:color="auto" w:fill="EBF2FB"/>
            <w:tcMar>
              <w:top w:w="100" w:type="dxa"/>
              <w:left w:w="140" w:type="dxa"/>
              <w:bottom w:w="100" w:type="dxa"/>
              <w:right w:w="140" w:type="dxa"/>
            </w:tcMar>
            <w:vAlign w:val="center"/>
          </w:tcPr>
          <w:p w14:paraId="21CD9379" w14:textId="77777777" w:rsidR="001624DC" w:rsidRDefault="00000000">
            <w:r>
              <w:rPr>
                <w:sz w:val="20"/>
                <w:szCs w:val="20"/>
              </w:rPr>
              <w:t>SPSS Extreme Values Substantive review</w:t>
            </w:r>
          </w:p>
        </w:tc>
        <w:tc>
          <w:tcPr>
            <w:tcW w:w="1500" w:type="dxa"/>
            <w:tcBorders>
              <w:top w:val="single" w:sz="1" w:space="0" w:color="B8CCE4"/>
              <w:left w:val="single" w:sz="1" w:space="0" w:color="B8CCE4"/>
              <w:bottom w:val="single" w:sz="1" w:space="0" w:color="B8CCE4"/>
              <w:right w:val="single" w:sz="1" w:space="0" w:color="B8CCE4"/>
            </w:tcBorders>
            <w:shd w:val="clear" w:color="auto" w:fill="E2EFDA"/>
            <w:tcMar>
              <w:top w:w="100" w:type="dxa"/>
              <w:left w:w="140" w:type="dxa"/>
              <w:bottom w:w="100" w:type="dxa"/>
              <w:right w:w="140" w:type="dxa"/>
            </w:tcMar>
            <w:vAlign w:val="center"/>
          </w:tcPr>
          <w:p w14:paraId="669F50E3" w14:textId="77777777" w:rsidR="001624DC" w:rsidRDefault="00000000">
            <w:pPr>
              <w:jc w:val="center"/>
            </w:pPr>
            <w:r>
              <w:rPr>
                <w:b/>
                <w:bCs/>
                <w:color w:val="375623"/>
                <w:sz w:val="20"/>
                <w:szCs w:val="20"/>
              </w:rPr>
              <w:t>Minor outliers only (Cases 139, 210, 241)</w:t>
            </w:r>
          </w:p>
        </w:tc>
        <w:tc>
          <w:tcPr>
            <w:tcW w:w="3060" w:type="dxa"/>
            <w:tcBorders>
              <w:top w:val="single" w:sz="1" w:space="0" w:color="B8CCE4"/>
              <w:left w:val="single" w:sz="1" w:space="0" w:color="B8CCE4"/>
              <w:bottom w:val="single" w:sz="1" w:space="0" w:color="B8CCE4"/>
              <w:right w:val="single" w:sz="1" w:space="0" w:color="B8CCE4"/>
            </w:tcBorders>
            <w:shd w:val="clear" w:color="auto" w:fill="E2EFDA"/>
            <w:tcMar>
              <w:top w:w="100" w:type="dxa"/>
              <w:left w:w="140" w:type="dxa"/>
              <w:bottom w:w="100" w:type="dxa"/>
              <w:right w:w="140" w:type="dxa"/>
            </w:tcMar>
            <w:vAlign w:val="center"/>
          </w:tcPr>
          <w:p w14:paraId="08EEFCB2" w14:textId="77777777" w:rsidR="001624DC" w:rsidRDefault="00000000">
            <w:r>
              <w:rPr>
                <w:color w:val="375623"/>
                <w:sz w:val="20"/>
                <w:szCs w:val="20"/>
              </w:rPr>
              <w:t>✓ Met — outliers are substantively plausible</w:t>
            </w:r>
          </w:p>
        </w:tc>
      </w:tr>
      <w:tr w:rsidR="001624DC" w14:paraId="72DDCB84" w14:textId="77777777">
        <w:tblPrEx>
          <w:tblCellMar>
            <w:top w:w="0" w:type="dxa"/>
            <w:bottom w:w="0" w:type="dxa"/>
          </w:tblCellMar>
        </w:tblPrEx>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465EA920" w14:textId="77777777" w:rsidR="001624DC" w:rsidRDefault="00000000">
            <w:r>
              <w:rPr>
                <w:b/>
                <w:bCs/>
                <w:sz w:val="20"/>
                <w:szCs w:val="20"/>
              </w:rPr>
              <w:t>Independence of Observations</w:t>
            </w:r>
          </w:p>
        </w:tc>
        <w:tc>
          <w:tcPr>
            <w:tcW w:w="2600" w:type="dxa"/>
            <w:tcBorders>
              <w:top w:val="single" w:sz="1" w:space="0" w:color="B8CCE4"/>
              <w:left w:val="single" w:sz="1" w:space="0" w:color="B8CCE4"/>
              <w:bottom w:val="single" w:sz="1" w:space="0" w:color="B8CCE4"/>
              <w:right w:val="single" w:sz="1" w:space="0" w:color="B8CCE4"/>
            </w:tcBorders>
            <w:shd w:val="clear" w:color="auto" w:fill="FFFFFF"/>
            <w:tcMar>
              <w:top w:w="100" w:type="dxa"/>
              <w:left w:w="140" w:type="dxa"/>
              <w:bottom w:w="100" w:type="dxa"/>
              <w:right w:w="140" w:type="dxa"/>
            </w:tcMar>
            <w:vAlign w:val="center"/>
          </w:tcPr>
          <w:p w14:paraId="388AFA0E" w14:textId="77777777" w:rsidR="001624DC" w:rsidRDefault="00000000">
            <w:r>
              <w:rPr>
                <w:sz w:val="20"/>
                <w:szCs w:val="20"/>
              </w:rPr>
              <w:t>Research design (cross-sectional survey)</w:t>
            </w:r>
          </w:p>
        </w:tc>
        <w:tc>
          <w:tcPr>
            <w:tcW w:w="1500" w:type="dxa"/>
            <w:tcBorders>
              <w:top w:val="single" w:sz="1" w:space="0" w:color="B8CCE4"/>
              <w:left w:val="single" w:sz="1" w:space="0" w:color="B8CCE4"/>
              <w:bottom w:val="single" w:sz="1" w:space="0" w:color="B8CCE4"/>
              <w:right w:val="single" w:sz="1" w:space="0" w:color="B8CCE4"/>
            </w:tcBorders>
            <w:shd w:val="clear" w:color="auto" w:fill="E2EFDA"/>
            <w:tcMar>
              <w:top w:w="100" w:type="dxa"/>
              <w:left w:w="140" w:type="dxa"/>
              <w:bottom w:w="100" w:type="dxa"/>
              <w:right w:w="140" w:type="dxa"/>
            </w:tcMar>
            <w:vAlign w:val="center"/>
          </w:tcPr>
          <w:p w14:paraId="46A7C539" w14:textId="77777777" w:rsidR="001624DC" w:rsidRDefault="00000000">
            <w:pPr>
              <w:jc w:val="center"/>
            </w:pPr>
            <w:r>
              <w:rPr>
                <w:b/>
                <w:bCs/>
                <w:color w:val="375623"/>
                <w:sz w:val="20"/>
                <w:szCs w:val="20"/>
              </w:rPr>
              <w:t>By design</w:t>
            </w:r>
          </w:p>
        </w:tc>
        <w:tc>
          <w:tcPr>
            <w:tcW w:w="3060" w:type="dxa"/>
            <w:tcBorders>
              <w:top w:val="single" w:sz="1" w:space="0" w:color="B8CCE4"/>
              <w:left w:val="single" w:sz="1" w:space="0" w:color="B8CCE4"/>
              <w:bottom w:val="single" w:sz="1" w:space="0" w:color="B8CCE4"/>
              <w:right w:val="single" w:sz="1" w:space="0" w:color="B8CCE4"/>
            </w:tcBorders>
            <w:shd w:val="clear" w:color="auto" w:fill="E2EFDA"/>
            <w:tcMar>
              <w:top w:w="100" w:type="dxa"/>
              <w:left w:w="140" w:type="dxa"/>
              <w:bottom w:w="100" w:type="dxa"/>
              <w:right w:w="140" w:type="dxa"/>
            </w:tcMar>
            <w:vAlign w:val="center"/>
          </w:tcPr>
          <w:p w14:paraId="2D460941" w14:textId="77777777" w:rsidR="001624DC" w:rsidRDefault="00000000">
            <w:r>
              <w:rPr>
                <w:color w:val="375623"/>
                <w:sz w:val="20"/>
                <w:szCs w:val="20"/>
              </w:rPr>
              <w:t>✓ Met — independent responses by design</w:t>
            </w:r>
          </w:p>
        </w:tc>
      </w:tr>
    </w:tbl>
    <w:p w14:paraId="41D57D0A" w14:textId="77777777" w:rsidR="001624DC" w:rsidRDefault="00000000">
      <w:pPr>
        <w:spacing w:before="80" w:after="200"/>
        <w:ind w:left="360"/>
        <w:jc w:val="both"/>
      </w:pPr>
      <w:r>
        <w:rPr>
          <w:b/>
          <w:bCs/>
          <w:sz w:val="21"/>
          <w:szCs w:val="21"/>
        </w:rPr>
        <w:t xml:space="preserve">Note. </w:t>
      </w:r>
      <w:r>
        <w:rPr>
          <w:i/>
          <w:iCs/>
          <w:sz w:val="21"/>
          <w:szCs w:val="21"/>
        </w:rPr>
        <w:t>CLT = Central Limit Theorem. Green shading indicates the assumption is fully met. Amber shading indicates a formal statistical violation that is methodologically mitigated. All statistical values are sourced from Assumption_Testing.pdf. Independence of Observations is determined by research design. VIF and Tolerance diagnostics will be confirmed in the regression analysis (Stage 8).</w:t>
      </w:r>
    </w:p>
    <w:p w14:paraId="362ACCAA" w14:textId="77777777" w:rsidR="001624DC" w:rsidRDefault="001624DC">
      <w:pPr>
        <w:spacing w:before="80" w:after="80"/>
      </w:pPr>
    </w:p>
    <w:p w14:paraId="22FA5C0B" w14:textId="77777777" w:rsidR="001624DC" w:rsidRDefault="00000000">
      <w:pPr>
        <w:pStyle w:val="Heading1"/>
        <w:ind w:left="240" w:right="240"/>
      </w:pPr>
      <w:r>
        <w:t>9.  Conclusion and Implications for Subsequent Analyses</w:t>
      </w:r>
    </w:p>
    <w:p w14:paraId="79A9D401" w14:textId="77777777" w:rsidR="001624DC" w:rsidRDefault="00000000">
      <w:pPr>
        <w:spacing w:before="100" w:after="100" w:line="360" w:lineRule="auto"/>
        <w:ind w:firstLine="720"/>
        <w:jc w:val="both"/>
      </w:pPr>
      <w:r>
        <w:t>The comprehensive assumption testing conducted in Stage 4 confirms that the dataset is fully suitable for the planned parametric inferential analyses. The key findings are summarised as follows. First, the normality assumption is practically satisfied: although formal K-S and Shapiro-Wilk tests yielded statistically significant results (as is expected given N = 270), the Shapiro-Wilk statistics (.980–.984) indicate only negligible departures from normality, and the skewness and kurtosis indices for all three variables fall well within the ±1.0 criterion. Visual inspection confirmed approximately bell-shaped distributions with close adherence to the diagonal in Normal Q-Q plots. The Central Limit Theorem provides additional theoretical justification for parametric methods at this sample size.</w:t>
      </w:r>
    </w:p>
    <w:p w14:paraId="03372B8B" w14:textId="77777777" w:rsidR="001624DC" w:rsidRDefault="00000000">
      <w:pPr>
        <w:spacing w:before="100" w:after="100" w:line="360" w:lineRule="auto"/>
        <w:ind w:firstLine="720"/>
        <w:jc w:val="both"/>
      </w:pPr>
      <w:r>
        <w:t>Second, the homogeneity of variance assumption is confirmed: Levene's Test was non-significant for all three variables across gender groups (p = .271 to .881), indicating equal variances that support the use of standard equal-variance parametric tests. Third, the absence of problematic multicollinearity is established: all bivariate correlations among the study variables fall within the range r = .482–.651, well below the .80 threshold, confirming the analytical separability of the three constructs. Fourth, the identified extreme values are substantively interpretable within the Palestinian academic context and do not constitute influential outliers requiring removal. Fifth, independence of observations is satisfied by design.</w:t>
      </w:r>
    </w:p>
    <w:p w14:paraId="768E2CAA" w14:textId="77777777" w:rsidR="001624DC" w:rsidRDefault="00000000">
      <w:pPr>
        <w:spacing w:before="100" w:after="100" w:line="360" w:lineRule="auto"/>
        <w:ind w:firstLine="720"/>
        <w:jc w:val="both"/>
      </w:pPr>
      <w:r>
        <w:t>Collectively, these findings confirm that the data meet all necessary statistical prerequisites for Pearson correlation analysis (Stage 7), multiple regression analysis (Stage 8), and PROCESS-based mediation analysis (Stage 9). The study proceeds to Stage 5: Reliability Analysis with full confidence in the methodological integrity of the dataset.</w:t>
      </w:r>
    </w:p>
    <w:p w14:paraId="4754664D" w14:textId="77777777" w:rsidR="001624DC" w:rsidRDefault="001624DC">
      <w:pPr>
        <w:spacing w:before="80" w:after="80"/>
      </w:pPr>
    </w:p>
    <w:p w14:paraId="0BE58226" w14:textId="77777777" w:rsidR="001624DC" w:rsidRDefault="00000000">
      <w:pPr>
        <w:pStyle w:val="Heading1"/>
        <w:ind w:left="240" w:right="240"/>
      </w:pPr>
      <w:r>
        <w:t>References</w:t>
      </w:r>
    </w:p>
    <w:p w14:paraId="7EBEAE0A" w14:textId="77777777" w:rsidR="001624DC" w:rsidRDefault="00000000">
      <w:pPr>
        <w:spacing w:before="60" w:after="60"/>
        <w:ind w:left="720" w:hanging="720"/>
        <w:jc w:val="both"/>
      </w:pPr>
      <w:r>
        <w:rPr>
          <w:sz w:val="22"/>
          <w:szCs w:val="22"/>
        </w:rPr>
        <w:lastRenderedPageBreak/>
        <w:t>Abualrob, M., &amp; Atar, C. (2019). Obstacles facing the development of higher education in Palestine. International Journal of Higher Education, 8(3), 136–148. https://doi.org/10.5430/ijhe.v8n3p136</w:t>
      </w:r>
    </w:p>
    <w:p w14:paraId="7427A559" w14:textId="77777777" w:rsidR="001624DC" w:rsidRDefault="00000000">
      <w:pPr>
        <w:spacing w:before="60" w:after="60"/>
        <w:ind w:left="720" w:hanging="720"/>
        <w:jc w:val="both"/>
      </w:pPr>
      <w:r>
        <w:rPr>
          <w:sz w:val="22"/>
          <w:szCs w:val="22"/>
        </w:rPr>
        <w:t>Field, A. (2018). Discovering statistics using IBM SPSS Statistics (5th ed.). SAGE Publications.</w:t>
      </w:r>
    </w:p>
    <w:p w14:paraId="2FFF40F1" w14:textId="77777777" w:rsidR="001624DC" w:rsidRDefault="00000000">
      <w:pPr>
        <w:spacing w:before="60" w:after="60"/>
        <w:ind w:left="720" w:hanging="720"/>
        <w:jc w:val="both"/>
      </w:pPr>
      <w:r>
        <w:rPr>
          <w:sz w:val="22"/>
          <w:szCs w:val="22"/>
        </w:rPr>
        <w:t>Hair, J. F., Black, W. C., Babin, B. J., &amp; Anderson, R. E. (2019). Multivariate data analysis (8th ed.). Cengage Learning.</w:t>
      </w:r>
    </w:p>
    <w:p w14:paraId="6E6B2FE5" w14:textId="77777777" w:rsidR="001624DC" w:rsidRDefault="00000000">
      <w:pPr>
        <w:spacing w:before="60" w:after="60"/>
        <w:ind w:left="720" w:hanging="720"/>
        <w:jc w:val="both"/>
      </w:pPr>
      <w:r>
        <w:rPr>
          <w:sz w:val="22"/>
          <w:szCs w:val="22"/>
        </w:rPr>
        <w:t>Hayes, A. F. (2018). Introduction to mediation, moderation, and conditional process analysis: A regression-based approach (2nd ed.). The Guilford Press.</w:t>
      </w:r>
    </w:p>
    <w:p w14:paraId="211955EF" w14:textId="77777777" w:rsidR="001624DC" w:rsidRDefault="00000000">
      <w:pPr>
        <w:spacing w:before="60" w:after="60"/>
        <w:ind w:left="720" w:hanging="720"/>
        <w:jc w:val="both"/>
      </w:pPr>
      <w:r>
        <w:rPr>
          <w:sz w:val="22"/>
          <w:szCs w:val="22"/>
        </w:rPr>
        <w:t>Hobfoll, S. E. (1989). Conservation of resources: A new attempt at conceptualizing stress. American Psychologist, 44(3), 513–524. https://doi.org/10.1037/0003-066X.44.3.513</w:t>
      </w:r>
    </w:p>
    <w:p w14:paraId="64028179" w14:textId="77777777" w:rsidR="001624DC" w:rsidRDefault="00000000">
      <w:pPr>
        <w:spacing w:before="60" w:after="60"/>
        <w:ind w:left="720" w:hanging="720"/>
        <w:jc w:val="both"/>
      </w:pPr>
      <w:r>
        <w:rPr>
          <w:sz w:val="22"/>
          <w:szCs w:val="22"/>
        </w:rPr>
        <w:t>Kim, H. Y. (2013). Statistical notes for clinical researchers: Assessing normal distribution using skewness and kurtosis. Restorative Dentistry &amp; Endodontics, 38(1), 52–54. https://doi.org/10.5395/rde.2013.38.1.52</w:t>
      </w:r>
    </w:p>
    <w:p w14:paraId="4F2DDC04" w14:textId="77777777" w:rsidR="001624DC" w:rsidRDefault="00000000">
      <w:pPr>
        <w:spacing w:before="60" w:after="60"/>
        <w:ind w:left="720" w:hanging="720"/>
        <w:jc w:val="both"/>
      </w:pPr>
      <w:r>
        <w:rPr>
          <w:sz w:val="22"/>
          <w:szCs w:val="22"/>
        </w:rPr>
        <w:t>Luthans, F., Youssef, C. M., &amp; Avolio, B. J. (2007). Psychological capital: Developing the human competitive edge. Oxford University Press.</w:t>
      </w:r>
    </w:p>
    <w:p w14:paraId="2D5E7639" w14:textId="77777777" w:rsidR="001624DC" w:rsidRDefault="00000000">
      <w:pPr>
        <w:spacing w:before="60" w:after="60"/>
        <w:ind w:left="720" w:hanging="720"/>
        <w:jc w:val="both"/>
      </w:pPr>
      <w:r>
        <w:rPr>
          <w:sz w:val="22"/>
          <w:szCs w:val="22"/>
        </w:rPr>
        <w:t>Pallant, J. (2020). SPSS survival manual: A step-by-step guide to data analysis using IBM SPSS (7th ed.). McGraw-Hill Education.</w:t>
      </w:r>
    </w:p>
    <w:p w14:paraId="1BEA2A59" w14:textId="77777777" w:rsidR="001624DC" w:rsidRDefault="00000000">
      <w:pPr>
        <w:spacing w:before="60" w:after="60"/>
        <w:ind w:left="720" w:hanging="720"/>
        <w:jc w:val="both"/>
      </w:pPr>
      <w:r>
        <w:rPr>
          <w:sz w:val="22"/>
          <w:szCs w:val="22"/>
        </w:rPr>
        <w:t>Razali, N. M., &amp; Wah, Y. B. (2011). Power comparisons of Shapiro-Wilk, Kolmogorov-Smirnov, Lilliefors and Anderson-Darling tests. Journal of Statistical Modeling and Analytics, 2(1), 21–33.</w:t>
      </w:r>
    </w:p>
    <w:p w14:paraId="0167504F" w14:textId="77777777" w:rsidR="001624DC" w:rsidRDefault="00000000">
      <w:pPr>
        <w:spacing w:before="60" w:after="60"/>
        <w:ind w:left="720" w:hanging="720"/>
        <w:jc w:val="both"/>
      </w:pPr>
      <w:r>
        <w:rPr>
          <w:sz w:val="22"/>
          <w:szCs w:val="22"/>
        </w:rPr>
        <w:t>Shapiro, S. S., &amp; Wilk, M. B. (1965). An analysis of variance test for normality (complete samples). Biometrika, 52(3–4), 591–611. https://doi.org/10.2307/2333709</w:t>
      </w:r>
    </w:p>
    <w:p w14:paraId="73808E1C" w14:textId="77777777" w:rsidR="001624DC" w:rsidRDefault="00000000">
      <w:pPr>
        <w:spacing w:before="60" w:after="60"/>
        <w:ind w:left="720" w:hanging="720"/>
        <w:jc w:val="both"/>
      </w:pPr>
      <w:r>
        <w:rPr>
          <w:sz w:val="22"/>
          <w:szCs w:val="22"/>
        </w:rPr>
        <w:t>Tabachnick, B. G., &amp; Fidell, L. S. (2019). Using multivariate statistics (7th ed.). Pearson Education.</w:t>
      </w:r>
    </w:p>
    <w:sectPr w:rsidR="001624DC">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C4B45" w14:textId="77777777" w:rsidR="00575937" w:rsidRDefault="00575937">
      <w:r>
        <w:separator/>
      </w:r>
    </w:p>
  </w:endnote>
  <w:endnote w:type="continuationSeparator" w:id="0">
    <w:p w14:paraId="262DE091" w14:textId="77777777" w:rsidR="00575937" w:rsidRDefault="005759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77B12" w14:textId="77777777" w:rsidR="001624DC" w:rsidRDefault="00000000">
    <w:pPr>
      <w:pBdr>
        <w:top w:val="single" w:sz="4" w:space="4" w:color="2E5496"/>
      </w:pBdr>
      <w:spacing w:before="120"/>
      <w:jc w:val="center"/>
    </w:pPr>
    <w:r>
      <w:rPr>
        <w:color w:val="595959"/>
        <w:sz w:val="18"/>
        <w:szCs w:val="18"/>
      </w:rPr>
      <w:t xml:space="preserve">Psychological Capital · Job Satisfaction · Work </w:t>
    </w:r>
    <w:proofErr w:type="gramStart"/>
    <w:r>
      <w:rPr>
        <w:color w:val="595959"/>
        <w:sz w:val="18"/>
        <w:szCs w:val="18"/>
      </w:rPr>
      <w:t>Engagement  Page</w:t>
    </w:r>
    <w:proofErr w:type="gramEnd"/>
    <w:r>
      <w:rPr>
        <w:color w:val="595959"/>
        <w:sz w:val="18"/>
        <w:szCs w:val="18"/>
      </w:rPr>
      <w:t xml:space="preserve"> </w:t>
    </w:r>
    <w:r>
      <w:rPr>
        <w:color w:val="595959"/>
        <w:sz w:val="18"/>
        <w:szCs w:val="18"/>
      </w:rPr>
      <w:fldChar w:fldCharType="begin"/>
    </w:r>
    <w:r>
      <w:rPr>
        <w:color w:val="595959"/>
        <w:sz w:val="18"/>
        <w:szCs w:val="18"/>
      </w:rPr>
      <w:instrText>PAGE</w:instrText>
    </w:r>
    <w:r>
      <w:rPr>
        <w:color w:val="595959"/>
        <w:sz w:val="18"/>
        <w:szCs w:val="18"/>
      </w:rPr>
      <w:fldChar w:fldCharType="separate"/>
    </w:r>
    <w:r w:rsidR="00271E5A">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271E5A">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AF1EF" w14:textId="77777777" w:rsidR="00575937" w:rsidRDefault="00575937">
      <w:r>
        <w:separator/>
      </w:r>
    </w:p>
  </w:footnote>
  <w:footnote w:type="continuationSeparator" w:id="0">
    <w:p w14:paraId="570B9643" w14:textId="77777777" w:rsidR="00575937" w:rsidRDefault="005759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E6342" w14:textId="77777777" w:rsidR="001624DC" w:rsidRDefault="00000000">
    <w:pPr>
      <w:pBdr>
        <w:bottom w:val="single" w:sz="6" w:space="4" w:color="2E5496"/>
      </w:pBdr>
      <w:spacing w:after="120"/>
      <w:jc w:val="center"/>
    </w:pPr>
    <w:r>
      <w:rPr>
        <w:b/>
        <w:bCs/>
        <w:color w:val="2E5496"/>
        <w:sz w:val="19"/>
        <w:szCs w:val="19"/>
      </w:rPr>
      <w:t>Verification of Statistical Assumptions Prior to Inferential Analysis</w:t>
    </w:r>
    <w:r>
      <w:rPr>
        <w:color w:val="595959"/>
        <w:sz w:val="18"/>
        <w:szCs w:val="18"/>
      </w:rPr>
      <w:t xml:space="preserve">   |   Al-Quds Open University, Palestine   |   N = 270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1E4115"/>
    <w:multiLevelType w:val="hybridMultilevel"/>
    <w:tmpl w:val="982AF07A"/>
    <w:lvl w:ilvl="0" w:tplc="30CECA94">
      <w:start w:val="1"/>
      <w:numFmt w:val="bullet"/>
      <w:lvlText w:val="●"/>
      <w:lvlJc w:val="left"/>
      <w:pPr>
        <w:ind w:left="720" w:hanging="360"/>
      </w:pPr>
    </w:lvl>
    <w:lvl w:ilvl="1" w:tplc="1EE820A4">
      <w:start w:val="1"/>
      <w:numFmt w:val="bullet"/>
      <w:lvlText w:val="○"/>
      <w:lvlJc w:val="left"/>
      <w:pPr>
        <w:ind w:left="1440" w:hanging="360"/>
      </w:pPr>
    </w:lvl>
    <w:lvl w:ilvl="2" w:tplc="86586CCA">
      <w:start w:val="1"/>
      <w:numFmt w:val="bullet"/>
      <w:lvlText w:val="■"/>
      <w:lvlJc w:val="left"/>
      <w:pPr>
        <w:ind w:left="2160" w:hanging="360"/>
      </w:pPr>
    </w:lvl>
    <w:lvl w:ilvl="3" w:tplc="093475B0">
      <w:start w:val="1"/>
      <w:numFmt w:val="bullet"/>
      <w:lvlText w:val="●"/>
      <w:lvlJc w:val="left"/>
      <w:pPr>
        <w:ind w:left="2880" w:hanging="360"/>
      </w:pPr>
    </w:lvl>
    <w:lvl w:ilvl="4" w:tplc="3DB23554">
      <w:start w:val="1"/>
      <w:numFmt w:val="bullet"/>
      <w:lvlText w:val="○"/>
      <w:lvlJc w:val="left"/>
      <w:pPr>
        <w:ind w:left="3600" w:hanging="360"/>
      </w:pPr>
    </w:lvl>
    <w:lvl w:ilvl="5" w:tplc="60506FCA">
      <w:start w:val="1"/>
      <w:numFmt w:val="bullet"/>
      <w:lvlText w:val="■"/>
      <w:lvlJc w:val="left"/>
      <w:pPr>
        <w:ind w:left="4320" w:hanging="360"/>
      </w:pPr>
    </w:lvl>
    <w:lvl w:ilvl="6" w:tplc="2DE63212">
      <w:start w:val="1"/>
      <w:numFmt w:val="bullet"/>
      <w:lvlText w:val="●"/>
      <w:lvlJc w:val="left"/>
      <w:pPr>
        <w:ind w:left="5040" w:hanging="360"/>
      </w:pPr>
    </w:lvl>
    <w:lvl w:ilvl="7" w:tplc="6D32714E">
      <w:start w:val="1"/>
      <w:numFmt w:val="bullet"/>
      <w:lvlText w:val="●"/>
      <w:lvlJc w:val="left"/>
      <w:pPr>
        <w:ind w:left="5760" w:hanging="360"/>
      </w:pPr>
    </w:lvl>
    <w:lvl w:ilvl="8" w:tplc="267CBB86">
      <w:start w:val="1"/>
      <w:numFmt w:val="bullet"/>
      <w:lvlText w:val="●"/>
      <w:lvlJc w:val="left"/>
      <w:pPr>
        <w:ind w:left="6480" w:hanging="360"/>
      </w:pPr>
    </w:lvl>
  </w:abstractNum>
  <w:num w:numId="1" w16cid:durableId="4519441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4DC"/>
    <w:rsid w:val="001624DC"/>
    <w:rsid w:val="00271E5A"/>
    <w:rsid w:val="00575937"/>
    <w:rsid w:val="007324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8D1BB"/>
  <w15:docId w15:val="{B599D90B-1F07-44AD-8BC4-351CE9323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1F3864"/>
      <w:spacing w:before="280" w:after="160"/>
      <w:outlineLvl w:val="0"/>
    </w:pPr>
    <w:rPr>
      <w:b/>
      <w:bCs/>
      <w:color w:val="FFFFFF"/>
      <w:sz w:val="28"/>
      <w:szCs w:val="28"/>
    </w:rPr>
  </w:style>
  <w:style w:type="paragraph" w:styleId="Heading2">
    <w:name w:val="heading 2"/>
    <w:uiPriority w:val="9"/>
    <w:unhideWhenUsed/>
    <w:qFormat/>
    <w:pPr>
      <w:spacing w:before="200" w:after="100"/>
      <w:outlineLvl w:val="1"/>
    </w:pPr>
    <w:rPr>
      <w:b/>
      <w:bCs/>
      <w:color w:val="1F3864"/>
      <w:sz w:val="26"/>
      <w:szCs w:val="26"/>
    </w:rPr>
  </w:style>
  <w:style w:type="paragraph" w:styleId="Heading3">
    <w:name w:val="heading 3"/>
    <w:uiPriority w:val="9"/>
    <w:semiHidden/>
    <w:unhideWhenUsed/>
    <w:qFormat/>
    <w:pPr>
      <w:spacing w:before="160" w:after="80"/>
      <w:outlineLvl w:val="2"/>
    </w:pPr>
    <w:rPr>
      <w:b/>
      <w:bCs/>
      <w:color w:val="2E549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3944</Words>
  <Characters>22481</Characters>
  <Application>Microsoft Office Word</Application>
  <DocSecurity>0</DocSecurity>
  <Lines>187</Lines>
  <Paragraphs>52</Paragraphs>
  <ScaleCrop>false</ScaleCrop>
  <Company/>
  <LinksUpToDate>false</LinksUpToDate>
  <CharactersWithSpaces>26373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Ahmad Awni Hijazi Natsheh</cp:lastModifiedBy>
  <cp:revision>2</cp:revision>
  <dcterms:created xsi:type="dcterms:W3CDTF">2026-05-18T16:32:00Z</dcterms:created>
  <dcterms:modified xsi:type="dcterms:W3CDTF">2026-05-18T16:32:00Z</dcterms:modified>
</cp:coreProperties>
</file>