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Times New Roman" w:cs="Times New Roman" w:eastAsia="Times New Roman" w:hAnsi="Times New Roman"/>
          <w:b w:val="false"/>
          <w:bCs w:val="false"/>
          <w:i w:val="false"/>
          <w:iCs w:val="false"/>
          <w:color w:val="000000"/>
          <w:sz w:val="24"/>
          <w:szCs w:val="24"/>
        </w:rPr>
        <w:t xml:space="preserve"/>
      </w:r>
    </w:p>
    <w:p>
      <w:pPr>
        <w:spacing w:after="60" w:before="0"/>
        <w:jc w:val="center"/>
      </w:pPr>
      <w:r>
        <w:rPr>
          <w:rFonts w:ascii="Times New Roman" w:cs="Times New Roman" w:eastAsia="Times New Roman" w:hAnsi="Times New Roman"/>
          <w:b/>
          <w:bCs/>
          <w:i w:val="false"/>
          <w:iCs w:val="false"/>
          <w:color w:val="595959"/>
          <w:sz w:val="20"/>
          <w:szCs w:val="20"/>
        </w:rPr>
        <w:t xml:space="preserve">ANALYTICAL REPORT — STAGE 5</w:t>
      </w:r>
    </w:p>
    <w:p>
      <w:pPr>
        <w:spacing w:after="60" w:before="0"/>
        <w:jc w:val="center"/>
      </w:pPr>
      <w:r>
        <w:rPr>
          <w:rFonts w:ascii="Times New Roman" w:cs="Times New Roman" w:eastAsia="Times New Roman" w:hAnsi="Times New Roman"/>
          <w:b/>
          <w:bCs/>
          <w:i w:val="false"/>
          <w:iCs w:val="false"/>
          <w:color w:val="1F3864"/>
          <w:sz w:val="42"/>
          <w:szCs w:val="42"/>
        </w:rPr>
        <w:t xml:space="preserve">Reliability Analysis of the Study Instruments</w:t>
      </w:r>
    </w:p>
    <w:p>
      <w:pPr>
        <w:spacing w:after="120" w:before="0"/>
        <w:jc w:val="center"/>
      </w:pPr>
      <w:r>
        <w:rPr>
          <w:rFonts w:ascii="Times New Roman" w:cs="Times New Roman" w:eastAsia="Times New Roman" w:hAnsi="Times New Roman"/>
          <w:b/>
          <w:bCs/>
          <w:i w:val="false"/>
          <w:iCs w:val="false"/>
          <w:color w:val="2E5496"/>
          <w:sz w:val="36"/>
          <w:szCs w:val="36"/>
        </w:rPr>
        <w:t xml:space="preserve">Prior to Inferential Analysis</w:t>
      </w:r>
    </w:p>
    <w:p>
      <w:pPr>
        <w:pBdr>
          <w:bottom w:val="single" w:color="2E5496" w:sz="6"/>
        </w:pBd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40" w:before="40"/>
      </w:pPr>
      <w:r>
        <w:rPr>
          <w:rFonts w:ascii="Times New Roman" w:cs="Times New Roman" w:eastAsia="Times New Roman" w:hAnsi="Times New Roman"/>
          <w:b w:val="false"/>
          <w:bCs w:val="false"/>
          <w:i w:val="false"/>
          <w:iCs w:val="false"/>
          <w:color w:val="000000"/>
          <w:sz w:val="24"/>
          <w:szCs w:val="24"/>
        </w:rPr>
        <w:t xml:space="preserve"/>
      </w:r>
    </w:p>
    <w:p>
      <w:pPr>
        <w:spacing w:after="40" w:before="0"/>
        <w:jc w:val="center"/>
      </w:pPr>
      <w:r>
        <w:rPr>
          <w:rFonts w:ascii="Times New Roman" w:cs="Times New Roman" w:eastAsia="Times New Roman" w:hAnsi="Times New Roman"/>
          <w:b w:val="false"/>
          <w:bCs w:val="false"/>
          <w:i/>
          <w:iCs/>
          <w:color w:val="1F3864"/>
          <w:sz w:val="25"/>
          <w:szCs w:val="25"/>
        </w:rPr>
        <w:t xml:space="preserve">The Mediating Role of Job Satisfaction in the Relationship Between</w:t>
      </w:r>
    </w:p>
    <w:p>
      <w:pPr>
        <w:spacing w:after="40" w:before="0"/>
        <w:jc w:val="center"/>
      </w:pPr>
      <w:r>
        <w:rPr>
          <w:rFonts w:ascii="Times New Roman" w:cs="Times New Roman" w:eastAsia="Times New Roman" w:hAnsi="Times New Roman"/>
          <w:b w:val="false"/>
          <w:bCs w:val="false"/>
          <w:i/>
          <w:iCs/>
          <w:color w:val="1F3864"/>
          <w:sz w:val="25"/>
          <w:szCs w:val="25"/>
        </w:rPr>
        <w:t xml:space="preserve">Psychological Capital and Work Engagement Among Academic Staff</w:t>
      </w:r>
    </w:p>
    <w:p>
      <w:pPr>
        <w:spacing w:after="200" w:before="0"/>
        <w:jc w:val="center"/>
      </w:pPr>
      <w:r>
        <w:rPr>
          <w:rFonts w:ascii="Times New Roman" w:cs="Times New Roman" w:eastAsia="Times New Roman" w:hAnsi="Times New Roman"/>
          <w:b w:val="false"/>
          <w:bCs w:val="false"/>
          <w:i/>
          <w:iCs/>
          <w:color w:val="1F3864"/>
          <w:sz w:val="25"/>
          <w:szCs w:val="25"/>
        </w:rPr>
        <w:t xml:space="preserve">at Al-Quds Open University, Palestine</w:t>
      </w:r>
    </w:p>
    <w:tbl>
      <w:tblPr>
        <w:tblW w:type="dxa" w:w="7200"/>
        <w:tblBorders>
          <w:top w:val="single" w:color="B8CCE4" w:sz="4"/>
          <w:left w:val="single" w:color="B8CCE4" w:sz="4"/>
          <w:bottom w:val="single" w:color="B8CCE4" w:sz="4"/>
          <w:right w:val="single" w:color="B8CCE4" w:sz="4"/>
          <w:insideH w:val="single" w:color="B8CCE4" w:sz="4"/>
          <w:insideV w:val="single" w:color="B8CCE4" w:sz="4"/>
        </w:tblBorders>
      </w:tblPr>
      <w:tblGrid>
        <w:gridCol w:w="3200"/>
        <w:gridCol w:w="400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Stage</w:t>
            </w:r>
          </w:p>
        </w:tc>
        <w:tc>
          <w:tcPr>
            <w:tcW w:type="dxa" w:w="4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FFFFFF"/>
                <w:sz w:val="21"/>
                <w:szCs w:val="21"/>
              </w:rPr>
              <w:t xml:space="preserve">Stage 5 — Internal Consistency Reliability</w:t>
            </w:r>
          </w:p>
        </w:tc>
      </w:tr>
      <w:tr>
        <w:tc>
          <w:tcPr>
            <w:tcW w:type="dxa" w:w="32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Study Design</w:t>
            </w:r>
          </w:p>
        </w:tc>
        <w:tc>
          <w:tcPr>
            <w:tcW w:type="dxa" w:w="40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Quantitative — Cross-sectional Survey</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Sample Size</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N = 270 Academic Staff Members</w:t>
            </w:r>
          </w:p>
        </w:tc>
      </w:tr>
      <w:tr>
        <w:tc>
          <w:tcPr>
            <w:tcW w:type="dxa" w:w="32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Statistical Software</w:t>
            </w:r>
          </w:p>
        </w:tc>
        <w:tc>
          <w:tcPr>
            <w:tcW w:type="dxa" w:w="40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IBM SPSS Statistics v26</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SPSS Procedure</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RELIABILITY — MODEL=ALPHA</w:t>
            </w:r>
          </w:p>
        </w:tc>
      </w:tr>
      <w:tr>
        <w:tc>
          <w:tcPr>
            <w:tcW w:type="dxa" w:w="32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Source Output File</w:t>
            </w:r>
          </w:p>
        </w:tc>
        <w:tc>
          <w:tcPr>
            <w:tcW w:type="dxa" w:w="40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RELIABILITY.pdf (18 May 2026)</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Date</w:t>
            </w:r>
          </w:p>
        </w:tc>
        <w:tc>
          <w:tcPr>
            <w:tcW w:type="dxa" w:w="4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May 2026</w:t>
            </w:r>
          </w:p>
        </w:tc>
      </w:tr>
    </w:tbl>
    <w:p>
      <w:pPr>
        <w:spacing w:after="0" w:before="20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1.  Introduction</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Reliability analysis is a foundational prerequisite in any quantitative study employing psychometric scales. Before inferential conclusions about inter-construct relationships can be drawn with confidence, it is essential to establish that each measurement instrument demonstrates adequate internal consistency — that is, that the items constituting each scale converge on a single, coherent underlying construct in a stable and replicable manner. In the absence of sufficient reliability, observed associations among variables may reflect random measurement error rather than genuine construct relationships, thereby undermining the validity of any subsequent inferential conclusions (Nunnally &amp; Bernstein, 1994).</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report presents a comprehensive reliability analysis of all three measurement instruments employed in the present study, which examines the mediating role of Job Satisfaction in the relationship between Psychological Capital and Work Engagement among academic staff members at Al-Quds Open University (QOU), Palestine. Given the unique socio-political, institutional, and cultural context in which this study is conducted, it is particularly important to verify that internationally validated instruments demonstrate adequate reliability when applied to this specific population (Avey et al., 2011; Luthans et al., 2007).</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three instruments assessed are: (1) the Psychological Capital Questionnaire (PCQ-24; Luthans et al., 2007), measuring the independent variable; (2) the Utrecht Work Engagement Scale — short form (UWES-9; Schaufeli et al., 2006), measuring the dependent variable; and (3) the Minnesota Satisfaction Questionnaire short-form (MSQ-20; Weiss et al., 1967), measuring the mediating variable. Reliability was assessed using Cronbach's alpha coefficient (α), the most widely adopted index of internal consistency in social and organisational science research (Cronbach, 1951; Field, 2018). Item-level diagnostics, including Corrected Item-Total Correlations (CITC) and Cronbach's Alpha if Item Deleted statistics, were also examined to evaluate the contribution of each item to the reliability of its respective scale.</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2.  Reliability Criteria and Interpretive Benchmarks</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Internal consistency was evaluated using Cronbach's alpha (α), with interpretation guided by the classification framework proposed by George and Mallery (2020), which is among the most widely cited in applied behavioural research, and cross-referenced with the foundational standards established by Nunnally and Bernstein (1994). These benchmarks are presented in Table 1.</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1</w:t>
      </w:r>
      <w:r>
        <w:rPr>
          <w:rFonts w:ascii="Times New Roman" w:cs="Times New Roman" w:eastAsia="Times New Roman" w:hAnsi="Times New Roman"/>
          <w:b w:val="false"/>
          <w:bCs w:val="false"/>
          <w:i w:val="false"/>
          <w:iCs w:val="false"/>
          <w:color w:val="000000"/>
          <w:sz w:val="24"/>
          <w:szCs w:val="24"/>
        </w:rPr>
        <w:t xml:space="preserve">
Cronbach's Alpha Interpretive Benchmarks for Internal Consistency</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2000"/>
        <w:gridCol w:w="2400"/>
        <w:gridCol w:w="3400"/>
        <w:gridCol w:w="156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Cronbach's α Range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Classification</w:t>
            </w:r>
          </w:p>
        </w:tc>
        <w:tc>
          <w:tcPr>
            <w:tcW w:type="dxa" w:w="3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Research Suitability</w:t>
            </w:r>
          </w:p>
        </w:tc>
        <w:tc>
          <w:tcPr>
            <w:tcW w:type="dxa" w:w="1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Symbol</w:t>
            </w:r>
          </w:p>
        </w:tc>
      </w:tr>
      <w:tr>
        <w:tc>
          <w:tcPr>
            <w:tcW w:type="dxa" w:w="20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α ≥ .90</w:t>
            </w:r>
          </w:p>
        </w:tc>
        <w:tc>
          <w:tcPr>
            <w:tcW w:type="dxa" w:w="2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Excellent</w:t>
            </w:r>
          </w:p>
        </w:tc>
        <w:tc>
          <w:tcPr>
            <w:tcW w:type="dxa" w:w="3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375623"/>
                <w:sz w:val="21"/>
                <w:szCs w:val="21"/>
              </w:rPr>
              <w:t xml:space="preserve">Highly Suitable for Academic Research</w:t>
            </w:r>
          </w:p>
        </w:tc>
        <w:tc>
          <w:tcPr>
            <w:tcW w:type="dxa" w:w="15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w:t>
            </w:r>
          </w:p>
        </w:tc>
      </w:tr>
      <w:tr>
        <w:tc>
          <w:tcPr>
            <w:tcW w:type="dxa" w:w="20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.80 ≤ α &lt; .90</w:t>
            </w:r>
          </w:p>
        </w:tc>
        <w:tc>
          <w:tcPr>
            <w:tcW w:type="dxa" w:w="2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Good</w:t>
            </w:r>
          </w:p>
        </w:tc>
        <w:tc>
          <w:tcPr>
            <w:tcW w:type="dxa" w:w="3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375623"/>
                <w:sz w:val="21"/>
                <w:szCs w:val="21"/>
              </w:rPr>
              <w:t xml:space="preserve">Suitable for Academic Research</w:t>
            </w:r>
          </w:p>
        </w:tc>
        <w:tc>
          <w:tcPr>
            <w:tcW w:type="dxa" w:w="15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w:t>
            </w:r>
          </w:p>
        </w:tc>
      </w:tr>
      <w:tr>
        <w:tc>
          <w:tcPr>
            <w:tcW w:type="dxa" w:w="20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7F6000"/>
                <w:sz w:val="21"/>
                <w:szCs w:val="21"/>
              </w:rPr>
              <w:t xml:space="preserve">.70 ≤ α &lt; .80</w:t>
            </w:r>
          </w:p>
        </w:tc>
        <w:tc>
          <w:tcPr>
            <w:tcW w:type="dxa" w:w="24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7F6000"/>
                <w:sz w:val="21"/>
                <w:szCs w:val="21"/>
              </w:rPr>
              <w:t xml:space="preserve">Acceptable</w:t>
            </w:r>
          </w:p>
        </w:tc>
        <w:tc>
          <w:tcPr>
            <w:tcW w:type="dxa" w:w="34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7F6000"/>
                <w:sz w:val="21"/>
                <w:szCs w:val="21"/>
              </w:rPr>
              <w:t xml:space="preserve">Acceptable; Proceed with Caution</w:t>
            </w:r>
          </w:p>
        </w:tc>
        <w:tc>
          <w:tcPr>
            <w:tcW w:type="dxa" w:w="156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7F6000"/>
                <w:sz w:val="21"/>
                <w:szCs w:val="21"/>
              </w:rPr>
              <w:t xml:space="preserve">~</w:t>
            </w:r>
          </w:p>
        </w:tc>
      </w:tr>
      <w:tr>
        <w:tc>
          <w:tcPr>
            <w:tcW w:type="dxa" w:w="200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833C00"/>
                <w:sz w:val="21"/>
                <w:szCs w:val="21"/>
              </w:rPr>
              <w:t xml:space="preserve">.60 ≤ α &lt; .70</w:t>
            </w:r>
          </w:p>
        </w:tc>
        <w:tc>
          <w:tcPr>
            <w:tcW w:type="dxa" w:w="240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833C00"/>
                <w:sz w:val="21"/>
                <w:szCs w:val="21"/>
              </w:rPr>
              <w:t xml:space="preserve">Questionable</w:t>
            </w:r>
          </w:p>
        </w:tc>
        <w:tc>
          <w:tcPr>
            <w:tcW w:type="dxa" w:w="340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833C00"/>
                <w:sz w:val="21"/>
                <w:szCs w:val="21"/>
              </w:rPr>
              <w:t xml:space="preserve">Use with Caution; Review Items</w:t>
            </w:r>
          </w:p>
        </w:tc>
        <w:tc>
          <w:tcPr>
            <w:tcW w:type="dxa" w:w="156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833C00"/>
                <w:sz w:val="21"/>
                <w:szCs w:val="21"/>
              </w:rPr>
              <w:t xml:space="preserve">?</w:t>
            </w:r>
          </w:p>
        </w:tc>
      </w:tr>
      <w:tr>
        <w:tc>
          <w:tcPr>
            <w:tcW w:type="dxa" w:w="200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833C00"/>
                <w:sz w:val="21"/>
                <w:szCs w:val="21"/>
              </w:rPr>
              <w:t xml:space="preserve">α &lt; .60</w:t>
            </w:r>
          </w:p>
        </w:tc>
        <w:tc>
          <w:tcPr>
            <w:tcW w:type="dxa" w:w="240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833C00"/>
                <w:sz w:val="21"/>
                <w:szCs w:val="21"/>
              </w:rPr>
              <w:t xml:space="preserve">Poor</w:t>
            </w:r>
          </w:p>
        </w:tc>
        <w:tc>
          <w:tcPr>
            <w:tcW w:type="dxa" w:w="340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833C00"/>
                <w:sz w:val="21"/>
                <w:szCs w:val="21"/>
              </w:rPr>
              <w:t xml:space="preserve">Not Recommended for Inferential Analyses</w:t>
            </w:r>
          </w:p>
        </w:tc>
        <w:tc>
          <w:tcPr>
            <w:tcW w:type="dxa" w:w="1560"/>
            <w:tcBorders>
              <w:top w:val="single" w:color="B8CCE4" w:sz="1"/>
              <w:left w:val="single" w:color="B8CCE4" w:sz="1"/>
              <w:bottom w:val="single" w:color="B8CCE4" w:sz="1"/>
              <w:right w:val="single" w:color="B8CCE4" w:sz="1"/>
            </w:tcBorders>
            <w:shd w:fill="FCE4D6"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833C00"/>
                <w:sz w:val="21"/>
                <w:szCs w:val="21"/>
              </w:rPr>
              <w:t xml:space="preserve">✗</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Classification is based on George and Mallery (2020) and Nunnally and Bernstein (1994). These benchmarks are widely adopted in published organisational behaviour and educational research (Hair et al., 2019).</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addition to the overall alpha coefficient, item-level diagnostics were examined for each scale. The Corrected Item-Total Correlation (CITC) indicates the degree to which each item correlates with the total scale score, with its own contribution partialled out. Items with CITC values below .30 are generally considered weak contributors to a scale and may be candidates for removal (Nunnally &amp; Bernstein, 1994). The Alpha if Item Deleted statistic indicates whether removing a given item would meaningfully improve the overall reliability coefficient; a substantial increase would suggest that the item does not fit well within the scale (Hair et al., 2019). All items were retained unless both criteria jointly indicated poor fit.</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3.  Reliability Analysis — Psychological Capital Questionnaire (PCQ-24)</w:t>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3.1  Instrument Overview</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PCQ-24 (Luthans et al., 2007) is a 24-item instrument measuring four theoretically distinct and empirically validated dimensions of psychological capital: Self-Efficacy (items 1–6; the belief in one's capacity to mobilise cognitive resources and execute tasks successfully in specific contexts), Hope (items 7–12; goal-directed thinking involving both the motivation to pursue goals and the capacity to generate alternative pathways), Resilience (items 13–18; the capacity to recover, adapt, and grow from adversity, uncertainty, and setbacks), and Optimism (items 19–24; a positive attributional style characterised by the expectation of positive outcomes). Each subscale contains six items rated on a six-point Likert scale ranging from 1 (Strongly Disagree) to 6 (Strongly Agree). Three items (pcq13, pcq20, and pcq23) are negatively worded and were reverse-scored prior to analysis in accordance with the instrument's scoring protocol (denoted as pcq13_r, pcq20_r, pcq23_r).</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present study, Psychological Capital constitutes the independent variable hypothesised to exert both direct and indirect effects on work engagement, with the indirect pathway operating through job satisfaction as the mediating mechanism. Strong psychometric reliability of the PCQ-24 is therefore a prerequisite for detecting these hypothesised effects with adequate statistical precision.</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3.2  Overall Reliability Results</w:t>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2</w:t>
      </w:r>
      <w:r>
        <w:rPr>
          <w:rFonts w:ascii="Times New Roman" w:cs="Times New Roman" w:eastAsia="Times New Roman" w:hAnsi="Times New Roman"/>
          <w:b w:val="false"/>
          <w:bCs w:val="false"/>
          <w:i w:val="false"/>
          <w:iCs w:val="false"/>
          <w:color w:val="000000"/>
          <w:sz w:val="24"/>
          <w:szCs w:val="24"/>
        </w:rPr>
        <w:t xml:space="preserve">
Reliability Statistics — PCQ-24 (Psychological Capital)</w:t>
      </w:r>
    </w:p>
    <w:tbl>
      <w:tblPr>
        <w:tblW w:type="dxa" w:w="10360"/>
        <w:tblBorders>
          <w:top w:val="single" w:color="B8CCE4" w:sz="4"/>
          <w:left w:val="single" w:color="B8CCE4" w:sz="4"/>
          <w:bottom w:val="single" w:color="B8CCE4" w:sz="4"/>
          <w:right w:val="single" w:color="B8CCE4" w:sz="4"/>
          <w:insideH w:val="single" w:color="B8CCE4" w:sz="4"/>
          <w:insideV w:val="single" w:color="B8CCE4" w:sz="4"/>
        </w:tblBorders>
      </w:tblPr>
      <w:tblGrid>
        <w:gridCol w:w="3200"/>
        <w:gridCol w:w="1200"/>
        <w:gridCol w:w="1400"/>
        <w:gridCol w:w="1500"/>
        <w:gridCol w:w="1500"/>
        <w:gridCol w:w="156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Scale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N Items</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Cronbach's α</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α (Standardised)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Scale Mean</w:t>
            </w:r>
          </w:p>
        </w:tc>
        <w:tc>
          <w:tcPr>
            <w:tcW w:type="dxa" w:w="1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Rating</w:t>
            </w:r>
          </w:p>
        </w:tc>
      </w:tr>
      <w:tr>
        <w:tc>
          <w:tcPr>
            <w:tcW w:type="dxa" w:w="3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PCQ-24 — Psychological Capital (Total)</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24</w:t>
            </w:r>
          </w:p>
        </w:tc>
        <w:tc>
          <w:tcPr>
            <w:tcW w:type="dxa" w:w="1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.939</w:t>
            </w:r>
          </w:p>
        </w:tc>
        <w:tc>
          <w:tcPr>
            <w:tcW w:type="dxa" w:w="15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.939</w:t>
            </w:r>
          </w:p>
        </w:tc>
        <w:tc>
          <w:tcPr>
            <w:tcW w:type="dxa" w:w="15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103.71</w:t>
            </w:r>
          </w:p>
        </w:tc>
        <w:tc>
          <w:tcPr>
            <w:tcW w:type="dxa" w:w="15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Excellent ✓</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N = 270. All statistics are sourced directly from the SPSS RELIABILITY output (RELIABILITY.pdf, 18 May 2026). Scale mean reflects the sum of all 24 items (range: 24–144).</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PCQ-24 demonstrated excellent internal consistency in the present sample, yielding a Cronbach's alpha of α = .939 across all 24 items (N = 270). This value substantially exceeds the .90 threshold for excellent reliability (George &amp; Mallery, 2020) and surpasses the minimum standard of .70 typically required for research purposes (Nunnally &amp; Bernstein, 1994). The alpha coefficient based on standardised items was identical (α = .939), indicating that the reliability estimate is not an artefact of differences in item scaling or response format. These results strongly support the internal consistency of the PCQ-24 and justify the computation and use of a composite psychological capital score in all subsequent inferential analyses.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3.3  Item-Level Analysis</w:t>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3</w:t>
      </w:r>
      <w:r>
        <w:rPr>
          <w:rFonts w:ascii="Times New Roman" w:cs="Times New Roman" w:eastAsia="Times New Roman" w:hAnsi="Times New Roman"/>
          <w:b w:val="false"/>
          <w:bCs w:val="false"/>
          <w:i w:val="false"/>
          <w:iCs w:val="false"/>
          <w:color w:val="000000"/>
          <w:sz w:val="24"/>
          <w:szCs w:val="24"/>
        </w:rPr>
        <w:t xml:space="preserve">
Item-Total Statistics — PCQ-24 by Subscale and Dimension</w:t>
      </w:r>
    </w:p>
    <w:tbl>
      <w:tblPr>
        <w:tblW w:type="dxa" w:w="8800"/>
        <w:tblBorders>
          <w:top w:val="single" w:color="B8CCE4" w:sz="4"/>
          <w:left w:val="single" w:color="B8CCE4" w:sz="4"/>
          <w:bottom w:val="single" w:color="B8CCE4" w:sz="4"/>
          <w:right w:val="single" w:color="B8CCE4" w:sz="4"/>
          <w:insideH w:val="single" w:color="B8CCE4" w:sz="4"/>
          <w:insideV w:val="single" w:color="B8CCE4" w:sz="4"/>
        </w:tblBorders>
      </w:tblPr>
      <w:tblGrid>
        <w:gridCol w:w="600"/>
        <w:gridCol w:w="3400"/>
        <w:gridCol w:w="1300"/>
        <w:gridCol w:w="800"/>
        <w:gridCol w:w="700"/>
        <w:gridCol w:w="1000"/>
        <w:gridCol w:w="1000"/>
      </w:tblGrid>
      <w:tr>
        <w:tc>
          <w:tcPr>
            <w:tcW w:type="dxa" w:w="6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Item</w:t>
            </w:r>
          </w:p>
        </w:tc>
        <w:tc>
          <w:tcPr>
            <w:tcW w:type="dxa" w:w="34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FFFFFF"/>
                <w:sz w:val="19"/>
                <w:szCs w:val="19"/>
              </w:rPr>
              <w:t xml:space="preserve">Description</w:t>
            </w:r>
          </w:p>
        </w:tc>
        <w:tc>
          <w:tcPr>
            <w:tcW w:type="dxa" w:w="13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Dimension</w:t>
            </w:r>
          </w:p>
        </w:tc>
        <w:tc>
          <w:tcPr>
            <w:tcW w:type="dxa" w:w="8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Mean</w:t>
            </w:r>
          </w:p>
        </w:tc>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CITC</w:t>
            </w:r>
          </w:p>
        </w:tc>
        <w:tc>
          <w:tcPr>
            <w:tcW w:type="dxa" w:w="10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α if Del.</w:t>
            </w:r>
          </w:p>
        </w:tc>
        <w:tc>
          <w:tcPr>
            <w:tcW w:type="dxa" w:w="10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Status</w:t>
            </w:r>
          </w:p>
        </w:tc>
      </w:tr>
      <w:tr>
        <w:tc>
          <w:tcPr>
            <w:tcW w:type="dxa" w:w="880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Self-Efficacy Subscale</w:t>
            </w:r>
          </w:p>
        </w:tc>
      </w:tr>
      <w:tr>
        <w:tc>
          <w:tcPr>
            <w:tcW w:type="dxa" w:w="6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Confident analyzing long-term problems</w:t>
            </w:r>
          </w:p>
        </w:tc>
        <w:tc>
          <w:tcPr>
            <w:tcW w:type="dxa" w:w="13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Self-Efficacy</w:t>
            </w:r>
          </w:p>
        </w:tc>
        <w:tc>
          <w:tcPr>
            <w:tcW w:type="dxa" w:w="8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4.37</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.612</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pcq2</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Confident representing work area in meetings</w:t>
            </w:r>
          </w:p>
        </w:tc>
        <w:tc>
          <w:tcPr>
            <w:tcW w:type="dxa" w:w="13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Self-Efficacy</w:t>
            </w:r>
          </w:p>
        </w:tc>
        <w:tc>
          <w:tcPr>
            <w:tcW w:type="dxa" w:w="8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4.30</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.590</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pcq3</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Confident contributing to university strategy</w:t>
            </w:r>
          </w:p>
        </w:tc>
        <w:tc>
          <w:tcPr>
            <w:tcW w:type="dxa" w:w="13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Self-Efficacy</w:t>
            </w:r>
          </w:p>
        </w:tc>
        <w:tc>
          <w:tcPr>
            <w:tcW w:type="dxa" w:w="8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4.29</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.615</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pcq4</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Confident helping to set targets/goals</w:t>
            </w:r>
          </w:p>
        </w:tc>
        <w:tc>
          <w:tcPr>
            <w:tcW w:type="dxa" w:w="13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Self-Efficacy</w:t>
            </w:r>
          </w:p>
        </w:tc>
        <w:tc>
          <w:tcPr>
            <w:tcW w:type="dxa" w:w="8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4.23</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.653</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pcq5</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Confident contacting people outside university</w:t>
            </w:r>
          </w:p>
        </w:tc>
        <w:tc>
          <w:tcPr>
            <w:tcW w:type="dxa" w:w="13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Self-Efficacy</w:t>
            </w:r>
          </w:p>
        </w:tc>
        <w:tc>
          <w:tcPr>
            <w:tcW w:type="dxa" w:w="8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4.38</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.612</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pcq6</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Confident presenting to group of colleagues</w:t>
            </w:r>
          </w:p>
        </w:tc>
        <w:tc>
          <w:tcPr>
            <w:tcW w:type="dxa" w:w="13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Self-Efficacy</w:t>
            </w:r>
          </w:p>
        </w:tc>
        <w:tc>
          <w:tcPr>
            <w:tcW w:type="dxa" w:w="8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4.36</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.647</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880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Hope Subscale</w:t>
            </w:r>
          </w:p>
        </w:tc>
      </w:tr>
      <w:tr>
        <w:tc>
          <w:tcPr>
            <w:tcW w:type="dxa" w:w="6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pcq7</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Find ways to get out of a jam at work</w:t>
            </w:r>
          </w:p>
        </w:tc>
        <w:tc>
          <w:tcPr>
            <w:tcW w:type="dxa" w:w="13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Hope</w:t>
            </w:r>
          </w:p>
        </w:tc>
        <w:tc>
          <w:tcPr>
            <w:tcW w:type="dxa" w:w="8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4.51</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.561</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pcq8</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Energetically pursuing my work goals</w:t>
            </w:r>
          </w:p>
        </w:tc>
        <w:tc>
          <w:tcPr>
            <w:tcW w:type="dxa" w:w="13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Hope</w:t>
            </w:r>
          </w:p>
        </w:tc>
        <w:tc>
          <w:tcPr>
            <w:tcW w:type="dxa" w:w="8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4.40</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.592</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pcq9</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Lots of ways around any problem</w:t>
            </w:r>
          </w:p>
        </w:tc>
        <w:tc>
          <w:tcPr>
            <w:tcW w:type="dxa" w:w="13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Hope</w:t>
            </w:r>
          </w:p>
        </w:tc>
        <w:tc>
          <w:tcPr>
            <w:tcW w:type="dxa" w:w="8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4.49</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.631</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pcq10</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See myself as successful at work</w:t>
            </w:r>
          </w:p>
        </w:tc>
        <w:tc>
          <w:tcPr>
            <w:tcW w:type="dxa" w:w="13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Hope</w:t>
            </w:r>
          </w:p>
        </w:tc>
        <w:tc>
          <w:tcPr>
            <w:tcW w:type="dxa" w:w="8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4.40</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.652</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pcq11</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Many ways to reach my current work goals</w:t>
            </w:r>
          </w:p>
        </w:tc>
        <w:tc>
          <w:tcPr>
            <w:tcW w:type="dxa" w:w="13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Hope</w:t>
            </w:r>
          </w:p>
        </w:tc>
        <w:tc>
          <w:tcPr>
            <w:tcW w:type="dxa" w:w="8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4.43</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.614</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pcq12</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Meeting the work goals I have set for myself</w:t>
            </w:r>
          </w:p>
        </w:tc>
        <w:tc>
          <w:tcPr>
            <w:tcW w:type="dxa" w:w="13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Hope</w:t>
            </w:r>
          </w:p>
        </w:tc>
        <w:tc>
          <w:tcPr>
            <w:tcW w:type="dxa" w:w="8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4.50</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.666</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880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Resilience Subscale</w:t>
            </w:r>
          </w:p>
        </w:tc>
      </w:tr>
      <w:tr>
        <w:tc>
          <w:tcPr>
            <w:tcW w:type="dxa" w:w="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pcq13_r</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Setback recovery — reverse scored (R)</w:t>
            </w:r>
          </w:p>
        </w:tc>
        <w:tc>
          <w:tcPr>
            <w:tcW w:type="dxa" w:w="13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Resilience</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4.35</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.598</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pcq14</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Usually manage difficulties at work</w:t>
            </w:r>
          </w:p>
        </w:tc>
        <w:tc>
          <w:tcPr>
            <w:tcW w:type="dxa" w:w="13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Resilience</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4.24</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.581</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pcq15</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Can be on my own at work if needed</w:t>
            </w:r>
          </w:p>
        </w:tc>
        <w:tc>
          <w:tcPr>
            <w:tcW w:type="dxa" w:w="13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Resilience</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4.28</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.570</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pcq16</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Usually take stressful things in stride</w:t>
            </w:r>
          </w:p>
        </w:tc>
        <w:tc>
          <w:tcPr>
            <w:tcW w:type="dxa" w:w="13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Resilience</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4.34</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.625</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pcq17</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Get through difficult times — prior experience</w:t>
            </w:r>
          </w:p>
        </w:tc>
        <w:tc>
          <w:tcPr>
            <w:tcW w:type="dxa" w:w="13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Resilience</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4.37</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.624</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pcq18</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Can handle many things at a time at this job</w:t>
            </w:r>
          </w:p>
        </w:tc>
        <w:tc>
          <w:tcPr>
            <w:tcW w:type="dxa" w:w="13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Resilience</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4.28</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.608</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880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Optimism Subscale</w:t>
            </w:r>
          </w:p>
        </w:tc>
      </w:tr>
      <w:tr>
        <w:tc>
          <w:tcPr>
            <w:tcW w:type="dxa" w:w="6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pcq19</w:t>
            </w:r>
          </w:p>
        </w:tc>
        <w:tc>
          <w:tcPr>
            <w:tcW w:type="dxa" w:w="34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Uncertain situations — usually expect the best</w:t>
            </w:r>
          </w:p>
        </w:tc>
        <w:tc>
          <w:tcPr>
            <w:tcW w:type="dxa" w:w="13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Optimism</w:t>
            </w:r>
          </w:p>
        </w:tc>
        <w:tc>
          <w:tcPr>
            <w:tcW w:type="dxa" w:w="8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4.26</w:t>
            </w:r>
          </w:p>
        </w:tc>
        <w:tc>
          <w:tcPr>
            <w:tcW w:type="dxa" w:w="7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7F6000"/>
                <w:sz w:val="19"/>
                <w:szCs w:val="19"/>
              </w:rPr>
              <w:t xml:space="preserve">.548</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pcq20_r</w:t>
            </w:r>
          </w:p>
        </w:tc>
        <w:tc>
          <w:tcPr>
            <w:tcW w:type="dxa" w:w="34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Not anxious about work future (R)</w:t>
            </w:r>
          </w:p>
        </w:tc>
        <w:tc>
          <w:tcPr>
            <w:tcW w:type="dxa" w:w="13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Optimism</w:t>
            </w:r>
          </w:p>
        </w:tc>
        <w:tc>
          <w:tcPr>
            <w:tcW w:type="dxa" w:w="8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4.29</w:t>
            </w:r>
          </w:p>
        </w:tc>
        <w:tc>
          <w:tcPr>
            <w:tcW w:type="dxa" w:w="7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7F6000"/>
                <w:sz w:val="19"/>
                <w:szCs w:val="19"/>
              </w:rPr>
              <w:t xml:space="preserve">.510</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.938</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pcq21</w:t>
            </w:r>
          </w:p>
        </w:tc>
        <w:tc>
          <w:tcPr>
            <w:tcW w:type="dxa" w:w="34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Always look on the bright side of things</w:t>
            </w:r>
          </w:p>
        </w:tc>
        <w:tc>
          <w:tcPr>
            <w:tcW w:type="dxa" w:w="13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Optimism</w:t>
            </w:r>
          </w:p>
        </w:tc>
        <w:tc>
          <w:tcPr>
            <w:tcW w:type="dxa" w:w="8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4.26</w:t>
            </w:r>
          </w:p>
        </w:tc>
        <w:tc>
          <w:tcPr>
            <w:tcW w:type="dxa" w:w="7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.608</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pcq22</w:t>
            </w:r>
          </w:p>
        </w:tc>
        <w:tc>
          <w:tcPr>
            <w:tcW w:type="dxa" w:w="34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Optimistic about future as it pertains to work</w:t>
            </w:r>
          </w:p>
        </w:tc>
        <w:tc>
          <w:tcPr>
            <w:tcW w:type="dxa" w:w="13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Optimism</w:t>
            </w:r>
          </w:p>
        </w:tc>
        <w:tc>
          <w:tcPr>
            <w:tcW w:type="dxa" w:w="8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4.12</w:t>
            </w:r>
          </w:p>
        </w:tc>
        <w:tc>
          <w:tcPr>
            <w:tcW w:type="dxa" w:w="7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.627</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pcq23_r</w:t>
            </w:r>
          </w:p>
        </w:tc>
        <w:tc>
          <w:tcPr>
            <w:tcW w:type="dxa" w:w="34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Optimistic about work circumstances (R)</w:t>
            </w:r>
          </w:p>
        </w:tc>
        <w:tc>
          <w:tcPr>
            <w:tcW w:type="dxa" w:w="13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Optimism</w:t>
            </w:r>
          </w:p>
        </w:tc>
        <w:tc>
          <w:tcPr>
            <w:tcW w:type="dxa" w:w="8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4.15</w:t>
            </w:r>
          </w:p>
        </w:tc>
        <w:tc>
          <w:tcPr>
            <w:tcW w:type="dxa" w:w="7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.605</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6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pcq24</w:t>
            </w:r>
          </w:p>
        </w:tc>
        <w:tc>
          <w:tcPr>
            <w:tcW w:type="dxa" w:w="34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Approach job as if every cloud has silver lining</w:t>
            </w:r>
          </w:p>
        </w:tc>
        <w:tc>
          <w:tcPr>
            <w:tcW w:type="dxa" w:w="13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Optimism</w:t>
            </w:r>
          </w:p>
        </w:tc>
        <w:tc>
          <w:tcPr>
            <w:tcW w:type="dxa" w:w="8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4.12</w:t>
            </w:r>
          </w:p>
        </w:tc>
        <w:tc>
          <w:tcPr>
            <w:tcW w:type="dxa" w:w="7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.580</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1000"/>
            <w:tcBorders>
              <w:top w:val="single" w:color="B8CCE4" w:sz="1"/>
              <w:left w:val="single" w:color="B8CCE4" w:sz="1"/>
              <w:bottom w:val="single" w:color="B8CCE4" w:sz="1"/>
              <w:right w:val="single" w:color="B8CCE4" w:sz="1"/>
            </w:tcBorders>
            <w:shd w:fill="FCE4D6"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R = reverse-scored item (pcq13_r, pcq20_r, pcq23_r). CITC = Corrected Item-Total Correlation. The shaded item (pcq20_r, CITC = .510) reflects the minimum CITC in the scale; this value remains well above the .30 criterion threshold. All items retained. Source: RELIABILITY.pdf, pp. 19–21 (PCQ Total); p. 27 (Self-Efficacy); p. 33 (Hope); p. 37 (Resilience); p. 42 (Optimism).</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Examination of item-level statistics revealed that all 24 PCQ items demonstrated acceptable-to-strong corrected item-total correlations, ranging from CITC = .510 (pcq20_r) to CITC = .666 (pcq12: "At this time, I am meeting the work goals that I have set for myself"). Critically, every CITC value exceeds the recommended minimum threshold of .30, confirming that all items contribute meaningfully to the measurement of psychological capital in this sample (Nunnally &amp; Bernstein, 1994).</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lowest CITC was observed for pcq20_r (.510), a reverse-scored Optimism item. Slight attenuation in item-total correlation for reverse-scored items is not uncommon and may be attributed to minor response pattern inconsistencies introduced by negatively worded stems (Weijters et al., 2013). Nevertheless, the value remains comfortably above the acceptable threshold and does not warrant item removal. Furthermore, the Alpha if Item Deleted statistic confirms that removing pcq20_r would increase alpha only marginally to .938 — a negligible difference that provides no substantive justification for exclusion.</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Alpha if Item Deleted values for all 24 items ranged from .935 to .938, indicating that the overall reliability estimate is highly stable and not dependent on any single item. This uniformity confirms the structural integrity of the full 24-item scale. All items were retained for subsequent analyses.</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4.  Reliability Analysis — Utrecht Work Engagement Scale (UWES-9)</w:t>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4.1  Instrument Overview</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UWES-9 (Schaufeli et al., 2006) is a psychometrically validated nine-item measure of work engagement, comprising three theoretically grounded dimensions: Vigor (items 1–3; characterised by high levels of energy, mental resilience, and persistent effort at work), Dedication (items 4–6; encompassing a sense of significance, enthusiasm, inspiration, pride, and challenge in one's work), and Absorption (items 7–9; reflecting full concentration, deep engrossment, and difficulty detaching oneself from work activities). The scale employs a seven-point frequency format ranging from 0 (Never) to 6 (Always/Every Day). In the present study, work engagement serves as the dependent variable, positioned as the terminal outcome in the hypothesised mediation model. The reliability of the UWES-9 is therefore critical for the detection of both direct and indirect effects with adequate statistical power.</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4.2  Overall Reliability Results</w:t>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4</w:t>
      </w:r>
      <w:r>
        <w:rPr>
          <w:rFonts w:ascii="Times New Roman" w:cs="Times New Roman" w:eastAsia="Times New Roman" w:hAnsi="Times New Roman"/>
          <w:b w:val="false"/>
          <w:bCs w:val="false"/>
          <w:i w:val="false"/>
          <w:iCs w:val="false"/>
          <w:color w:val="000000"/>
          <w:sz w:val="24"/>
          <w:szCs w:val="24"/>
        </w:rPr>
        <w:t xml:space="preserve">
Reliability Statistics — UWES-9 (Work Engagement)</w:t>
      </w:r>
    </w:p>
    <w:tbl>
      <w:tblPr>
        <w:tblW w:type="dxa" w:w="10360"/>
        <w:tblBorders>
          <w:top w:val="single" w:color="B8CCE4" w:sz="4"/>
          <w:left w:val="single" w:color="B8CCE4" w:sz="4"/>
          <w:bottom w:val="single" w:color="B8CCE4" w:sz="4"/>
          <w:right w:val="single" w:color="B8CCE4" w:sz="4"/>
          <w:insideH w:val="single" w:color="B8CCE4" w:sz="4"/>
          <w:insideV w:val="single" w:color="B8CCE4" w:sz="4"/>
        </w:tblBorders>
      </w:tblPr>
      <w:tblGrid>
        <w:gridCol w:w="3200"/>
        <w:gridCol w:w="1200"/>
        <w:gridCol w:w="1400"/>
        <w:gridCol w:w="1500"/>
        <w:gridCol w:w="1500"/>
        <w:gridCol w:w="156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Scale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N Items</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Cronbach's α</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α (Standardised)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Scale Mean</w:t>
            </w:r>
          </w:p>
        </w:tc>
        <w:tc>
          <w:tcPr>
            <w:tcW w:type="dxa" w:w="1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Rating</w:t>
            </w:r>
          </w:p>
        </w:tc>
      </w:tr>
      <w:tr>
        <w:tc>
          <w:tcPr>
            <w:tcW w:type="dxa" w:w="3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UWES-9 — Work Engagement (Total)</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9</w:t>
            </w:r>
          </w:p>
        </w:tc>
        <w:tc>
          <w:tcPr>
            <w:tcW w:type="dxa" w:w="1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.890</w:t>
            </w:r>
          </w:p>
        </w:tc>
        <w:tc>
          <w:tcPr>
            <w:tcW w:type="dxa" w:w="15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.890</w:t>
            </w:r>
          </w:p>
        </w:tc>
        <w:tc>
          <w:tcPr>
            <w:tcW w:type="dxa" w:w="15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38.04</w:t>
            </w:r>
          </w:p>
        </w:tc>
        <w:tc>
          <w:tcPr>
            <w:tcW w:type="dxa" w:w="15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Good ✓</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N = 270. Scale range: 0–6 per item. Scale mean reflects the sum of all 9 items (range: 0–54). Source: RELIABILITY.pdf, p. 44.</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UWES-9 demonstrated good internal consistency in the present sample, with Cronbach's alpha of α = .890. This value falls within the good range (George &amp; Mallery, 2020) and comfortably surpasses the recommended .70 minimum for research scales (Nunnally &amp; Bernstein, 1994). The standardised alpha was identical (α = .890), confirming the robustness of this estimate. These results indicate that the nine UWES items form a reliable and internally coherent measure of work engagement and support the computation of a composite work engagement score for subsequent statistical analyses.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4.3  Item-Level Analysis</w:t>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5</w:t>
      </w:r>
      <w:r>
        <w:rPr>
          <w:rFonts w:ascii="Times New Roman" w:cs="Times New Roman" w:eastAsia="Times New Roman" w:hAnsi="Times New Roman"/>
          <w:b w:val="false"/>
          <w:bCs w:val="false"/>
          <w:i w:val="false"/>
          <w:iCs w:val="false"/>
          <w:color w:val="000000"/>
          <w:sz w:val="24"/>
          <w:szCs w:val="24"/>
        </w:rPr>
        <w:t xml:space="preserve">
Item-Total Statistics — UWES-9 (Work Engagement) by Dimension</w:t>
      </w:r>
    </w:p>
    <w:tbl>
      <w:tblPr>
        <w:tblW w:type="dxa" w:w="8360"/>
        <w:tblBorders>
          <w:top w:val="single" w:color="B8CCE4" w:sz="4"/>
          <w:left w:val="single" w:color="B8CCE4" w:sz="4"/>
          <w:bottom w:val="single" w:color="B8CCE4" w:sz="4"/>
          <w:right w:val="single" w:color="B8CCE4" w:sz="4"/>
          <w:insideH w:val="single" w:color="B8CCE4" w:sz="4"/>
          <w:insideV w:val="single" w:color="B8CCE4" w:sz="4"/>
        </w:tblBorders>
      </w:tblPr>
      <w:tblGrid>
        <w:gridCol w:w="700"/>
        <w:gridCol w:w="3400"/>
        <w:gridCol w:w="1200"/>
        <w:gridCol w:w="700"/>
        <w:gridCol w:w="700"/>
        <w:gridCol w:w="700"/>
        <w:gridCol w:w="960"/>
      </w:tblGrid>
      <w:tr>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Item</w:t>
            </w:r>
          </w:p>
        </w:tc>
        <w:tc>
          <w:tcPr>
            <w:tcW w:type="dxa" w:w="34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FFFFFF"/>
                <w:sz w:val="19"/>
                <w:szCs w:val="19"/>
              </w:rPr>
              <w:t xml:space="preserve">Description</w:t>
            </w:r>
          </w:p>
        </w:tc>
        <w:tc>
          <w:tcPr>
            <w:tcW w:type="dxa" w:w="12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Dimension</w:t>
            </w:r>
          </w:p>
        </w:tc>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Mean</w:t>
            </w:r>
          </w:p>
        </w:tc>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SD</w:t>
            </w:r>
          </w:p>
        </w:tc>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CITC</w:t>
            </w:r>
          </w:p>
        </w:tc>
        <w:tc>
          <w:tcPr>
            <w:tcW w:type="dxa" w:w="96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α if Del.</w:t>
            </w:r>
          </w:p>
        </w:tc>
      </w:tr>
      <w:tr>
        <w:tc>
          <w:tcPr>
            <w:tcW w:type="dxa" w:w="836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Vigor Subscale</w:t>
            </w:r>
          </w:p>
        </w:tc>
      </w:tr>
      <w:tr>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uwes1</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feel bursting with energy at work</w:t>
            </w:r>
          </w:p>
        </w:tc>
        <w:tc>
          <w:tcPr>
            <w:tcW w:type="dxa" w:w="12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Vigor</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4.20</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1.22</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.627</w:t>
            </w:r>
          </w:p>
        </w:tc>
        <w:tc>
          <w:tcPr>
            <w:tcW w:type="dxa" w:w="96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.879</w:t>
            </w:r>
          </w:p>
        </w:tc>
      </w:tr>
      <w:tr>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uwes2</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feel strong and vigorous at my job</w:t>
            </w:r>
          </w:p>
        </w:tc>
        <w:tc>
          <w:tcPr>
            <w:tcW w:type="dxa" w:w="12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Vigor</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4.15</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1.25</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.664</w:t>
            </w:r>
          </w:p>
        </w:tc>
        <w:tc>
          <w:tcPr>
            <w:tcW w:type="dxa" w:w="96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.876</w:t>
            </w:r>
          </w:p>
        </w:tc>
      </w:tr>
      <w:tr>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uwes3</w:t>
            </w:r>
          </w:p>
        </w:tc>
        <w:tc>
          <w:tcPr>
            <w:tcW w:type="dxa" w:w="34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feel like going to work in the morning</w:t>
            </w:r>
          </w:p>
        </w:tc>
        <w:tc>
          <w:tcPr>
            <w:tcW w:type="dxa" w:w="12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Vigor</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4.02</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1.22</w:t>
            </w:r>
          </w:p>
        </w:tc>
        <w:tc>
          <w:tcPr>
            <w:tcW w:type="dxa" w:w="70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.566</w:t>
            </w:r>
          </w:p>
        </w:tc>
        <w:tc>
          <w:tcPr>
            <w:tcW w:type="dxa" w:w="960"/>
            <w:tcBorders>
              <w:top w:val="single" w:color="B8CCE4" w:sz="1"/>
              <w:left w:val="single" w:color="B8CCE4" w:sz="1"/>
              <w:bottom w:val="single" w:color="B8CCE4" w:sz="1"/>
              <w:right w:val="single" w:color="B8CCE4" w:sz="1"/>
            </w:tcBorders>
            <w:shd w:fill="D6E4F7"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.884</w:t>
            </w:r>
          </w:p>
        </w:tc>
      </w:tr>
      <w:tr>
        <w:tc>
          <w:tcPr>
            <w:tcW w:type="dxa" w:w="836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Dedication Subscale</w:t>
            </w:r>
          </w:p>
        </w:tc>
      </w:tr>
      <w:tr>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uwes4</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am enthusiastic about my job</w:t>
            </w:r>
          </w:p>
        </w:tc>
        <w:tc>
          <w:tcPr>
            <w:tcW w:type="dxa" w:w="12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Dedication</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4.50</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1.16</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.661</w:t>
            </w:r>
          </w:p>
        </w:tc>
        <w:tc>
          <w:tcPr>
            <w:tcW w:type="dxa" w:w="96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.876</w:t>
            </w:r>
          </w:p>
        </w:tc>
      </w:tr>
      <w:tr>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uwes5</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My job inspires me</w:t>
            </w:r>
          </w:p>
        </w:tc>
        <w:tc>
          <w:tcPr>
            <w:tcW w:type="dxa" w:w="12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Dedication</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4.23</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1.24</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.667</w:t>
            </w:r>
          </w:p>
        </w:tc>
        <w:tc>
          <w:tcPr>
            <w:tcW w:type="dxa" w:w="96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.876</w:t>
            </w:r>
          </w:p>
        </w:tc>
      </w:tr>
      <w:tr>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uwes6</w:t>
            </w:r>
          </w:p>
        </w:tc>
        <w:tc>
          <w:tcPr>
            <w:tcW w:type="dxa" w:w="34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am proud of the work that I do</w:t>
            </w:r>
          </w:p>
        </w:tc>
        <w:tc>
          <w:tcPr>
            <w:tcW w:type="dxa" w:w="12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Dedication</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4.52</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1.21</w:t>
            </w:r>
          </w:p>
        </w:tc>
        <w:tc>
          <w:tcPr>
            <w:tcW w:type="dxa" w:w="70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.652</w:t>
            </w:r>
          </w:p>
        </w:tc>
        <w:tc>
          <w:tcPr>
            <w:tcW w:type="dxa" w:w="960"/>
            <w:tcBorders>
              <w:top w:val="single" w:color="B8CCE4" w:sz="1"/>
              <w:left w:val="single" w:color="B8CCE4" w:sz="1"/>
              <w:bottom w:val="single" w:color="B8CCE4" w:sz="1"/>
              <w:right w:val="single" w:color="B8CCE4"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.877</w:t>
            </w:r>
          </w:p>
        </w:tc>
      </w:tr>
      <w:tr>
        <w:tc>
          <w:tcPr>
            <w:tcW w:type="dxa" w:w="8360"/>
            <w:gridSpan w:val="7"/>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tcPr>
          <w:p>
            <w:pPr>
              <w:jc w:val="left"/>
            </w:pPr>
            <w:r>
              <w:rPr>
                <w:rFonts w:ascii="Times New Roman" w:cs="Times New Roman" w:eastAsia="Times New Roman" w:hAnsi="Times New Roman"/>
                <w:b/>
                <w:bCs/>
                <w:i/>
                <w:iCs/>
                <w:color w:val="1F3864"/>
                <w:sz w:val="21"/>
                <w:szCs w:val="21"/>
              </w:rPr>
              <w:t xml:space="preserve">Absorption Subscale</w:t>
            </w:r>
          </w:p>
        </w:tc>
      </w:tr>
      <w:tr>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uwes7</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feel happy when working intensely</w:t>
            </w:r>
          </w:p>
        </w:tc>
        <w:tc>
          <w:tcPr>
            <w:tcW w:type="dxa" w:w="12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Absorption</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4.38</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1.21</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.626</w:t>
            </w:r>
          </w:p>
        </w:tc>
        <w:tc>
          <w:tcPr>
            <w:tcW w:type="dxa" w:w="96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.879</w:t>
            </w:r>
          </w:p>
        </w:tc>
      </w:tr>
      <w:tr>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uwes8</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am immersed in my work</w:t>
            </w:r>
          </w:p>
        </w:tc>
        <w:tc>
          <w:tcPr>
            <w:tcW w:type="dxa" w:w="12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Absorption</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4.06</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1.37</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.659</w:t>
            </w:r>
          </w:p>
        </w:tc>
        <w:tc>
          <w:tcPr>
            <w:tcW w:type="dxa" w:w="96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.876</w:t>
            </w:r>
          </w:p>
        </w:tc>
      </w:tr>
      <w:tr>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uwes9</w:t>
            </w:r>
          </w:p>
        </w:tc>
        <w:tc>
          <w:tcPr>
            <w:tcW w:type="dxa" w:w="3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I get carried away when I am working</w:t>
            </w:r>
          </w:p>
        </w:tc>
        <w:tc>
          <w:tcPr>
            <w:tcW w:type="dxa" w:w="12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Absorption</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3.97</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1.33</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.678</w:t>
            </w:r>
          </w:p>
        </w:tc>
        <w:tc>
          <w:tcPr>
            <w:tcW w:type="dxa" w:w="96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.875</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CITC = Corrected Item-Total Correlation. SD = Standard Deviation. Scale range: 0–6. All CITC values exceed the .30 minimum threshold. Source: RELIABILITY.pdf, p. 49 (UWES Total); p. 52 (Vigor); p. 54 (Dedication); p. 57 (Absorption).</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All nine UWES items demonstrated acceptable-to-good corrected item-total correlations, ranging from CITC = .566 (uwes3: "When I get up in the morning, I feel like going to work") to CITC = .678 (uwes9: "I get carried away when I am working"). No item, if deleted, would have substantially increased the overall alpha — the Alpha if Item Deleted range was .875 to .884 — confirming that the full nine-item structure is psychometrically optimal for this sample.</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 the subscale level, Dedication items produced the highest CITC values (range: .652–.667), followed by Absorption (.626–.678) and Vigor (.566–.664). The comparatively lower CITC for uwes3 (.566), the item reflecting morning motivation to attend work, is not atypical in academic samples and does not compromise the overall reliability of the scale. The full nine-item structure was retained for all subsequent analyses.</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5.  Reliability Analysis — Minnesota Satisfaction Questionnaire (MSQ-20)</w:t>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5.1  Instrument Overview</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MSQ-20 (Weiss et al., 1967) is a widely validated 20-item measure of overall job satisfaction, assessing satisfaction across twenty distinct facets of work that span both intrinsic dimensions (e.g., achievement, autonomy, variety, creativity, responsibility, recognition) and extrinsic dimensions (e.g., supervision quality, remuneration, working conditions, institutional policy implementation, advancement opportunities). Respondents rate their satisfaction on a five-point Likert scale ranging from 1 (Very Dissatisfied) to 5 (Very Satisfied). In the present study, job satisfaction functions as the mediating variable, theoretically positioned as the psychological mechanism through which psychological capital exerts its influence on work engagement. Establishing the reliability of the MSQ-20 is therefore essential to ensuring that the hypothesised mediation pathway can be detected and estimated with measurement precision.</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5.2  Overall Reliability Results</w:t>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6</w:t>
      </w:r>
      <w:r>
        <w:rPr>
          <w:rFonts w:ascii="Times New Roman" w:cs="Times New Roman" w:eastAsia="Times New Roman" w:hAnsi="Times New Roman"/>
          <w:b w:val="false"/>
          <w:bCs w:val="false"/>
          <w:i w:val="false"/>
          <w:iCs w:val="false"/>
          <w:color w:val="000000"/>
          <w:sz w:val="24"/>
          <w:szCs w:val="24"/>
        </w:rPr>
        <w:t xml:space="preserve">
Reliability Statistics — MSQ-20 (Job Satisfaction)</w:t>
      </w:r>
    </w:p>
    <w:tbl>
      <w:tblPr>
        <w:tblW w:type="dxa" w:w="10360"/>
        <w:tblBorders>
          <w:top w:val="single" w:color="B8CCE4" w:sz="4"/>
          <w:left w:val="single" w:color="B8CCE4" w:sz="4"/>
          <w:bottom w:val="single" w:color="B8CCE4" w:sz="4"/>
          <w:right w:val="single" w:color="B8CCE4" w:sz="4"/>
          <w:insideH w:val="single" w:color="B8CCE4" w:sz="4"/>
          <w:insideV w:val="single" w:color="B8CCE4" w:sz="4"/>
        </w:tblBorders>
      </w:tblPr>
      <w:tblGrid>
        <w:gridCol w:w="3200"/>
        <w:gridCol w:w="1200"/>
        <w:gridCol w:w="1400"/>
        <w:gridCol w:w="1500"/>
        <w:gridCol w:w="1500"/>
        <w:gridCol w:w="1560"/>
      </w:tblGrid>
      <w:tr>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Scale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N Items</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Cronbach's α</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α (Standardised)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Scale Mean</w:t>
            </w:r>
          </w:p>
        </w:tc>
        <w:tc>
          <w:tcPr>
            <w:tcW w:type="dxa" w:w="1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Rating</w:t>
            </w:r>
          </w:p>
        </w:tc>
      </w:tr>
      <w:tr>
        <w:tc>
          <w:tcPr>
            <w:tcW w:type="dxa" w:w="3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MSQ-20 — Job Satisfaction (Total)</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20</w:t>
            </w:r>
          </w:p>
        </w:tc>
        <w:tc>
          <w:tcPr>
            <w:tcW w:type="dxa" w:w="14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.939</w:t>
            </w:r>
          </w:p>
        </w:tc>
        <w:tc>
          <w:tcPr>
            <w:tcW w:type="dxa" w:w="15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.939</w:t>
            </w:r>
          </w:p>
        </w:tc>
        <w:tc>
          <w:tcPr>
            <w:tcW w:type="dxa" w:w="15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73.88</w:t>
            </w:r>
          </w:p>
        </w:tc>
        <w:tc>
          <w:tcPr>
            <w:tcW w:type="dxa" w:w="15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Excellent ✓</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N = 270. Scale range: 1–5 per item. Scale mean reflects the sum of all 20 items (range: 20–100). Source: RELIABILITY.pdf, p. 58.</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MSQ-20 demonstrated excellent internal consistency in the present sample, with Cronbach's alpha of α = .939. This value exceeds the .90 threshold for excellent reliability (George &amp; Mallery, 2020) and is consistent with the strong alpha coefficients previously reported for the MSQ-20 in comparable occupational and educational samples (Spector, 1997). The standardised alpha was identical (α = .939), confirming the reliability and stability of this estimate. These findings strongly support the use of a composite job satisfaction score in the proposed mediation analysis.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2E5496" w:sz="4" w:space="2"/>
        </w:pBdr>
        <w:spacing w:after="100" w:before="200"/>
      </w:pPr>
      <w:r>
        <w:rPr>
          <w:rFonts w:ascii="Times New Roman" w:cs="Times New Roman" w:eastAsia="Times New Roman" w:hAnsi="Times New Roman"/>
          <w:b/>
          <w:bCs/>
          <w:color w:val="1F3864"/>
          <w:sz w:val="24"/>
          <w:szCs w:val="24"/>
        </w:rPr>
        <w:t xml:space="preserve">5.3  Item-Level Analysis</w:t>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7</w:t>
      </w:r>
      <w:r>
        <w:rPr>
          <w:rFonts w:ascii="Times New Roman" w:cs="Times New Roman" w:eastAsia="Times New Roman" w:hAnsi="Times New Roman"/>
          <w:b w:val="false"/>
          <w:bCs w:val="false"/>
          <w:i w:val="false"/>
          <w:iCs w:val="false"/>
          <w:color w:val="000000"/>
          <w:sz w:val="24"/>
          <w:szCs w:val="24"/>
        </w:rPr>
        <w:t xml:space="preserve">
Item-Total Statistics — MSQ-20 (Job Satisfaction)</w:t>
      </w:r>
    </w:p>
    <w:tbl>
      <w:tblPr>
        <w:tblW w:type="dxa" w:w="8800"/>
        <w:tblBorders>
          <w:top w:val="single" w:color="B8CCE4" w:sz="4"/>
          <w:left w:val="single" w:color="B8CCE4" w:sz="4"/>
          <w:bottom w:val="single" w:color="B8CCE4" w:sz="4"/>
          <w:right w:val="single" w:color="B8CCE4" w:sz="4"/>
          <w:insideH w:val="single" w:color="B8CCE4" w:sz="4"/>
          <w:insideV w:val="single" w:color="B8CCE4" w:sz="4"/>
        </w:tblBorders>
      </w:tblPr>
      <w:tblGrid>
        <w:gridCol w:w="3600"/>
        <w:gridCol w:w="800"/>
        <w:gridCol w:w="700"/>
        <w:gridCol w:w="1400"/>
        <w:gridCol w:w="700"/>
        <w:gridCol w:w="800"/>
        <w:gridCol w:w="800"/>
      </w:tblGrid>
      <w:tr>
        <w:tc>
          <w:tcPr>
            <w:tcW w:type="dxa" w:w="36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FFFFFF"/>
                <w:sz w:val="19"/>
                <w:szCs w:val="19"/>
              </w:rPr>
              <w:t xml:space="preserve">Item Description</w:t>
            </w:r>
          </w:p>
        </w:tc>
        <w:tc>
          <w:tcPr>
            <w:tcW w:type="dxa" w:w="8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Mean</w:t>
            </w:r>
          </w:p>
        </w:tc>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SD</w:t>
            </w:r>
          </w:p>
        </w:tc>
        <w:tc>
          <w:tcPr>
            <w:tcW w:type="dxa" w:w="14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Scale Mean if Del.</w:t>
            </w:r>
          </w:p>
        </w:tc>
        <w:tc>
          <w:tcPr>
            <w:tcW w:type="dxa" w:w="7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CITC</w:t>
            </w:r>
          </w:p>
        </w:tc>
        <w:tc>
          <w:tcPr>
            <w:tcW w:type="dxa" w:w="8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α if Del.</w:t>
            </w:r>
          </w:p>
        </w:tc>
        <w:tc>
          <w:tcPr>
            <w:tcW w:type="dxa" w:w="800"/>
            <w:tcBorders>
              <w:top w:val="single" w:color="B8CCE4" w:sz="1"/>
              <w:left w:val="single" w:color="B8CCE4" w:sz="1"/>
              <w:bottom w:val="single" w:color="B8CCE4" w:sz="1"/>
              <w:right w:val="single" w:color="B8CCE4"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9"/>
                <w:szCs w:val="19"/>
              </w:rPr>
              <w:t xml:space="preserve">Status</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Being able to keep busy all the time</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3.86</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1.02</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70.03</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.629</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work alone on the job</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3.69</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1.02</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70.20</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.670</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do different things from time to time</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3.80</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1.03</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70.09</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.685</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.935</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be somebody in the community</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3.51</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1.08</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70.37</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.698</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.935</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way my boss handles his/her workers</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3.41</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1.00</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70.47</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.588</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competence of my supervisor in making decisions</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3.56</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1.02</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70.32</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.638</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Being able to do things not against my conscience</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4.01</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0.96</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69.87</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.637</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way my job provides for steady employment</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3.73</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0.99</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70.16</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.641</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do things for other people</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3.97</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0.94</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69.91</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.662</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tell people what to do</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3.59</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1.00</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70.29</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.616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do something that uses my abilities</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3.94</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1.04</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69.94</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.644</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way university policies are put into practice</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3.41</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1.07</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70.47</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.632</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My pay and the amount of work I do</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7F6000"/>
                <w:sz w:val="19"/>
                <w:szCs w:val="19"/>
              </w:rPr>
              <w:t xml:space="preserve">3.14</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1.06</w:t>
            </w:r>
          </w:p>
        </w:tc>
        <w:tc>
          <w:tcPr>
            <w:tcW w:type="dxa" w:w="1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70.74</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.678</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.935</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chances for advancement on this job</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7F6000"/>
                <w:sz w:val="19"/>
                <w:szCs w:val="19"/>
              </w:rPr>
              <w:t xml:space="preserve">3.20</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1.12</w:t>
            </w:r>
          </w:p>
        </w:tc>
        <w:tc>
          <w:tcPr>
            <w:tcW w:type="dxa" w:w="14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70.69</w:t>
            </w:r>
          </w:p>
        </w:tc>
        <w:tc>
          <w:tcPr>
            <w:tcW w:type="dxa" w:w="7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.635</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2C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freedom to use my own judgment</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3.92</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1.01</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69.96</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.628</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chance to try my own methods of doing the job</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3.89</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0.97</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69.99</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.570</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working conditions</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3.54</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1.03</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70.34</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.596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.937</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way my co-workers get along with each other</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4.07</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0.97</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69.81</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.667</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praise I get for doing a good job</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3.69</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0.98</w:t>
            </w:r>
          </w:p>
        </w:tc>
        <w:tc>
          <w:tcPr>
            <w:tcW w:type="dxa" w:w="14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70.20</w:t>
            </w:r>
          </w:p>
        </w:tc>
        <w:tc>
          <w:tcPr>
            <w:tcW w:type="dxa" w:w="7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.640</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r>
        <w:tc>
          <w:tcPr>
            <w:tcW w:type="dxa" w:w="36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9"/>
                <w:szCs w:val="19"/>
              </w:rPr>
              <w:t xml:space="preserve">The feeling of accomplishment I get from the job</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3.96</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0.99</w:t>
            </w:r>
          </w:p>
        </w:tc>
        <w:tc>
          <w:tcPr>
            <w:tcW w:type="dxa" w:w="14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69.92</w:t>
            </w:r>
          </w:p>
        </w:tc>
        <w:tc>
          <w:tcPr>
            <w:tcW w:type="dxa" w:w="7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.623</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9"/>
                <w:szCs w:val="19"/>
              </w:rPr>
              <w:t xml:space="preserve">.936</w:t>
            </w:r>
          </w:p>
        </w:tc>
        <w:tc>
          <w:tcPr>
            <w:tcW w:type="dxa" w:w="800"/>
            <w:tcBorders>
              <w:top w:val="single" w:color="B8CCE4" w:sz="1"/>
              <w:left w:val="single" w:color="B8CCE4" w:sz="1"/>
              <w:bottom w:val="single" w:color="B8CCE4" w:sz="1"/>
              <w:right w:val="single" w:color="B8CCE4" w:sz="1"/>
            </w:tcBorders>
            <w:shd w:fill="EBF2FB"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375623"/>
                <w:sz w:val="19"/>
                <w:szCs w:val="19"/>
              </w:rPr>
              <w:t xml:space="preserve">✓</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CITC = Corrected Item-Total Correlation. SD = Standard Deviation. Gold-highlighted rows denote items with item means below 3.30, indicating comparatively lower satisfaction on those facets. All CITC values exceed the .30 minimum criterion. Source: RELIABILITY.pdf, pp. 68–70.</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All 20 MSQ items demonstrated acceptable-to-strong corrected item-total correlations, ranging from CITC = .570 ("The chance to try my own methods of doing the job") to CITC = .698 ("The chance to be somebody in the community"). No item would have meaningfully improved the alpha coefficient if deleted — the Alpha if Item Deleted values were uniformly stable in the range of .935 to .937 — confirming that the full 20-item structure is well-suited to measuring job satisfaction in this sample population.</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pay satisfaction item ("My pay and the amount of work I do") produced the lowest item mean in the MSQ-20 (M = 3.14, SD = 1.06), with the advancement item ("The chances for advancement on this job", M = 3.20, SD = 1.12) also among the lowest-rated facets. These findings may reflect the broader institutional and economic context of academic employment at QOU. In contrast, intrinsic satisfaction items — particularly those related to co-worker relations (M = 4.07), conscience-congruent work (M = 4.01), and doing things for other people (M = 3.97) — produced consistently higher ratings, suggesting that faculty members derive greater satisfaction from the relational and moral dimensions of academic work. All items were retained, as all CITC values are psychometrically acceptable.</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6.  Summary and Comparative Overview</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Table 8 presents a comprehensive reliability summary across all three instruments and their respective subscales, enabling direct comparative evaluation of internal consistency across the study constructs.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80" w:before="240"/>
        <w:ind w:firstLine="0"/>
        <w:jc w:val="left"/>
      </w:pPr>
      <w:r>
        <w:rPr>
          <w:rFonts w:ascii="Times New Roman" w:cs="Times New Roman" w:eastAsia="Times New Roman" w:hAnsi="Times New Roman"/>
          <w:b/>
          <w:bCs/>
          <w:i w:val="false"/>
          <w:iCs w:val="false"/>
          <w:color w:val="000000"/>
          <w:sz w:val="24"/>
          <w:szCs w:val="24"/>
        </w:rPr>
        <w:t xml:space="preserve">Table 8</w:t>
      </w:r>
      <w:r>
        <w:rPr>
          <w:rFonts w:ascii="Times New Roman" w:cs="Times New Roman" w:eastAsia="Times New Roman" w:hAnsi="Times New Roman"/>
          <w:b w:val="false"/>
          <w:bCs w:val="false"/>
          <w:i w:val="false"/>
          <w:iCs w:val="false"/>
          <w:color w:val="000000"/>
          <w:sz w:val="24"/>
          <w:szCs w:val="24"/>
        </w:rPr>
        <w:t xml:space="preserve">
Comprehensive Reliability Summary — Study Instruments and Subscales (N = 270)</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2800"/>
        <w:gridCol w:w="900"/>
        <w:gridCol w:w="1200"/>
        <w:gridCol w:w="1300"/>
        <w:gridCol w:w="1000"/>
        <w:gridCol w:w="216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FFFFFF"/>
                <w:sz w:val="21"/>
                <w:szCs w:val="21"/>
              </w:rPr>
              <w:t xml:space="preserve">Scale / Subscale</w:t>
            </w:r>
          </w:p>
        </w:tc>
        <w:tc>
          <w:tcPr>
            <w:tcW w:type="dxa" w:w="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Items</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α</w:t>
            </w:r>
          </w:p>
        </w:tc>
        <w:tc>
          <w:tcPr>
            <w:tcW w:type="dxa" w:w="1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α Std.</w:t>
            </w:r>
          </w:p>
        </w:tc>
        <w:tc>
          <w:tcPr>
            <w:tcW w:type="dxa" w:w="1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CITC Range</w:t>
            </w:r>
          </w:p>
        </w:tc>
        <w:tc>
          <w:tcPr>
            <w:tcW w:type="dxa" w:w="21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Rating / Suitability</w:t>
            </w:r>
          </w:p>
        </w:tc>
      </w:tr>
      <w:tr>
        <w:tc>
          <w:tcPr>
            <w:tcW w:type="dxa" w:w="28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PCQ-24 — Psychological Capital (Total)</w:t>
            </w:r>
          </w:p>
        </w:tc>
        <w:tc>
          <w:tcPr>
            <w:tcW w:type="dxa" w:w="9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24</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.939</w:t>
            </w:r>
          </w:p>
        </w:tc>
        <w:tc>
          <w:tcPr>
            <w:tcW w:type="dxa" w:w="13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.939</w:t>
            </w:r>
          </w:p>
        </w:tc>
        <w:tc>
          <w:tcPr>
            <w:tcW w:type="dxa" w:w="10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.510–.666</w:t>
            </w:r>
          </w:p>
        </w:tc>
        <w:tc>
          <w:tcPr>
            <w:tcW w:type="dxa" w:w="21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Excellent / Highly Suitable</w:t>
            </w:r>
          </w:p>
        </w:tc>
      </w:tr>
      <w:tr>
        <w:tc>
          <w:tcPr>
            <w:tcW w:type="dxa" w:w="28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Self-Efficacy Subscale</w:t>
            </w:r>
          </w:p>
        </w:tc>
        <w:tc>
          <w:tcPr>
            <w:tcW w:type="dxa" w:w="9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6</w:t>
            </w:r>
          </w:p>
        </w:tc>
        <w:tc>
          <w:tcPr>
            <w:tcW w:type="dxa" w:w="12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.862</w:t>
            </w:r>
          </w:p>
        </w:tc>
        <w:tc>
          <w:tcPr>
            <w:tcW w:type="dxa" w:w="13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.626–.700</w:t>
            </w:r>
          </w:p>
        </w:tc>
        <w:tc>
          <w:tcPr>
            <w:tcW w:type="dxa" w:w="216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Good / Suitable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Hope Subscale</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6</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.867</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.602–.694</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Good / Suitable</w:t>
            </w:r>
          </w:p>
        </w:tc>
      </w:tr>
      <w:tr>
        <w:tc>
          <w:tcPr>
            <w:tcW w:type="dxa" w:w="28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Resilience Subscale</w:t>
            </w:r>
          </w:p>
        </w:tc>
        <w:tc>
          <w:tcPr>
            <w:tcW w:type="dxa" w:w="9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6</w:t>
            </w:r>
          </w:p>
        </w:tc>
        <w:tc>
          <w:tcPr>
            <w:tcW w:type="dxa" w:w="12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.859</w:t>
            </w:r>
          </w:p>
        </w:tc>
        <w:tc>
          <w:tcPr>
            <w:tcW w:type="dxa" w:w="13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.598–.679</w:t>
            </w:r>
          </w:p>
        </w:tc>
        <w:tc>
          <w:tcPr>
            <w:tcW w:type="dxa" w:w="216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Good / Suitable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Optimism Subscale</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6</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.845</w:t>
            </w:r>
          </w:p>
        </w:tc>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.541–.677</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Good / Suitable</w:t>
            </w:r>
          </w:p>
        </w:tc>
      </w:tr>
      <w:tr>
        <w:tc>
          <w:tcPr>
            <w:tcW w:type="dxa" w:w="28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UWES-9 — Work Engagement (Total)</w:t>
            </w:r>
          </w:p>
        </w:tc>
        <w:tc>
          <w:tcPr>
            <w:tcW w:type="dxa" w:w="9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9</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.890</w:t>
            </w:r>
          </w:p>
        </w:tc>
        <w:tc>
          <w:tcPr>
            <w:tcW w:type="dxa" w:w="13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.890</w:t>
            </w:r>
          </w:p>
        </w:tc>
        <w:tc>
          <w:tcPr>
            <w:tcW w:type="dxa" w:w="10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.566–.678</w:t>
            </w:r>
          </w:p>
        </w:tc>
        <w:tc>
          <w:tcPr>
            <w:tcW w:type="dxa" w:w="21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Good / Suitable</w:t>
            </w:r>
          </w:p>
        </w:tc>
      </w:tr>
      <w:tr>
        <w:tc>
          <w:tcPr>
            <w:tcW w:type="dxa" w:w="28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Vigor Subscale</w:t>
            </w:r>
          </w:p>
        </w:tc>
        <w:tc>
          <w:tcPr>
            <w:tcW w:type="dxa" w:w="9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3</w:t>
            </w:r>
          </w:p>
        </w:tc>
        <w:tc>
          <w:tcPr>
            <w:tcW w:type="dxa" w:w="12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.757</w:t>
            </w:r>
          </w:p>
        </w:tc>
        <w:tc>
          <w:tcPr>
            <w:tcW w:type="dxa" w:w="13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.566–.664</w:t>
            </w:r>
          </w:p>
        </w:tc>
        <w:tc>
          <w:tcPr>
            <w:tcW w:type="dxa" w:w="216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7F6000"/>
                <w:sz w:val="21"/>
                <w:szCs w:val="21"/>
              </w:rPr>
              <w:t xml:space="preserve">Acceptable</w:t>
            </w:r>
          </w:p>
        </w:tc>
      </w:tr>
      <w:tr>
        <w:tc>
          <w:tcPr>
            <w:tcW w:type="dxa" w:w="28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Dedication Subscale</w:t>
            </w:r>
          </w:p>
        </w:tc>
        <w:tc>
          <w:tcPr>
            <w:tcW w:type="dxa" w:w="9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3</w:t>
            </w:r>
          </w:p>
        </w:tc>
        <w:tc>
          <w:tcPr>
            <w:tcW w:type="dxa" w:w="12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.803</w:t>
            </w:r>
          </w:p>
        </w:tc>
        <w:tc>
          <w:tcPr>
            <w:tcW w:type="dxa" w:w="13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.646–.653</w:t>
            </w:r>
          </w:p>
        </w:tc>
        <w:tc>
          <w:tcPr>
            <w:tcW w:type="dxa" w:w="2160"/>
            <w:tcBorders>
              <w:top w:val="single" w:color="B8CCE4" w:sz="1"/>
              <w:left w:val="single" w:color="B8CCE4" w:sz="1"/>
              <w:bottom w:val="single" w:color="B8CCE4" w:sz="1"/>
              <w:right w:val="single" w:color="B8CCE4" w:sz="1"/>
            </w:tcBorders>
            <w:shd w:fill="EBF2FB"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Good / Suitable</w:t>
            </w:r>
          </w:p>
        </w:tc>
      </w:tr>
      <w:tr>
        <w:tc>
          <w:tcPr>
            <w:tcW w:type="dxa" w:w="28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  Absorption Subscale</w:t>
            </w:r>
          </w:p>
        </w:tc>
        <w:tc>
          <w:tcPr>
            <w:tcW w:type="dxa" w:w="9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 3</w:t>
            </w:r>
          </w:p>
        </w:tc>
        <w:tc>
          <w:tcPr>
            <w:tcW w:type="dxa" w:w="12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.786</w:t>
            </w:r>
          </w:p>
        </w:tc>
        <w:tc>
          <w:tcPr>
            <w:tcW w:type="dxa" w:w="13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.573–.666</w:t>
            </w:r>
          </w:p>
        </w:tc>
        <w:tc>
          <w:tcPr>
            <w:tcW w:type="dxa" w:w="2160"/>
            <w:tcBorders>
              <w:top w:val="single" w:color="B8CCE4" w:sz="1"/>
              <w:left w:val="single" w:color="B8CCE4" w:sz="1"/>
              <w:bottom w:val="single" w:color="B8CCE4" w:sz="1"/>
              <w:right w:val="single" w:color="B8CCE4" w:sz="1"/>
            </w:tcBorders>
            <w:shd w:fill="FFF2CC"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7F6000"/>
                <w:sz w:val="21"/>
                <w:szCs w:val="21"/>
              </w:rPr>
              <w:t xml:space="preserve">Acceptable</w:t>
            </w:r>
          </w:p>
        </w:tc>
      </w:tr>
      <w:tr>
        <w:tc>
          <w:tcPr>
            <w:tcW w:type="dxa" w:w="28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left"/>
            </w:pPr>
            <w:r>
              <w:rPr>
                <w:rFonts w:ascii="Times New Roman" w:cs="Times New Roman" w:eastAsia="Times New Roman" w:hAnsi="Times New Roman"/>
                <w:b/>
                <w:bCs/>
                <w:i w:val="false"/>
                <w:iCs w:val="false"/>
                <w:color w:val="000000"/>
                <w:sz w:val="21"/>
                <w:szCs w:val="21"/>
              </w:rPr>
              <w:t xml:space="preserve">MSQ-20 — Job Satisfaction (Total)</w:t>
            </w:r>
          </w:p>
        </w:tc>
        <w:tc>
          <w:tcPr>
            <w:tcW w:type="dxa" w:w="9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20</w:t>
            </w:r>
          </w:p>
        </w:tc>
        <w:tc>
          <w:tcPr>
            <w:tcW w:type="dxa" w:w="12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.939</w:t>
            </w:r>
          </w:p>
        </w:tc>
        <w:tc>
          <w:tcPr>
            <w:tcW w:type="dxa" w:w="13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.939</w:t>
            </w:r>
          </w:p>
        </w:tc>
        <w:tc>
          <w:tcPr>
            <w:tcW w:type="dxa" w:w="100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i w:val="false"/>
                <w:iCs w:val="false"/>
                <w:color w:val="000000"/>
                <w:sz w:val="21"/>
                <w:szCs w:val="21"/>
              </w:rPr>
              <w:t xml:space="preserve">.570–.698</w:t>
            </w:r>
          </w:p>
        </w:tc>
        <w:tc>
          <w:tcPr>
            <w:tcW w:type="dxa" w:w="2160"/>
            <w:tcBorders>
              <w:top w:val="single" w:color="B8CCE4" w:sz="1"/>
              <w:left w:val="single" w:color="B8CCE4" w:sz="1"/>
              <w:bottom w:val="single" w:color="B8CCE4" w:sz="1"/>
              <w:right w:val="single" w:color="B8CCE4" w:sz="1"/>
            </w:tcBorders>
            <w:shd w:fill="E2EFD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375623"/>
                <w:sz w:val="21"/>
                <w:szCs w:val="21"/>
              </w:rPr>
              <w:t xml:space="preserve">Excellent / Highly Suitable</w:t>
            </w:r>
          </w:p>
        </w:tc>
      </w:tr>
    </w:tbl>
    <w:p>
      <w:pPr>
        <w:spacing w:after="200" w:before="80"/>
        <w:ind w:left="360" w:firstLine="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α = Cronbach's Alpha (raw); α Std. = Cronbach's Alpha Based on Standardised Items; CITC Range = range of Corrected Item-Total Correlations across all items within each scale/subscale; N = 270 for all analyses. Classification based on George and Mallery (2020). Standardised alpha values are reported only for full-scale totals (where SPSS computed both); dashes indicate subscale analyses for which only raw alpha was extracted. Source: RELIABILITY.pdf (18 May 2026).</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reliability evidence presented across Sections 3 through 5 confirms that all three measurement instruments demonstrate psychometrically acceptable-to-excellent internal consistency in the present sample of N = 270 QOU academic staff members. Cronbach's alpha coefficients ranged from α = .757 (UWES Vigor subscale) to α = .939 (PCQ-24 Total and MSQ-20 Total), with all total-scale coefficients at or above the good reliability threshold of .80. All item-level CITC values exceeded the minimum criterion of .30, indicating that all items contribute meaningfully to their respective scales. The Alpha if Item Deleted statistics confirmed the structural stability of each scale, with no item deletion materially improving the overall reliability estimates.</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These results collectively establish a strong psychometric foundation for the inferential analyses to be conducted in subsequent stages. The reliable composite scores for Psychological Capital, Job Satisfaction, and Work Engagement support the use of Pearson correlation analysis (Stage 7), multiple regression analysis (Stage 8), and PROCESS-based mediation analysis (Stage 9) with confidence in the measurement quality of the study instruments.</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7.  Implications for Subsequent Analyses</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reliability evidence presented in this report carries the following methodological implications for the subsequent stages of statistical analysis:</w:t>
      </w:r>
    </w:p>
    <w:p>
      <w:pPr>
        <w:pStyle w:val="ListParagraph"/>
        <w:numPr>
          <w:ilvl w:val="0"/>
          <w:numId w:val="2"/>
        </w:numPr>
        <w:spacing w:after="60" w:before="60"/>
        <w:jc w:val="both"/>
      </w:pPr>
      <w:r>
        <w:rPr>
          <w:rFonts w:ascii="Times New Roman" w:cs="Times New Roman" w:eastAsia="Times New Roman" w:hAnsi="Times New Roman"/>
          <w:b w:val="false"/>
          <w:bCs w:val="false"/>
          <w:i w:val="false"/>
          <w:iCs w:val="false"/>
          <w:color w:val="000000"/>
          <w:sz w:val="23"/>
          <w:szCs w:val="23"/>
        </w:rPr>
        <w:t xml:space="preserve">Validity Analysis (Stage 6): The acceptable-to-excellent reliability coefficients provide a favourable psychometric basis for proceeding to validity assessment. However, internal consistency reliability alone does not establish construct validity. Exploratory or confirmatory factor analysis remains necessary to examine the dimensional structure of each instrument and to assess whether the items load on the theoretically expected factors.</w:t>
      </w:r>
    </w:p>
    <w:p>
      <w:pPr>
        <w:pStyle w:val="ListParagraph"/>
        <w:numPr>
          <w:ilvl w:val="0"/>
          <w:numId w:val="2"/>
        </w:numPr>
        <w:spacing w:after="60" w:before="60"/>
        <w:jc w:val="both"/>
      </w:pPr>
      <w:r>
        <w:rPr>
          <w:rFonts w:ascii="Times New Roman" w:cs="Times New Roman" w:eastAsia="Times New Roman" w:hAnsi="Times New Roman"/>
          <w:b w:val="false"/>
          <w:bCs w:val="false"/>
          <w:i w:val="false"/>
          <w:iCs w:val="false"/>
          <w:color w:val="000000"/>
          <w:sz w:val="23"/>
          <w:szCs w:val="23"/>
        </w:rPr>
        <w:t xml:space="preserve">Correlation Analysis (Stage 7): The reliable composite scores support the use of Pearson correlation analysis to examine bivariate associations among Psychological Capital, Job Satisfaction, and Work Engagement. High reliability reduces measurement error attenuation in the correlation coefficients, resulting in more accurate effect size estimates.</w:t>
      </w:r>
    </w:p>
    <w:p>
      <w:pPr>
        <w:pStyle w:val="ListParagraph"/>
        <w:numPr>
          <w:ilvl w:val="0"/>
          <w:numId w:val="2"/>
        </w:numPr>
        <w:spacing w:after="60" w:before="60"/>
        <w:jc w:val="both"/>
      </w:pPr>
      <w:r>
        <w:rPr>
          <w:rFonts w:ascii="Times New Roman" w:cs="Times New Roman" w:eastAsia="Times New Roman" w:hAnsi="Times New Roman"/>
          <w:b w:val="false"/>
          <w:bCs w:val="false"/>
          <w:i w:val="false"/>
          <w:iCs w:val="false"/>
          <w:color w:val="000000"/>
          <w:sz w:val="23"/>
          <w:szCs w:val="23"/>
        </w:rPr>
        <w:t xml:space="preserve">Regression Analysis (Stage 8): The satisfactory reliability of all three scales reduces concerns related to random measurement error in regression models. Composite scores may be used as predictor, mediator, and outcome variables with appropriate confidence in their psychometric adequacy.</w:t>
      </w:r>
    </w:p>
    <w:p>
      <w:pPr>
        <w:pStyle w:val="ListParagraph"/>
        <w:numPr>
          <w:ilvl w:val="0"/>
          <w:numId w:val="2"/>
        </w:numPr>
        <w:spacing w:after="60" w:before="60"/>
        <w:jc w:val="both"/>
      </w:pPr>
      <w:r>
        <w:rPr>
          <w:rFonts w:ascii="Times New Roman" w:cs="Times New Roman" w:eastAsia="Times New Roman" w:hAnsi="Times New Roman"/>
          <w:b w:val="false"/>
          <w:bCs w:val="false"/>
          <w:i w:val="false"/>
          <w:iCs w:val="false"/>
          <w:color w:val="000000"/>
          <w:sz w:val="23"/>
          <w:szCs w:val="23"/>
        </w:rPr>
        <w:t xml:space="preserve">Mediation Analysis (Stage 9): The strong internal consistency of all three constructs provides the measurement foundation for testing the proposed mediation model (Psychological Capital → Job Satisfaction → Work Engagement) using the PROCESS Macro (Hayes, 2018). However, the strength, direction, and statistical significance of the direct and indirect effects should be determined empirically through the mediation analysis, and should not be inferred from reliability evidence alone.</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8.  Tables and Suggested Text for the Final Manuscript</w:t>
      </w:r>
    </w:p>
    <w:p>
      <w:pPr>
        <w:spacing w:after="100" w:before="10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section provides APA 7th edition-formatted tables and the corresponding academic text suitable for direct inclusion in the final research paper. All values are sourced from the SPSS Reliability output (RELIABILITY.pdf, 18 May 2026).</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40" w:before="200"/>
        <w:ind w:firstLine="0"/>
        <w:jc w:val="left"/>
      </w:pPr>
      <w:r>
        <w:rPr>
          <w:rFonts w:ascii="Times New Roman" w:cs="Times New Roman" w:eastAsia="Times New Roman" w:hAnsi="Times New Roman"/>
          <w:b/>
          <w:bCs/>
          <w:i w:val="false"/>
          <w:iCs w:val="false"/>
          <w:color w:val="000000"/>
          <w:sz w:val="24"/>
          <w:szCs w:val="24"/>
        </w:rPr>
        <w:t xml:space="preserve">Table 1</w:t>
      </w:r>
    </w:p>
    <w:p>
      <w:pPr>
        <w:spacing w:after="80" w:before="0"/>
        <w:ind w:firstLine="0"/>
        <w:jc w:val="left"/>
      </w:pPr>
      <w:r>
        <w:rPr>
          <w:rFonts w:ascii="Times New Roman" w:cs="Times New Roman" w:eastAsia="Times New Roman" w:hAnsi="Times New Roman"/>
          <w:b w:val="false"/>
          <w:bCs w:val="false"/>
          <w:i w:val="false"/>
          <w:iCs w:val="false"/>
          <w:color w:val="000000"/>
          <w:sz w:val="24"/>
          <w:szCs w:val="24"/>
        </w:rPr>
        <w:t xml:space="preserve">Internal Consistency Reliability of Study Instruments (N = 270)</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3000"/>
        <w:gridCol w:w="900"/>
        <w:gridCol w:w="1200"/>
        <w:gridCol w:w="1200"/>
        <w:gridCol w:w="1000"/>
        <w:gridCol w:w="2060"/>
      </w:tblGrid>
      <w:tr>
        <w:tc>
          <w:tcPr>
            <w:tcW w:type="dxa" w:w="3000"/>
            <w:tcBorders>
              <w:top w:val="single" w:color="B8CCE4" w:sz="1"/>
              <w:left w:val="single" w:color="B8CCE4" w:sz="1"/>
              <w:bottom w:val="single" w:color="B8CCE4" w:sz="1"/>
              <w:right w:val="single" w:color="B8CCE4" w:sz="1"/>
            </w:tcBorders>
            <w:shd w:fill="1F3864" w:val="clear"/>
            <w:tcMar>
              <w:top w:type="dxa" w:w="80"/>
              <w:left w:type="dxa" w:w="100"/>
              <w:bottom w:type="dxa" w:w="80"/>
              <w:right w:type="dxa" w:w="100"/>
            </w:tcMar>
          </w:tcPr>
          <w:p>
            <w:pPr>
              <w:jc w:val="left"/>
            </w:pPr>
            <w:r>
              <w:rPr>
                <w:rFonts w:ascii="Times New Roman" w:cs="Times New Roman" w:eastAsia="Times New Roman" w:hAnsi="Times New Roman"/>
                <w:b/>
                <w:bCs/>
                <w:i w:val="false"/>
                <w:iCs w:val="false"/>
                <w:color w:val="FFFFFF"/>
                <w:sz w:val="21"/>
                <w:szCs w:val="21"/>
              </w:rPr>
              <w:t xml:space="preserve">Scale / Subscale</w:t>
            </w:r>
          </w:p>
        </w:tc>
        <w:tc>
          <w:tcPr>
            <w:tcW w:type="dxa" w:w="900"/>
            <w:tcBorders>
              <w:top w:val="single" w:color="B8CCE4" w:sz="1"/>
              <w:left w:val="single" w:color="B8CCE4" w:sz="1"/>
              <w:bottom w:val="single" w:color="B8CCE4" w:sz="1"/>
              <w:right w:val="single" w:color="B8CCE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color w:val="FFFFFF"/>
                <w:sz w:val="21"/>
                <w:szCs w:val="21"/>
              </w:rPr>
              <w:t xml:space="preserve">No. Items</w:t>
            </w:r>
          </w:p>
        </w:tc>
        <w:tc>
          <w:tcPr>
            <w:tcW w:type="dxa" w:w="1200"/>
            <w:tcBorders>
              <w:top w:val="single" w:color="B8CCE4" w:sz="1"/>
              <w:left w:val="single" w:color="B8CCE4" w:sz="1"/>
              <w:bottom w:val="single" w:color="B8CCE4" w:sz="1"/>
              <w:right w:val="single" w:color="B8CCE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color w:val="FFFFFF"/>
                <w:sz w:val="21"/>
                <w:szCs w:val="21"/>
              </w:rPr>
              <w:t xml:space="preserve">α</w:t>
            </w:r>
          </w:p>
        </w:tc>
        <w:tc>
          <w:tcPr>
            <w:tcW w:type="dxa" w:w="1200"/>
            <w:tcBorders>
              <w:top w:val="single" w:color="B8CCE4" w:sz="1"/>
              <w:left w:val="single" w:color="B8CCE4" w:sz="1"/>
              <w:bottom w:val="single" w:color="B8CCE4" w:sz="1"/>
              <w:right w:val="single" w:color="B8CCE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color w:val="FFFFFF"/>
                <w:sz w:val="21"/>
                <w:szCs w:val="21"/>
              </w:rPr>
              <w:t xml:space="preserve">α (Std.)</w:t>
            </w:r>
          </w:p>
        </w:tc>
        <w:tc>
          <w:tcPr>
            <w:tcW w:type="dxa" w:w="1000"/>
            <w:tcBorders>
              <w:top w:val="single" w:color="B8CCE4" w:sz="1"/>
              <w:left w:val="single" w:color="B8CCE4" w:sz="1"/>
              <w:bottom w:val="single" w:color="B8CCE4" w:sz="1"/>
              <w:right w:val="single" w:color="B8CCE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color w:val="FFFFFF"/>
                <w:sz w:val="21"/>
                <w:szCs w:val="21"/>
              </w:rPr>
              <w:t xml:space="preserve">CITC Range</w:t>
            </w:r>
          </w:p>
        </w:tc>
        <w:tc>
          <w:tcPr>
            <w:tcW w:type="dxa" w:w="2060"/>
            <w:tcBorders>
              <w:top w:val="single" w:color="B8CCE4" w:sz="1"/>
              <w:left w:val="single" w:color="B8CCE4" w:sz="1"/>
              <w:bottom w:val="single" w:color="B8CCE4" w:sz="1"/>
              <w:right w:val="single" w:color="B8CCE4" w:sz="1"/>
            </w:tcBorders>
            <w:shd w:fill="1F3864" w:val="clear"/>
            <w:tcMar>
              <w:top w:type="dxa" w:w="80"/>
              <w:left w:type="dxa" w:w="100"/>
              <w:bottom w:type="dxa" w:w="80"/>
              <w:right w:type="dxa" w:w="100"/>
            </w:tcMar>
          </w:tcPr>
          <w:p>
            <w:pPr>
              <w:jc w:val="center"/>
            </w:pPr>
            <w:r>
              <w:rPr>
                <w:rFonts w:ascii="Times New Roman" w:cs="Times New Roman" w:eastAsia="Times New Roman" w:hAnsi="Times New Roman"/>
                <w:b/>
                <w:bCs/>
                <w:i w:val="false"/>
                <w:iCs w:val="false"/>
                <w:color w:val="FFFFFF"/>
                <w:sz w:val="21"/>
                <w:szCs w:val="21"/>
              </w:rPr>
              <w:t xml:space="preserve">Rating</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bCs/>
                <w:i w:val="false"/>
                <w:iCs w:val="false"/>
                <w:color w:val="000000"/>
                <w:sz w:val="21"/>
                <w:szCs w:val="21"/>
              </w:rPr>
              <w:t xml:space="preserve">Psychological Capital — PCQ-24 (Total)</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24</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.939</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.939</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.510–.666</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Excellent</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Self-Efficacy</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.862</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.626–.700</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Good</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Hope</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.867</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.602–.694</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Good</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Resilience</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.859</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.598–.679</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Good</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Optimism</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.845</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.541–.677</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Good</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bCs/>
                <w:i w:val="false"/>
                <w:iCs w:val="false"/>
                <w:color w:val="000000"/>
                <w:sz w:val="21"/>
                <w:szCs w:val="21"/>
              </w:rPr>
              <w:t xml:space="preserve">Work Engagement — UWES-9 (Total)</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9</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.890</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.890</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.566–.678</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Good</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Vigor</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3</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.757</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.566–.664</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Acceptable</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Dedication</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3</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.803</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.646–.653</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Good</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color w:val="000000"/>
                <w:sz w:val="21"/>
                <w:szCs w:val="21"/>
              </w:rPr>
              <w:t xml:space="preserve">  Absorption</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3</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.786</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.573–.666</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color w:val="000000"/>
                <w:sz w:val="21"/>
                <w:szCs w:val="21"/>
              </w:rPr>
              <w:t xml:space="preserve">Acceptable</w:t>
            </w:r>
          </w:p>
        </w:tc>
      </w:tr>
      <w:tr>
        <w:tc>
          <w:tcPr>
            <w:tcW w:type="dxa" w:w="3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left"/>
            </w:pPr>
            <w:r>
              <w:rPr>
                <w:rFonts w:ascii="Times New Roman" w:cs="Times New Roman" w:eastAsia="Times New Roman" w:hAnsi="Times New Roman"/>
                <w:b/>
                <w:bCs/>
                <w:i w:val="false"/>
                <w:iCs w:val="false"/>
                <w:color w:val="000000"/>
                <w:sz w:val="21"/>
                <w:szCs w:val="21"/>
              </w:rPr>
              <w:t xml:space="preserve">Job Satisfaction — MSQ-20 (Total)</w:t>
            </w:r>
          </w:p>
        </w:tc>
        <w:tc>
          <w:tcPr>
            <w:tcW w:type="dxa" w:w="9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20</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.939</w:t>
            </w:r>
          </w:p>
        </w:tc>
        <w:tc>
          <w:tcPr>
            <w:tcW w:type="dxa" w:w="12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.939</w:t>
            </w:r>
          </w:p>
        </w:tc>
        <w:tc>
          <w:tcPr>
            <w:tcW w:type="dxa" w:w="100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.570–.698</w:t>
            </w:r>
          </w:p>
        </w:tc>
        <w:tc>
          <w:tcPr>
            <w:tcW w:type="dxa" w:w="2060"/>
            <w:tcBorders>
              <w:top w:val="none" w:color="FFFFFF" w:sz="0"/>
              <w:left w:val="single" w:color="B8CCE4" w:sz="4"/>
              <w:bottom w:val="single" w:color="B8CCE4" w:sz="4"/>
              <w:right w:val="single" w:color="B8CCE4" w:sz="4"/>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000000"/>
                <w:sz w:val="21"/>
                <w:szCs w:val="21"/>
              </w:rPr>
              <w:t xml:space="preserve">Excellent</w:t>
            </w:r>
          </w:p>
        </w:tc>
      </w:tr>
    </w:tbl>
    <w:p>
      <w:pPr>
        <w:spacing w:after="240" w:before="80"/>
        <w:ind w:left="0"/>
        <w:jc w:val="both"/>
      </w:pPr>
      <w:r>
        <w:rPr>
          <w:rFonts w:ascii="Times New Roman" w:cs="Times New Roman" w:eastAsia="Times New Roman" w:hAnsi="Times New Roman"/>
          <w:b/>
          <w:bCs/>
          <w:i w:val="false"/>
          <w:iCs w:val="false"/>
          <w:color w:val="000000"/>
          <w:sz w:val="21"/>
          <w:szCs w:val="21"/>
        </w:rPr>
        <w:t xml:space="preserve">Note. </w:t>
      </w:r>
      <w:r>
        <w:rPr>
          <w:rFonts w:ascii="Times New Roman" w:cs="Times New Roman" w:eastAsia="Times New Roman" w:hAnsi="Times New Roman"/>
          <w:b w:val="false"/>
          <w:bCs w:val="false"/>
          <w:i/>
          <w:iCs/>
          <w:color w:val="000000"/>
          <w:sz w:val="21"/>
          <w:szCs w:val="21"/>
        </w:rPr>
        <w:t xml:space="preserve">α = Cronbach's Alpha (raw); α (Std.) = Cronbach's Alpha Based on Standardised Items; CITC Range = range of Corrected Item-Total Correlations. Rating classifications are based on George and Mallery (2020). Standardised alpha values are reported only for total-scale analyses.</w:t>
      </w:r>
    </w:p>
    <w:p>
      <w:pPr>
        <w:pBdr>
          <w:bottom w:val="single" w:color="2E5496" w:sz="4" w:space="2"/>
        </w:pBdr>
        <w:spacing w:after="100" w:before="200"/>
      </w:pPr>
      <w:r>
        <w:rPr>
          <w:rFonts w:ascii="Times New Roman" w:cs="Times New Roman" w:eastAsia="Times New Roman" w:hAnsi="Times New Roman"/>
          <w:b/>
          <w:bCs/>
          <w:i w:val="false"/>
          <w:iCs w:val="false"/>
          <w:color w:val="2E5496"/>
          <w:sz w:val="24"/>
          <w:szCs w:val="24"/>
        </w:rPr>
        <w:t xml:space="preserve">Suggested Text for the Final Manuscript</w:t>
      </w:r>
    </w:p>
    <w:p>
      <w:pPr>
        <w:spacing w:after="120" w:before="60"/>
        <w:ind w:firstLine="0"/>
      </w:pPr>
      <w:r>
        <w:rPr>
          <w:rFonts w:ascii="Times New Roman" w:cs="Times New Roman" w:eastAsia="Times New Roman" w:hAnsi="Times New Roman"/>
          <w:b w:val="false"/>
          <w:bCs w:val="false"/>
          <w:i/>
          <w:iCs/>
          <w:color w:val="595959"/>
          <w:sz w:val="22"/>
          <w:szCs w:val="22"/>
        </w:rPr>
        <w:t xml:space="preserve">(To be placed in the Methodology or Results section, following the presentation of measurement instruments)</w:t>
      </w:r>
    </w:p>
    <w:p>
      <w:pPr>
        <w:spacing w:after="100" w:before="10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Prior to conducting inferential analyses, the internal consistency reliability of all three measurement instruments was assessed using Cronbach's alpha coefficient (α), following the procedures recommended by Nunnally and Bernstein (1994) and Field (2018). Item-level reliability was further evaluated through Corrected Item-Total Correlations (CITC) and Cronbach's Alpha if Item Deleted statistics for all scale items. All analyses were conducted using IBM SPSS Statistics v26 (N = 270).</w:t>
      </w:r>
    </w:p>
    <w:p>
      <w:pPr>
        <w:spacing w:after="100" w:before="10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Psychological Capital Questionnaire (PCQ-24; Luthans et al., 2007) demonstrated excellent internal consistency (α = .939), with all 24 items yielding CITC values in the acceptable-to-strong range (.510–.666), well above the minimum recommended criterion of .30 (Nunnally &amp; Bernstein, 1994). The four subscales — Self-Efficacy (α = .862), Hope (α = .867), Resilience (α = .859), and Optimism (α = .845) — each demonstrated good internal consistency. The Utrecht Work Engagement Scale — short form (UWES-9; Schaufeli et al., 2006) demonstrated good internal consistency (α = .890), with CITC values ranging from .566 to .678. The Vigor (α = .757), Dedication (α = .803), and Absorption (α = .786) subscales demonstrated acceptable-to-good reliability. The Minnesota Satisfaction Questionnaire — short form (MSQ-20; Weiss et al., 1967) demonstrated excellent internal consistency (α = .939), with CITC values ranging from .570 to .698. No item in any of the three scales, if deleted, would have meaningfully increased the respective scale's alpha coefficient. All items were therefore retained for subsequent analyses. Taken together, these results indicate that the study instruments demonstrate adequate internal consistency reliability for use in the planned inferential statistical analyses, including Pearson correlation, multiple regression, and mediation analysis using the PROCESS Macro (Hayes, 2018).</w:t>
      </w:r>
    </w:p>
    <w:p>
      <w:pPr>
        <w:spacing w:after="80" w:before="80"/>
      </w:pPr>
      <w:r>
        <w:rPr>
          <w:rFonts w:ascii="Times New Roman" w:cs="Times New Roman" w:eastAsia="Times New Roman" w:hAnsi="Times New Roman"/>
          <w:b w:val="false"/>
          <w:bCs w:val="false"/>
          <w:i w:val="false"/>
          <w:iCs w:val="false"/>
          <w:color w:val="000000"/>
          <w:sz w:val="24"/>
          <w:szCs w:val="24"/>
        </w:rPr>
        <w:t xml:space="preserve"/>
      </w:r>
    </w:p>
    <w:p>
      <w:pPr>
        <w:pStyle w:val="Heading1"/>
        <w:shd w:fill="1F3864" w:val="clear"/>
        <w:spacing w:after="160" w:before="300"/>
        <w:ind w:left="240" w:right="240"/>
      </w:pPr>
      <w:r>
        <w:rPr>
          <w:rFonts w:ascii="Times New Roman" w:cs="Times New Roman" w:eastAsia="Times New Roman" w:hAnsi="Times New Roman"/>
          <w:b/>
          <w:bCs/>
          <w:color w:val="FFFFFF"/>
          <w:sz w:val="26"/>
          <w:szCs w:val="26"/>
        </w:rPr>
        <w:t xml:space="preserve">References.  </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Avey, J. B., Reichard, R. J., Luthans, F., &amp; Mhatre, K. H. (2011). Meta-analysis of the impact of positive psychological capital on employee attitudes, behaviors, and performance. Human Resource Development Quarterly, 22(2), 127–152. https://doi.org/10.1002/hrdq.20070</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Cronbach, L. J. (1951). Coefficient alpha and the internal structure of tests. Psychometrika, 16(3), 297–334. https://doi.org/10.1007/BF02310555</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Field, A. (2018). Discovering statistics using IBM SPSS statistics (5th ed.). SAGE Publications.</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George, D., &amp; Mallery, P. (2020). IBM SPSS statistics 26 step by step: A simple guide and reference (16th ed.). Routledge.</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Hair, J. F., Black, W. C., Babin, B. J., &amp; Anderson, R. E. (2019). Multivariate data analysis (8th ed.). Cengage Learning.</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Luthans, F., Youssef, C. M., &amp; Avolio, B. J. (2007). Psychological capital: Developing the human competitive edge. Oxford University Press.</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Nunnally, J. C., &amp; Bernstein, I. H. (1994). Psychometric theory (3rd ed.). McGraw-Hill.</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Schaufeli, W. B., Bakker, A. B., &amp; Salanova, M. (2006). The measurement of work engagement with a short questionnaire: A cross-national study. Educational and Psychological Measurement, 66(4), 701–716. https://doi.org/10.1177/0013164405282471</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Spector, P. E. (1997). Job satisfaction: Application, assessment, causes, and consequences. SAGE Publications.</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Taherdoost, H. (2016). Validity and reliability of the research instrument: How to test the validation of a questionnaire/survey in a research. International Journal of Academic Research in Management, 5(3), 28–36.</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Weiss, D. J., Dawis, R. V., England, G. W., &amp; Lofquist, L. H. (1967). Manual for the Minnesota Satisfaction Questionnaire. Industrial Relations Center, University of Minnesota.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spacing w:before="120"/>
      <w:jc w:val="center"/>
    </w:pPr>
    <w:r>
      <w:rPr>
        <w:rFonts w:ascii="Times New Roman" w:cs="Times New Roman" w:eastAsia="Times New Roman" w:hAnsi="Times New Roman"/>
        <w:b w:val="false"/>
        <w:bCs w:val="false"/>
        <w:i w:val="false"/>
        <w:iCs w:val="false"/>
        <w:color w:val="595959"/>
        <w:sz w:val="18"/>
        <w:szCs w:val="18"/>
      </w:rPr>
      <w:t xml:space="preserve">Psychological Capital · Job Satisfaction · Work Engagement  </w:t>
    </w: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spacing w:after="120"/>
      <w:jc w:val="center"/>
    </w:pPr>
    <w:r>
      <w:rPr>
        <w:rFonts w:ascii="Times New Roman" w:cs="Times New Roman" w:eastAsia="Times New Roman" w:hAnsi="Times New Roman"/>
        <w:b/>
        <w:bCs/>
        <w:i w:val="false"/>
        <w:iCs w:val="false"/>
        <w:color w:val="2E5496"/>
        <w:sz w:val="19"/>
        <w:szCs w:val="19"/>
      </w:rPr>
      <w:t xml:space="preserve">Reliability Analysis of Study Instruments</w:t>
    </w:r>
    <w:r>
      <w:rPr>
        <w:rFonts w:ascii="Times New Roman" w:cs="Times New Roman" w:eastAsia="Times New Roman" w:hAnsi="Times New Roman"/>
        <w:b w:val="false"/>
        <w:bCs w:val="false"/>
        <w:i w:val="false"/>
        <w:iCs w:val="false"/>
        <w:color w:val="595959"/>
        <w:sz w:val="18"/>
        <w:szCs w:val="18"/>
      </w:rPr>
      <w:t xml:space="preserve">   |   Al-Quds Open University, Palestine   |   N = 270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60" w:before="300"/>
      <w:outlineLvl w:val="0"/>
    </w:pPr>
    <w:rPr>
      <w:rFonts w:ascii="Times New Roman" w:cs="Times New Roman" w:eastAsia="Times New Roman" w:hAnsi="Times New Roman"/>
      <w:b/>
      <w:bCs/>
      <w:color w:val="FFFFFF"/>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2026-05-18T21:30:07.880Z</dcterms:created>
  <dcterms:modified xsi:type="dcterms:W3CDTF">2026-05-18T21:30:07.881Z</dcterms:modified>
</cp:coreProperties>
</file>

<file path=docProps/custom.xml><?xml version="1.0" encoding="utf-8"?>
<Properties xmlns="http://schemas.openxmlformats.org/officeDocument/2006/custom-properties" xmlns:vt="http://schemas.openxmlformats.org/officeDocument/2006/docPropsVTypes"/>
</file>