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1D66" w14:textId="77777777" w:rsidR="00A25983" w:rsidRDefault="00A25983">
      <w:pPr>
        <w:spacing w:before="400"/>
      </w:pPr>
    </w:p>
    <w:p w14:paraId="63F6A8BF" w14:textId="77777777" w:rsidR="00A25983" w:rsidRDefault="00000000">
      <w:pPr>
        <w:spacing w:after="80"/>
        <w:jc w:val="center"/>
      </w:pPr>
      <w:r>
        <w:rPr>
          <w:b/>
          <w:bCs/>
          <w:color w:val="1F4E79"/>
          <w:sz w:val="40"/>
          <w:szCs w:val="40"/>
        </w:rPr>
        <w:t>PEARSON CORRELATION ANALYSIS REPORT</w:t>
      </w:r>
    </w:p>
    <w:p w14:paraId="08B4874C" w14:textId="77777777" w:rsidR="00A25983" w:rsidRDefault="00000000">
      <w:pPr>
        <w:spacing w:after="80"/>
        <w:jc w:val="center"/>
      </w:pPr>
      <w:r>
        <w:rPr>
          <w:b/>
          <w:bCs/>
          <w:color w:val="2E74B5"/>
          <w:sz w:val="26"/>
          <w:szCs w:val="26"/>
        </w:rPr>
        <w:t>Stage 7: Bivariate Relationships Among Study Variables</w:t>
      </w:r>
    </w:p>
    <w:p w14:paraId="10B73545" w14:textId="77777777" w:rsidR="00A25983" w:rsidRDefault="00A25983">
      <w:pPr>
        <w:pBdr>
          <w:bottom w:val="single" w:sz="6" w:space="1" w:color="2E74B5"/>
        </w:pBdr>
        <w:spacing w:before="160" w:after="60"/>
        <w:jc w:val="center"/>
      </w:pPr>
    </w:p>
    <w:p w14:paraId="5F83568E" w14:textId="77777777" w:rsidR="00A25983" w:rsidRDefault="00A25983">
      <w:pPr>
        <w:spacing w:before="160"/>
      </w:pPr>
    </w:p>
    <w:p w14:paraId="4C9C7228" w14:textId="77777777" w:rsidR="00A25983" w:rsidRDefault="00000000">
      <w:pPr>
        <w:spacing w:after="60"/>
        <w:jc w:val="center"/>
      </w:pPr>
      <w:r>
        <w:rPr>
          <w:b/>
          <w:bCs/>
          <w:color w:val="2F2F2F"/>
          <w:sz w:val="22"/>
          <w:szCs w:val="22"/>
        </w:rPr>
        <w:t>Study Title:</w:t>
      </w:r>
    </w:p>
    <w:p w14:paraId="28D449F1" w14:textId="77777777" w:rsidR="00A25983" w:rsidRDefault="00000000">
      <w:pPr>
        <w:spacing w:after="60"/>
        <w:jc w:val="center"/>
      </w:pPr>
      <w:r>
        <w:rPr>
          <w:i/>
          <w:iCs/>
          <w:color w:val="2F2F2F"/>
          <w:sz w:val="22"/>
          <w:szCs w:val="22"/>
        </w:rPr>
        <w:t>The Mediating Role of Job Satisfaction in the Relationship Between</w:t>
      </w:r>
    </w:p>
    <w:p w14:paraId="73255B1E" w14:textId="77777777" w:rsidR="00A25983" w:rsidRDefault="00000000">
      <w:pPr>
        <w:spacing w:after="60"/>
        <w:jc w:val="center"/>
      </w:pPr>
      <w:r>
        <w:rPr>
          <w:i/>
          <w:iCs/>
          <w:color w:val="2F2F2F"/>
          <w:sz w:val="22"/>
          <w:szCs w:val="22"/>
        </w:rPr>
        <w:t>Psychological Capital and Work Engagement Among Academic Staff</w:t>
      </w:r>
    </w:p>
    <w:p w14:paraId="7B25936B" w14:textId="77777777" w:rsidR="00A25983" w:rsidRDefault="00000000">
      <w:pPr>
        <w:spacing w:after="160"/>
        <w:jc w:val="center"/>
      </w:pPr>
      <w:r>
        <w:rPr>
          <w:i/>
          <w:iCs/>
          <w:color w:val="2F2F2F"/>
          <w:sz w:val="22"/>
          <w:szCs w:val="22"/>
        </w:rPr>
        <w:t>at Al-Quds Open University, Palestine</w:t>
      </w:r>
    </w:p>
    <w:p w14:paraId="6B956415" w14:textId="77777777" w:rsidR="00A25983" w:rsidRDefault="00A25983">
      <w:pPr>
        <w:spacing w:before="80"/>
      </w:pPr>
    </w:p>
    <w:p w14:paraId="5D2D6F57" w14:textId="77777777" w:rsidR="00A25983" w:rsidRDefault="00000000">
      <w:pPr>
        <w:spacing w:after="60"/>
        <w:jc w:val="center"/>
      </w:pPr>
      <w:r>
        <w:rPr>
          <w:b/>
          <w:bCs/>
          <w:color w:val="1F4E79"/>
        </w:rPr>
        <w:t>Sample Size: N = 270 Academic Staff Members</w:t>
      </w:r>
    </w:p>
    <w:p w14:paraId="3315443B" w14:textId="77777777" w:rsidR="00A25983" w:rsidRDefault="00000000">
      <w:pPr>
        <w:spacing w:after="60"/>
        <w:jc w:val="center"/>
      </w:pPr>
      <w:r>
        <w:rPr>
          <w:color w:val="595959"/>
        </w:rPr>
        <w:t>Statistical Software: IBM SPSS Statistics v26</w:t>
      </w:r>
    </w:p>
    <w:p w14:paraId="51E76D4A" w14:textId="77777777" w:rsidR="00A25983" w:rsidRDefault="00000000">
      <w:pPr>
        <w:spacing w:after="60"/>
        <w:jc w:val="center"/>
      </w:pPr>
      <w:r>
        <w:rPr>
          <w:color w:val="595959"/>
        </w:rPr>
        <w:t>Date: May 2026</w:t>
      </w:r>
    </w:p>
    <w:p w14:paraId="36589244" w14:textId="77777777" w:rsidR="00A25983" w:rsidRDefault="00A25983">
      <w:pPr>
        <w:pageBreakBefore/>
      </w:pPr>
    </w:p>
    <w:p w14:paraId="7EF00122" w14:textId="77777777" w:rsidR="00A25983" w:rsidRDefault="00000000">
      <w:pPr>
        <w:pStyle w:val="Heading1"/>
      </w:pPr>
      <w:r>
        <w:t>1. Purpose and Theoretical Rationale</w:t>
      </w:r>
    </w:p>
    <w:p w14:paraId="58686BAA" w14:textId="77777777" w:rsidR="00A25983" w:rsidRDefault="00000000">
      <w:pPr>
        <w:spacing w:before="100" w:after="140"/>
        <w:jc w:val="both"/>
      </w:pPr>
      <w:r>
        <w:t xml:space="preserve">Pearson product-moment correlation analysis was conducted to examine the </w:t>
      </w:r>
      <w:r>
        <w:rPr>
          <w:b/>
          <w:bCs/>
        </w:rPr>
        <w:t>direction</w:t>
      </w:r>
      <w:r>
        <w:t xml:space="preserve">, </w:t>
      </w:r>
      <w:r>
        <w:rPr>
          <w:b/>
          <w:bCs/>
        </w:rPr>
        <w:t>magnitude</w:t>
      </w:r>
      <w:r>
        <w:t xml:space="preserve">, and </w:t>
      </w:r>
      <w:r>
        <w:rPr>
          <w:b/>
          <w:bCs/>
        </w:rPr>
        <w:t>statistical significance</w:t>
      </w:r>
      <w:r>
        <w:t xml:space="preserve"> of the bivariate relationships among the three core study variables: Psychological Capital (PsyCap), Job Satisfaction, and Work Engagement. This stage serves a dual analytical purpose within the broader research framework. First, it provides initial bivariate evidence for or against the three directional hypotheses proposed in the study (H1–H3). Second, it fulfils a methodological prerequisite for the subsequent regression and mediation analyses — specifically, the verification that predictor variables are meaningfully but not excessively intercorrelated (Hair et al., 2019).</w:t>
      </w:r>
    </w:p>
    <w:p w14:paraId="38F72B68" w14:textId="77777777" w:rsidR="00A25983" w:rsidRDefault="00000000">
      <w:pPr>
        <w:spacing w:before="100" w:after="140"/>
        <w:jc w:val="both"/>
      </w:pPr>
      <w:r>
        <w:t xml:space="preserve">Within the context of the proposed mediation model — </w:t>
      </w:r>
      <w:r>
        <w:rPr>
          <w:b/>
          <w:bCs/>
        </w:rPr>
        <w:t>PsyCap → Job Satisfaction → Work Engagement</w:t>
      </w:r>
      <w:r>
        <w:t xml:space="preserve"> — the correlation matrix provides the foundational bivariate evidence needed to assess whether the mediation pathway is plausible before it is formally tested in Stage 9. Specifically, for a mediation model to be viable, the independent variable (PsyCap) must be significantly correlated with both the mediator (Job Satisfaction) and the dependent variable (Work Engagement), and the mediator must itself be significantly correlated with the dependent variable (Baron &amp; Kenny, 1986, as cited in Hair et al., 2019). The results of Stage 7 speak directly to all three conditions.</w:t>
      </w:r>
    </w:p>
    <w:p w14:paraId="7D48F5AA" w14:textId="77777777" w:rsidR="00A25983" w:rsidRDefault="00000000">
      <w:pPr>
        <w:spacing w:before="100" w:after="140"/>
        <w:jc w:val="both"/>
      </w:pPr>
      <w:r>
        <w:t>The three hypotheses tested at the bivariate level are:</w:t>
      </w:r>
    </w:p>
    <w:p w14:paraId="7305867F" w14:textId="77777777" w:rsidR="00A25983" w:rsidRDefault="00000000">
      <w:pPr>
        <w:spacing w:before="60" w:after="60"/>
        <w:jc w:val="both"/>
      </w:pPr>
      <w:r>
        <w:rPr>
          <w:b/>
          <w:bCs/>
        </w:rPr>
        <w:t xml:space="preserve">H1: </w:t>
      </w:r>
      <w:r>
        <w:t>There is a statistically significant positive relationship between Psychological Capital and Work Engagement among QOU academic staff.</w:t>
      </w:r>
    </w:p>
    <w:p w14:paraId="3605AD33" w14:textId="77777777" w:rsidR="00A25983" w:rsidRDefault="00000000">
      <w:pPr>
        <w:spacing w:before="60" w:after="60"/>
        <w:jc w:val="both"/>
      </w:pPr>
      <w:r>
        <w:rPr>
          <w:b/>
          <w:bCs/>
        </w:rPr>
        <w:t xml:space="preserve">H2: </w:t>
      </w:r>
      <w:r>
        <w:t>There is a statistically significant positive relationship between Psychological Capital and Job Satisfaction among QOU academic staff.</w:t>
      </w:r>
    </w:p>
    <w:p w14:paraId="12D24922" w14:textId="77777777" w:rsidR="00A25983" w:rsidRDefault="00000000">
      <w:pPr>
        <w:spacing w:before="60" w:after="120"/>
        <w:jc w:val="both"/>
      </w:pPr>
      <w:r>
        <w:rPr>
          <w:b/>
          <w:bCs/>
        </w:rPr>
        <w:t xml:space="preserve">H3: </w:t>
      </w:r>
      <w:r>
        <w:t>There is a statistically significant positive relationship between Job Satisfaction and Work Engagement among QOU academic staff.</w:t>
      </w:r>
    </w:p>
    <w:p w14:paraId="284C5B65" w14:textId="77777777" w:rsidR="00A25983" w:rsidRDefault="00A25983">
      <w:pPr>
        <w:spacing w:before="120"/>
      </w:pPr>
    </w:p>
    <w:p w14:paraId="145AF475" w14:textId="77777777" w:rsidR="00A25983" w:rsidRDefault="00000000">
      <w:pPr>
        <w:pStyle w:val="Heading1"/>
      </w:pPr>
      <w:r>
        <w:t>2. Interpretation Framework</w:t>
      </w:r>
    </w:p>
    <w:p w14:paraId="0060D9EA" w14:textId="77777777" w:rsidR="00A25983" w:rsidRDefault="00000000">
      <w:pPr>
        <w:spacing w:before="100" w:after="140"/>
        <w:jc w:val="both"/>
      </w:pPr>
      <w:r>
        <w:t>Pearson correlation coefficients (</w:t>
      </w:r>
      <w:r>
        <w:rPr>
          <w:i/>
          <w:iCs/>
        </w:rPr>
        <w:t>r</w:t>
      </w:r>
      <w:r>
        <w:t>) were interpreted using the effect size benchmarks established by Cohen (1988), which remain the most widely cited standard in organisational and educational research. These benchmarks are summarised in Table 1.</w:t>
      </w:r>
    </w:p>
    <w:p w14:paraId="1E949C55" w14:textId="77777777" w:rsidR="00A25983" w:rsidRDefault="00A25983">
      <w:pPr>
        <w:spacing w:before="80"/>
      </w:pPr>
    </w:p>
    <w:p w14:paraId="463E36CE" w14:textId="77777777" w:rsidR="00A25983" w:rsidRDefault="00000000">
      <w:pPr>
        <w:spacing w:before="140" w:after="60"/>
      </w:pPr>
      <w:r>
        <w:rPr>
          <w:b/>
          <w:bCs/>
          <w:color w:val="1F4E79"/>
        </w:rPr>
        <w:t>Table 1</w:t>
      </w:r>
      <w:r>
        <w:rPr>
          <w:i/>
          <w:iCs/>
        </w:rPr>
        <w:t>. Cohen's (1988) Benchmarks for Pearson Correlation Strength and Effect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500"/>
        <w:gridCol w:w="3526"/>
      </w:tblGrid>
      <w:tr w:rsidR="00A25983" w14:paraId="302CD213" w14:textId="77777777">
        <w:trPr>
          <w:tblHeader/>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BC96177" w14:textId="77777777" w:rsidR="00A25983" w:rsidRDefault="00000000">
            <w:pPr>
              <w:jc w:val="center"/>
            </w:pPr>
            <w:r>
              <w:rPr>
                <w:b/>
                <w:bCs/>
                <w:color w:val="FFFFFF"/>
                <w:sz w:val="18"/>
                <w:szCs w:val="18"/>
              </w:rPr>
              <w:t>|r| Range</w:t>
            </w:r>
          </w:p>
        </w:tc>
        <w:tc>
          <w:tcPr>
            <w:tcW w:w="2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7ACE9E5" w14:textId="77777777" w:rsidR="00A25983" w:rsidRDefault="00000000">
            <w:pPr>
              <w:jc w:val="center"/>
            </w:pPr>
            <w:r>
              <w:rPr>
                <w:b/>
                <w:bCs/>
                <w:color w:val="FFFFFF"/>
                <w:sz w:val="18"/>
                <w:szCs w:val="18"/>
              </w:rPr>
              <w:t>Interpretation</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F95E3F7" w14:textId="77777777" w:rsidR="00A25983" w:rsidRDefault="00000000">
            <w:pPr>
              <w:jc w:val="center"/>
            </w:pPr>
            <w:r>
              <w:rPr>
                <w:b/>
                <w:bCs/>
                <w:color w:val="FFFFFF"/>
                <w:sz w:val="18"/>
                <w:szCs w:val="18"/>
              </w:rPr>
              <w:t>Effect Size</w:t>
            </w:r>
          </w:p>
        </w:tc>
        <w:tc>
          <w:tcPr>
            <w:tcW w:w="35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457322D" w14:textId="77777777" w:rsidR="00A25983" w:rsidRDefault="00000000">
            <w:pPr>
              <w:jc w:val="center"/>
            </w:pPr>
            <w:r>
              <w:rPr>
                <w:b/>
                <w:bCs/>
                <w:color w:val="FFFFFF"/>
                <w:sz w:val="18"/>
                <w:szCs w:val="18"/>
              </w:rPr>
              <w:t>Practical Meaning</w:t>
            </w:r>
          </w:p>
        </w:tc>
      </w:tr>
      <w:tr w:rsidR="00A25983" w14:paraId="76B6639B" w14:textId="77777777">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4283E1B1" w14:textId="77777777" w:rsidR="00A25983" w:rsidRDefault="00000000">
            <w:pPr>
              <w:jc w:val="center"/>
            </w:pPr>
            <w:r>
              <w:rPr>
                <w:b/>
                <w:bCs/>
                <w:color w:val="2F2F2F"/>
                <w:sz w:val="18"/>
                <w:szCs w:val="18"/>
              </w:rPr>
              <w:t>.00 – .09</w:t>
            </w:r>
          </w:p>
        </w:tc>
        <w:tc>
          <w:tcPr>
            <w:tcW w:w="22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58762561" w14:textId="77777777" w:rsidR="00A25983" w:rsidRDefault="00000000">
            <w:pPr>
              <w:jc w:val="center"/>
            </w:pPr>
            <w:r>
              <w:rPr>
                <w:color w:val="2F2F2F"/>
                <w:sz w:val="18"/>
                <w:szCs w:val="18"/>
              </w:rPr>
              <w:t>Negligible</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4784F186" w14:textId="77777777" w:rsidR="00A25983" w:rsidRDefault="00000000">
            <w:pPr>
              <w:jc w:val="center"/>
            </w:pPr>
            <w:r>
              <w:rPr>
                <w:color w:val="2F2F2F"/>
                <w:sz w:val="18"/>
                <w:szCs w:val="18"/>
              </w:rPr>
              <w:t>—</w:t>
            </w:r>
          </w:p>
        </w:tc>
        <w:tc>
          <w:tcPr>
            <w:tcW w:w="35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5232821D" w14:textId="77777777" w:rsidR="00A25983" w:rsidRDefault="00000000">
            <w:r>
              <w:rPr>
                <w:color w:val="2F2F2F"/>
                <w:sz w:val="18"/>
                <w:szCs w:val="18"/>
              </w:rPr>
              <w:t>No meaningful relationship</w:t>
            </w:r>
          </w:p>
        </w:tc>
      </w:tr>
      <w:tr w:rsidR="00A25983" w14:paraId="31A4861B"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E181FAD" w14:textId="77777777" w:rsidR="00A25983" w:rsidRDefault="00000000">
            <w:pPr>
              <w:jc w:val="center"/>
            </w:pPr>
            <w:r>
              <w:rPr>
                <w:b/>
                <w:bCs/>
                <w:color w:val="2F2F2F"/>
                <w:sz w:val="18"/>
                <w:szCs w:val="18"/>
              </w:rPr>
              <w:t>.10 – .29</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0E841F1F" w14:textId="77777777" w:rsidR="00A25983" w:rsidRDefault="00000000">
            <w:pPr>
              <w:jc w:val="center"/>
            </w:pPr>
            <w:r>
              <w:rPr>
                <w:color w:val="2F2F2F"/>
                <w:sz w:val="18"/>
                <w:szCs w:val="18"/>
              </w:rPr>
              <w:t>Weak</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7DAA919E" w14:textId="77777777" w:rsidR="00A25983" w:rsidRDefault="00000000">
            <w:pPr>
              <w:jc w:val="center"/>
            </w:pPr>
            <w:r>
              <w:rPr>
                <w:color w:val="2F2F2F"/>
                <w:sz w:val="18"/>
                <w:szCs w:val="18"/>
              </w:rPr>
              <w:t>Small</w:t>
            </w:r>
          </w:p>
        </w:tc>
        <w:tc>
          <w:tcPr>
            <w:tcW w:w="35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13A164CB" w14:textId="77777777" w:rsidR="00A25983" w:rsidRDefault="00000000">
            <w:r>
              <w:rPr>
                <w:color w:val="2F2F2F"/>
                <w:sz w:val="18"/>
                <w:szCs w:val="18"/>
              </w:rPr>
              <w:t>Minimal practical significance</w:t>
            </w:r>
          </w:p>
        </w:tc>
      </w:tr>
      <w:tr w:rsidR="00A25983" w14:paraId="25A05933" w14:textId="77777777">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FB982CB" w14:textId="77777777" w:rsidR="00A25983" w:rsidRDefault="00000000">
            <w:pPr>
              <w:jc w:val="center"/>
            </w:pPr>
            <w:r>
              <w:rPr>
                <w:b/>
                <w:bCs/>
                <w:color w:val="2F2F2F"/>
                <w:sz w:val="18"/>
                <w:szCs w:val="18"/>
              </w:rPr>
              <w:t>.30 – .49</w:t>
            </w:r>
          </w:p>
        </w:tc>
        <w:tc>
          <w:tcPr>
            <w:tcW w:w="22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5ADB5613" w14:textId="77777777" w:rsidR="00A25983" w:rsidRDefault="00000000">
            <w:pPr>
              <w:jc w:val="center"/>
            </w:pPr>
            <w:r>
              <w:rPr>
                <w:color w:val="2F2F2F"/>
                <w:sz w:val="18"/>
                <w:szCs w:val="18"/>
              </w:rPr>
              <w:t>Moderate</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2B81F6D0" w14:textId="77777777" w:rsidR="00A25983" w:rsidRDefault="00000000">
            <w:pPr>
              <w:jc w:val="center"/>
            </w:pPr>
            <w:r>
              <w:rPr>
                <w:color w:val="2F2F2F"/>
                <w:sz w:val="18"/>
                <w:szCs w:val="18"/>
              </w:rPr>
              <w:t>Medium</w:t>
            </w:r>
          </w:p>
        </w:tc>
        <w:tc>
          <w:tcPr>
            <w:tcW w:w="35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33E65039" w14:textId="77777777" w:rsidR="00A25983" w:rsidRDefault="00000000">
            <w:r>
              <w:rPr>
                <w:color w:val="2F2F2F"/>
                <w:sz w:val="18"/>
                <w:szCs w:val="18"/>
              </w:rPr>
              <w:t>Practically meaningful relationship</w:t>
            </w:r>
          </w:p>
        </w:tc>
      </w:tr>
      <w:tr w:rsidR="00A25983" w14:paraId="11D945C4"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20" w:type="dxa"/>
              <w:bottom w:w="70" w:type="dxa"/>
              <w:right w:w="120" w:type="dxa"/>
            </w:tcMar>
            <w:vAlign w:val="center"/>
          </w:tcPr>
          <w:p w14:paraId="138ABFBD" w14:textId="77777777" w:rsidR="00A25983" w:rsidRDefault="00000000">
            <w:pPr>
              <w:jc w:val="center"/>
            </w:pPr>
            <w:r>
              <w:rPr>
                <w:b/>
                <w:bCs/>
                <w:color w:val="2F2F2F"/>
                <w:sz w:val="18"/>
                <w:szCs w:val="18"/>
              </w:rPr>
              <w:t>.50 – .69</w:t>
            </w:r>
          </w:p>
        </w:tc>
        <w:tc>
          <w:tcPr>
            <w:tcW w:w="22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20" w:type="dxa"/>
              <w:bottom w:w="70" w:type="dxa"/>
              <w:right w:w="120" w:type="dxa"/>
            </w:tcMar>
            <w:vAlign w:val="center"/>
          </w:tcPr>
          <w:p w14:paraId="4CEA70B4" w14:textId="77777777" w:rsidR="00A25983" w:rsidRDefault="00000000">
            <w:pPr>
              <w:jc w:val="center"/>
            </w:pPr>
            <w:r>
              <w:rPr>
                <w:color w:val="2F2F2F"/>
                <w:sz w:val="18"/>
                <w:szCs w:val="18"/>
              </w:rPr>
              <w:t>Moderate-to-Strong</w:t>
            </w:r>
          </w:p>
        </w:tc>
        <w:tc>
          <w:tcPr>
            <w:tcW w:w="15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20" w:type="dxa"/>
              <w:bottom w:w="70" w:type="dxa"/>
              <w:right w:w="120" w:type="dxa"/>
            </w:tcMar>
            <w:vAlign w:val="center"/>
          </w:tcPr>
          <w:p w14:paraId="58F28853" w14:textId="77777777" w:rsidR="00A25983" w:rsidRDefault="00000000">
            <w:pPr>
              <w:jc w:val="center"/>
            </w:pPr>
            <w:r>
              <w:rPr>
                <w:color w:val="2F2F2F"/>
                <w:sz w:val="18"/>
                <w:szCs w:val="18"/>
              </w:rPr>
              <w:t>Medium-Large</w:t>
            </w:r>
          </w:p>
        </w:tc>
        <w:tc>
          <w:tcPr>
            <w:tcW w:w="3526" w:type="dxa"/>
            <w:tcBorders>
              <w:top w:val="single" w:sz="4" w:space="0" w:color="BDD7EE"/>
              <w:left w:val="single" w:sz="4" w:space="0" w:color="BDD7EE"/>
              <w:bottom w:val="single" w:sz="4" w:space="0" w:color="BDD7EE"/>
              <w:right w:val="single" w:sz="4" w:space="0" w:color="BDD7EE"/>
            </w:tcBorders>
            <w:shd w:val="clear" w:color="auto" w:fill="FFF2CC"/>
            <w:tcMar>
              <w:top w:w="70" w:type="dxa"/>
              <w:left w:w="120" w:type="dxa"/>
              <w:bottom w:w="70" w:type="dxa"/>
              <w:right w:w="120" w:type="dxa"/>
            </w:tcMar>
            <w:vAlign w:val="center"/>
          </w:tcPr>
          <w:p w14:paraId="6B64B74F" w14:textId="77777777" w:rsidR="00A25983" w:rsidRDefault="00000000">
            <w:r>
              <w:rPr>
                <w:color w:val="2F2F2F"/>
                <w:sz w:val="18"/>
                <w:szCs w:val="18"/>
              </w:rPr>
              <w:t>Substantively important</w:t>
            </w:r>
          </w:p>
        </w:tc>
      </w:tr>
      <w:tr w:rsidR="00A25983" w14:paraId="039EEC64" w14:textId="77777777">
        <w:tc>
          <w:tcPr>
            <w:tcW w:w="1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20" w:type="dxa"/>
              <w:bottom w:w="70" w:type="dxa"/>
              <w:right w:w="120" w:type="dxa"/>
            </w:tcMar>
            <w:vAlign w:val="center"/>
          </w:tcPr>
          <w:p w14:paraId="5756319D" w14:textId="77777777" w:rsidR="00A25983" w:rsidRDefault="00000000">
            <w:pPr>
              <w:jc w:val="center"/>
            </w:pPr>
            <w:r>
              <w:rPr>
                <w:b/>
                <w:bCs/>
                <w:color w:val="2F2F2F"/>
                <w:sz w:val="18"/>
                <w:szCs w:val="18"/>
              </w:rPr>
              <w:t>.70 – 1.00</w:t>
            </w:r>
          </w:p>
        </w:tc>
        <w:tc>
          <w:tcPr>
            <w:tcW w:w="22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20" w:type="dxa"/>
              <w:bottom w:w="70" w:type="dxa"/>
              <w:right w:w="120" w:type="dxa"/>
            </w:tcMar>
            <w:vAlign w:val="center"/>
          </w:tcPr>
          <w:p w14:paraId="20BA43D5" w14:textId="77777777" w:rsidR="00A25983" w:rsidRDefault="00000000">
            <w:pPr>
              <w:jc w:val="center"/>
            </w:pPr>
            <w:r>
              <w:rPr>
                <w:color w:val="2F2F2F"/>
                <w:sz w:val="18"/>
                <w:szCs w:val="18"/>
              </w:rPr>
              <w:t>Strong</w:t>
            </w:r>
          </w:p>
        </w:tc>
        <w:tc>
          <w:tcPr>
            <w:tcW w:w="15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20" w:type="dxa"/>
              <w:bottom w:w="70" w:type="dxa"/>
              <w:right w:w="120" w:type="dxa"/>
            </w:tcMar>
            <w:vAlign w:val="center"/>
          </w:tcPr>
          <w:p w14:paraId="24C8F628" w14:textId="77777777" w:rsidR="00A25983" w:rsidRDefault="00000000">
            <w:pPr>
              <w:jc w:val="center"/>
            </w:pPr>
            <w:r>
              <w:rPr>
                <w:color w:val="2F2F2F"/>
                <w:sz w:val="18"/>
                <w:szCs w:val="18"/>
              </w:rPr>
              <w:t>Large</w:t>
            </w:r>
          </w:p>
        </w:tc>
        <w:tc>
          <w:tcPr>
            <w:tcW w:w="35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20" w:type="dxa"/>
              <w:bottom w:w="70" w:type="dxa"/>
              <w:right w:w="120" w:type="dxa"/>
            </w:tcMar>
            <w:vAlign w:val="center"/>
          </w:tcPr>
          <w:p w14:paraId="4C9823B6" w14:textId="77777777" w:rsidR="00A25983" w:rsidRDefault="00000000">
            <w:r>
              <w:rPr>
                <w:color w:val="2F2F2F"/>
                <w:sz w:val="18"/>
                <w:szCs w:val="18"/>
              </w:rPr>
              <w:t>Highly substantive relationship</w:t>
            </w:r>
          </w:p>
        </w:tc>
      </w:tr>
    </w:tbl>
    <w:p w14:paraId="02DF61B1" w14:textId="77777777" w:rsidR="00A25983" w:rsidRDefault="00000000">
      <w:pPr>
        <w:spacing w:before="60" w:after="120"/>
      </w:pPr>
      <w:r>
        <w:rPr>
          <w:i/>
          <w:iCs/>
          <w:color w:val="595959"/>
          <w:sz w:val="16"/>
          <w:szCs w:val="16"/>
        </w:rPr>
        <w:t>Note. Based on Cohen (1988). Values above r = .80 between simultaneous predictors would raise concerns about multicollinearity in regression analysis (Hair et al., 2019).</w:t>
      </w:r>
    </w:p>
    <w:p w14:paraId="4EB380F7" w14:textId="77777777" w:rsidR="00A25983" w:rsidRDefault="00A25983">
      <w:pPr>
        <w:spacing w:before="120"/>
      </w:pPr>
    </w:p>
    <w:p w14:paraId="57677061" w14:textId="77777777" w:rsidR="00A25983" w:rsidRDefault="00000000">
      <w:pPr>
        <w:spacing w:before="100" w:after="140"/>
        <w:jc w:val="both"/>
      </w:pPr>
      <w:r>
        <w:t xml:space="preserve">In addition to effect size classification, the </w:t>
      </w:r>
      <w:r>
        <w:rPr>
          <w:b/>
          <w:bCs/>
        </w:rPr>
        <w:t>coefficient of determination (r²)</w:t>
      </w:r>
      <w:r>
        <w:t xml:space="preserve"> is reported for each correlation to quantify the proportion of shared variance between each pair of variables. This provides a more concrete, practically interpretable indicator of the strength of association than the correlation coefficient alone. For example, an </w:t>
      </w:r>
      <w:r>
        <w:rPr>
          <w:i/>
          <w:iCs/>
        </w:rPr>
        <w:t>r</w:t>
      </w:r>
      <w:r>
        <w:t xml:space="preserve"> = .50 translates to r² = .25, meaning the two variables share 25% of their variance — a substantively meaningful degree of overlap that justifies including both in the same theoretical model.</w:t>
      </w:r>
    </w:p>
    <w:p w14:paraId="364F1241" w14:textId="77777777" w:rsidR="00A25983" w:rsidRDefault="00000000">
      <w:pPr>
        <w:spacing w:before="100" w:after="140"/>
        <w:jc w:val="both"/>
      </w:pPr>
      <w:r>
        <w:lastRenderedPageBreak/>
        <w:t xml:space="preserve">Statistical significance was evaluated at the conventional </w:t>
      </w:r>
      <w:r>
        <w:rPr>
          <w:b/>
          <w:bCs/>
        </w:rPr>
        <w:t>α = .05 level</w:t>
      </w:r>
      <w:r>
        <w:t>, with all reported correlations assessed using two-tailed tests to account for the possibility of both positive and negative associations, even though the theoretical hypotheses are directional (positive).</w:t>
      </w:r>
    </w:p>
    <w:p w14:paraId="127C195D" w14:textId="77777777" w:rsidR="00A25983" w:rsidRDefault="00A25983">
      <w:pPr>
        <w:spacing w:before="120"/>
      </w:pPr>
    </w:p>
    <w:p w14:paraId="3DE5BEC8" w14:textId="77777777" w:rsidR="00A25983" w:rsidRDefault="00000000">
      <w:pPr>
        <w:pStyle w:val="Heading1"/>
      </w:pPr>
      <w:r>
        <w:t>3. Correlation Matrix Results</w:t>
      </w:r>
    </w:p>
    <w:p w14:paraId="31D4C8C3" w14:textId="77777777" w:rsidR="00A25983" w:rsidRDefault="00000000">
      <w:pPr>
        <w:spacing w:before="100" w:after="140"/>
        <w:jc w:val="both"/>
      </w:pPr>
      <w:r>
        <w:t>Table 2 presents the Pearson correlation matrix for the three study variables. All descriptive statistics (mean, standard deviation) are reported alongside the correlation coefficients to provide a complete picture of the distribution of each variable. All pairwise correlations are based on the full sample of N = 270 participants, with no missing values on any of the three composite measures.</w:t>
      </w:r>
    </w:p>
    <w:p w14:paraId="4B26ACF7" w14:textId="77777777" w:rsidR="00A25983" w:rsidRDefault="00A25983">
      <w:pPr>
        <w:spacing w:before="80"/>
      </w:pPr>
    </w:p>
    <w:p w14:paraId="25C66E8D" w14:textId="77777777" w:rsidR="00A25983" w:rsidRDefault="00000000">
      <w:pPr>
        <w:spacing w:before="140" w:after="60"/>
      </w:pPr>
      <w:r>
        <w:rPr>
          <w:b/>
          <w:bCs/>
          <w:color w:val="1F4E79"/>
        </w:rPr>
        <w:t>Table 2</w:t>
      </w:r>
      <w:r>
        <w:rPr>
          <w:i/>
          <w:iCs/>
        </w:rPr>
        <w:t>. Pearson Correlation Matrix — Descriptive Statistics and Bivariate Correlations (N = 270)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991"/>
        <w:gridCol w:w="891"/>
        <w:gridCol w:w="890"/>
        <w:gridCol w:w="891"/>
        <w:gridCol w:w="896"/>
        <w:gridCol w:w="896"/>
        <w:gridCol w:w="814"/>
      </w:tblGrid>
      <w:tr w:rsidR="00A25983" w14:paraId="26546628" w14:textId="77777777">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88BE380" w14:textId="77777777" w:rsidR="00A25983" w:rsidRDefault="00000000">
            <w:pPr>
              <w:jc w:val="center"/>
            </w:pPr>
            <w:r>
              <w:rPr>
                <w:b/>
                <w:bCs/>
                <w:color w:val="FFFFFF"/>
                <w:sz w:val="18"/>
                <w:szCs w:val="18"/>
              </w:rPr>
              <w:t>Variable</w:t>
            </w:r>
          </w:p>
        </w:tc>
        <w:tc>
          <w:tcPr>
            <w:tcW w:w="1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9A37BE5" w14:textId="77777777" w:rsidR="00A25983" w:rsidRDefault="00000000">
            <w:pPr>
              <w:jc w:val="center"/>
            </w:pPr>
            <w:r>
              <w:rPr>
                <w:b/>
                <w:bCs/>
                <w:color w:val="FFFFFF"/>
                <w:sz w:val="18"/>
                <w:szCs w:val="18"/>
              </w:rPr>
              <w:t>Mean</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FD4C43A" w14:textId="77777777" w:rsidR="00A25983" w:rsidRDefault="00000000">
            <w:pPr>
              <w:jc w:val="center"/>
            </w:pPr>
            <w:r>
              <w:rPr>
                <w:b/>
                <w:bCs/>
                <w:color w:val="FFFFFF"/>
                <w:sz w:val="18"/>
                <w:szCs w:val="18"/>
              </w:rPr>
              <w:t>SD</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078BC37" w14:textId="77777777" w:rsidR="00A25983" w:rsidRDefault="00000000">
            <w:pPr>
              <w:jc w:val="center"/>
            </w:pPr>
            <w:r>
              <w:rPr>
                <w:b/>
                <w:bCs/>
                <w:color w:val="FFFFFF"/>
                <w:sz w:val="18"/>
                <w:szCs w:val="18"/>
              </w:rPr>
              <w:t>Min</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2D946F9" w14:textId="77777777" w:rsidR="00A25983" w:rsidRDefault="00000000">
            <w:pPr>
              <w:jc w:val="center"/>
            </w:pPr>
            <w:r>
              <w:rPr>
                <w:b/>
                <w:bCs/>
                <w:color w:val="FFFFFF"/>
                <w:sz w:val="18"/>
                <w:szCs w:val="18"/>
              </w:rPr>
              <w:t>Max</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48492C1" w14:textId="77777777" w:rsidR="00A25983" w:rsidRDefault="00000000">
            <w:pPr>
              <w:jc w:val="center"/>
            </w:pPr>
            <w:r>
              <w:rPr>
                <w:b/>
                <w:bCs/>
                <w:color w:val="FFFFFF"/>
                <w:sz w:val="18"/>
                <w:szCs w:val="18"/>
              </w:rPr>
              <w:t>1</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CFEB6D9" w14:textId="77777777" w:rsidR="00A25983" w:rsidRDefault="00000000">
            <w:pPr>
              <w:jc w:val="center"/>
            </w:pPr>
            <w:r>
              <w:rPr>
                <w:b/>
                <w:bCs/>
                <w:color w:val="FFFFFF"/>
                <w:sz w:val="18"/>
                <w:szCs w:val="18"/>
              </w:rPr>
              <w:t>2</w:t>
            </w:r>
          </w:p>
        </w:tc>
        <w:tc>
          <w:tcPr>
            <w:tcW w:w="8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02B9A0A4" w14:textId="77777777" w:rsidR="00A25983" w:rsidRDefault="00000000">
            <w:pPr>
              <w:jc w:val="center"/>
            </w:pPr>
            <w:r>
              <w:rPr>
                <w:b/>
                <w:bCs/>
                <w:color w:val="FFFFFF"/>
                <w:sz w:val="18"/>
                <w:szCs w:val="18"/>
              </w:rPr>
              <w:t>3</w:t>
            </w:r>
          </w:p>
        </w:tc>
      </w:tr>
      <w:tr w:rsidR="00A25983" w14:paraId="17EC42DF" w14:textId="77777777">
        <w:tc>
          <w:tcPr>
            <w:tcW w:w="2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EDFD751" w14:textId="77777777" w:rsidR="00A25983" w:rsidRDefault="00000000">
            <w:r>
              <w:rPr>
                <w:b/>
                <w:bCs/>
                <w:color w:val="2F2F2F"/>
                <w:sz w:val="18"/>
                <w:szCs w:val="18"/>
              </w:rPr>
              <w:t>1. Psychological Capital (PsyCap)</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3C53ED2E" w14:textId="77777777" w:rsidR="00A25983" w:rsidRDefault="00000000">
            <w:pPr>
              <w:jc w:val="center"/>
            </w:pPr>
            <w:r>
              <w:rPr>
                <w:color w:val="2F2F2F"/>
                <w:sz w:val="18"/>
                <w:szCs w:val="18"/>
              </w:rPr>
              <w:t>4.32</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7ABEE4BC" w14:textId="77777777" w:rsidR="00A25983" w:rsidRDefault="00000000">
            <w:pPr>
              <w:jc w:val="center"/>
            </w:pPr>
            <w:r>
              <w:rPr>
                <w:color w:val="2F2F2F"/>
                <w:sz w:val="18"/>
                <w:szCs w:val="18"/>
              </w:rPr>
              <w:t>0.82</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859F723" w14:textId="77777777" w:rsidR="00A25983" w:rsidRDefault="00000000">
            <w:pPr>
              <w:jc w:val="center"/>
            </w:pPr>
            <w:r>
              <w:rPr>
                <w:color w:val="2F2F2F"/>
                <w:sz w:val="18"/>
                <w:szCs w:val="18"/>
              </w:rPr>
              <w:t>1</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7E6AB07C" w14:textId="77777777" w:rsidR="00A25983" w:rsidRDefault="00000000">
            <w:pPr>
              <w:jc w:val="center"/>
            </w:pPr>
            <w:r>
              <w:rPr>
                <w:color w:val="2F2F2F"/>
                <w:sz w:val="18"/>
                <w:szCs w:val="18"/>
              </w:rPr>
              <w:t>6</w:t>
            </w:r>
          </w:p>
        </w:tc>
        <w:tc>
          <w:tcPr>
            <w:tcW w:w="9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20" w:type="dxa"/>
              <w:bottom w:w="70" w:type="dxa"/>
              <w:right w:w="120" w:type="dxa"/>
            </w:tcMar>
            <w:vAlign w:val="center"/>
          </w:tcPr>
          <w:p w14:paraId="5E017CC8" w14:textId="77777777" w:rsidR="00A25983" w:rsidRDefault="00000000">
            <w:pPr>
              <w:jc w:val="center"/>
            </w:pPr>
            <w:r>
              <w:rPr>
                <w:color w:val="2F2F2F"/>
                <w:sz w:val="18"/>
                <w:szCs w:val="18"/>
              </w:rPr>
              <w:t>—</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7A1CE8AF" w14:textId="77777777" w:rsidR="00A25983" w:rsidRDefault="00A25983">
            <w:pPr>
              <w:jc w:val="center"/>
            </w:pPr>
          </w:p>
        </w:tc>
        <w:tc>
          <w:tcPr>
            <w:tcW w:w="8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2176E38" w14:textId="77777777" w:rsidR="00A25983" w:rsidRDefault="00A25983">
            <w:pPr>
              <w:jc w:val="center"/>
            </w:pPr>
          </w:p>
        </w:tc>
      </w:tr>
      <w:tr w:rsidR="00A25983" w14:paraId="67FD44CE" w14:textId="77777777">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5DCE2766" w14:textId="77777777" w:rsidR="00A25983" w:rsidRDefault="00000000">
            <w:r>
              <w:rPr>
                <w:b/>
                <w:bCs/>
                <w:color w:val="2F2F2F"/>
                <w:sz w:val="18"/>
                <w:szCs w:val="18"/>
              </w:rPr>
              <w:t>2. Work Engagement</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8CA4B59" w14:textId="77777777" w:rsidR="00A25983" w:rsidRDefault="00000000">
            <w:pPr>
              <w:jc w:val="center"/>
            </w:pPr>
            <w:r>
              <w:rPr>
                <w:color w:val="2F2F2F"/>
                <w:sz w:val="18"/>
                <w:szCs w:val="18"/>
              </w:rPr>
              <w:t>4.23</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13B96043" w14:textId="77777777" w:rsidR="00A25983" w:rsidRDefault="00000000">
            <w:pPr>
              <w:jc w:val="center"/>
            </w:pPr>
            <w:r>
              <w:rPr>
                <w:color w:val="2F2F2F"/>
                <w:sz w:val="18"/>
                <w:szCs w:val="18"/>
              </w:rPr>
              <w:t>0.91</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9AEB664" w14:textId="77777777" w:rsidR="00A25983" w:rsidRDefault="00000000">
            <w:pPr>
              <w:jc w:val="center"/>
            </w:pPr>
            <w:r>
              <w:rPr>
                <w:color w:val="2F2F2F"/>
                <w:sz w:val="18"/>
                <w:szCs w:val="18"/>
              </w:rPr>
              <w:t>0</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E98022E" w14:textId="77777777" w:rsidR="00A25983" w:rsidRDefault="00000000">
            <w:pPr>
              <w:jc w:val="center"/>
            </w:pPr>
            <w:r>
              <w:rPr>
                <w:color w:val="2F2F2F"/>
                <w:sz w:val="18"/>
                <w:szCs w:val="18"/>
              </w:rPr>
              <w:t>6</w:t>
            </w:r>
          </w:p>
        </w:tc>
        <w:tc>
          <w:tcPr>
            <w:tcW w:w="9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20" w:type="dxa"/>
              <w:bottom w:w="70" w:type="dxa"/>
              <w:right w:w="120" w:type="dxa"/>
            </w:tcMar>
            <w:vAlign w:val="center"/>
          </w:tcPr>
          <w:p w14:paraId="38986F1C" w14:textId="77777777" w:rsidR="00A25983" w:rsidRDefault="00000000">
            <w:pPr>
              <w:jc w:val="center"/>
            </w:pPr>
            <w:r>
              <w:rPr>
                <w:b/>
                <w:bCs/>
                <w:color w:val="2F2F2F"/>
                <w:sz w:val="18"/>
                <w:szCs w:val="18"/>
              </w:rPr>
              <w:t>.533**</w:t>
            </w:r>
          </w:p>
        </w:tc>
        <w:tc>
          <w:tcPr>
            <w:tcW w:w="900" w:type="dxa"/>
            <w:tcBorders>
              <w:top w:val="single" w:sz="4" w:space="0" w:color="BDD7EE"/>
              <w:left w:val="single" w:sz="4" w:space="0" w:color="BDD7EE"/>
              <w:bottom w:val="single" w:sz="4" w:space="0" w:color="BDD7EE"/>
              <w:right w:val="single" w:sz="4" w:space="0" w:color="BDD7EE"/>
            </w:tcBorders>
            <w:shd w:val="clear" w:color="auto" w:fill="F2F2F2"/>
            <w:tcMar>
              <w:top w:w="70" w:type="dxa"/>
              <w:left w:w="120" w:type="dxa"/>
              <w:bottom w:w="70" w:type="dxa"/>
              <w:right w:w="120" w:type="dxa"/>
            </w:tcMar>
            <w:vAlign w:val="center"/>
          </w:tcPr>
          <w:p w14:paraId="4AEB5B30" w14:textId="77777777" w:rsidR="00A25983" w:rsidRDefault="00000000">
            <w:pPr>
              <w:jc w:val="center"/>
            </w:pPr>
            <w:r>
              <w:rPr>
                <w:color w:val="2F2F2F"/>
                <w:sz w:val="18"/>
                <w:szCs w:val="18"/>
              </w:rPr>
              <w:t>—</w:t>
            </w:r>
          </w:p>
        </w:tc>
        <w:tc>
          <w:tcPr>
            <w:tcW w:w="8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2162E5C" w14:textId="77777777" w:rsidR="00A25983" w:rsidRDefault="00A25983">
            <w:pPr>
              <w:jc w:val="center"/>
            </w:pPr>
          </w:p>
        </w:tc>
      </w:tr>
      <w:tr w:rsidR="00A25983" w14:paraId="681CA38B" w14:textId="77777777">
        <w:tc>
          <w:tcPr>
            <w:tcW w:w="2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7A457450" w14:textId="77777777" w:rsidR="00A25983" w:rsidRDefault="00000000">
            <w:r>
              <w:rPr>
                <w:b/>
                <w:bCs/>
                <w:color w:val="2F2F2F"/>
                <w:sz w:val="18"/>
                <w:szCs w:val="18"/>
              </w:rPr>
              <w:t>3. Job Satisfaction</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558C2D54" w14:textId="77777777" w:rsidR="00A25983" w:rsidRDefault="00000000">
            <w:pPr>
              <w:jc w:val="center"/>
            </w:pPr>
            <w:r>
              <w:rPr>
                <w:color w:val="2F2F2F"/>
                <w:sz w:val="18"/>
                <w:szCs w:val="18"/>
              </w:rPr>
              <w:t>3.69</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7DB3CA8D" w14:textId="77777777" w:rsidR="00A25983" w:rsidRDefault="00000000">
            <w:pPr>
              <w:jc w:val="center"/>
            </w:pPr>
            <w:r>
              <w:rPr>
                <w:color w:val="2F2F2F"/>
                <w:sz w:val="18"/>
                <w:szCs w:val="18"/>
              </w:rPr>
              <w:t>0.69</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756E77A9" w14:textId="77777777" w:rsidR="00A25983" w:rsidRDefault="00000000">
            <w:pPr>
              <w:jc w:val="center"/>
            </w:pPr>
            <w:r>
              <w:rPr>
                <w:color w:val="2F2F2F"/>
                <w:sz w:val="18"/>
                <w:szCs w:val="18"/>
              </w:rPr>
              <w:t>1</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29F172BA" w14:textId="77777777" w:rsidR="00A25983" w:rsidRDefault="00000000">
            <w:pPr>
              <w:jc w:val="center"/>
            </w:pPr>
            <w:r>
              <w:rPr>
                <w:color w:val="2F2F2F"/>
                <w:sz w:val="18"/>
                <w:szCs w:val="18"/>
              </w:rPr>
              <w:t>5</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20" w:type="dxa"/>
              <w:bottom w:w="70" w:type="dxa"/>
              <w:right w:w="120" w:type="dxa"/>
            </w:tcMar>
            <w:vAlign w:val="center"/>
          </w:tcPr>
          <w:p w14:paraId="2ECB0570" w14:textId="77777777" w:rsidR="00A25983" w:rsidRDefault="00000000">
            <w:pPr>
              <w:jc w:val="center"/>
            </w:pPr>
            <w:r>
              <w:rPr>
                <w:b/>
                <w:bCs/>
                <w:color w:val="2F2F2F"/>
                <w:sz w:val="18"/>
                <w:szCs w:val="18"/>
              </w:rPr>
              <w:t>.485**</w:t>
            </w:r>
          </w:p>
        </w:tc>
        <w:tc>
          <w:tcPr>
            <w:tcW w:w="900" w:type="dxa"/>
            <w:tcBorders>
              <w:top w:val="single" w:sz="4" w:space="0" w:color="BDD7EE"/>
              <w:left w:val="single" w:sz="4" w:space="0" w:color="BDD7EE"/>
              <w:bottom w:val="single" w:sz="4" w:space="0" w:color="BDD7EE"/>
              <w:right w:val="single" w:sz="4" w:space="0" w:color="BDD7EE"/>
            </w:tcBorders>
            <w:shd w:val="clear" w:color="auto" w:fill="A9D18E"/>
            <w:tcMar>
              <w:top w:w="70" w:type="dxa"/>
              <w:left w:w="120" w:type="dxa"/>
              <w:bottom w:w="70" w:type="dxa"/>
              <w:right w:w="120" w:type="dxa"/>
            </w:tcMar>
            <w:vAlign w:val="center"/>
          </w:tcPr>
          <w:p w14:paraId="3D9C788C" w14:textId="77777777" w:rsidR="00A25983" w:rsidRDefault="00000000">
            <w:pPr>
              <w:jc w:val="center"/>
            </w:pPr>
            <w:r>
              <w:rPr>
                <w:b/>
                <w:bCs/>
                <w:color w:val="2F2F2F"/>
                <w:sz w:val="18"/>
                <w:szCs w:val="18"/>
              </w:rPr>
              <w:t>.651**</w:t>
            </w:r>
          </w:p>
        </w:tc>
        <w:tc>
          <w:tcPr>
            <w:tcW w:w="826" w:type="dxa"/>
            <w:tcBorders>
              <w:top w:val="single" w:sz="4" w:space="0" w:color="BDD7EE"/>
              <w:left w:val="single" w:sz="4" w:space="0" w:color="BDD7EE"/>
              <w:bottom w:val="single" w:sz="4" w:space="0" w:color="BDD7EE"/>
              <w:right w:val="single" w:sz="4" w:space="0" w:color="BDD7EE"/>
            </w:tcBorders>
            <w:shd w:val="clear" w:color="auto" w:fill="F2F2F2"/>
            <w:tcMar>
              <w:top w:w="70" w:type="dxa"/>
              <w:left w:w="120" w:type="dxa"/>
              <w:bottom w:w="70" w:type="dxa"/>
              <w:right w:w="120" w:type="dxa"/>
            </w:tcMar>
            <w:vAlign w:val="center"/>
          </w:tcPr>
          <w:p w14:paraId="36C96B0D" w14:textId="77777777" w:rsidR="00A25983" w:rsidRDefault="00000000">
            <w:pPr>
              <w:jc w:val="center"/>
            </w:pPr>
            <w:r>
              <w:rPr>
                <w:color w:val="2F2F2F"/>
                <w:sz w:val="18"/>
                <w:szCs w:val="18"/>
              </w:rPr>
              <w:t>—</w:t>
            </w:r>
          </w:p>
        </w:tc>
      </w:tr>
    </w:tbl>
    <w:p w14:paraId="2DBAF2D3" w14:textId="77777777" w:rsidR="00A25983" w:rsidRDefault="00000000">
      <w:pPr>
        <w:spacing w:before="60" w:after="120"/>
      </w:pPr>
      <w:r>
        <w:rPr>
          <w:i/>
          <w:iCs/>
          <w:color w:val="595959"/>
          <w:sz w:val="16"/>
          <w:szCs w:val="16"/>
        </w:rPr>
        <w:t>Note. ** p &lt; .001 (two-tailed). Scale ranges: PsyCap (1–6); Work Engagement (0–6); Job Satisfaction (1–5). SD = Standard Deviation. Diagonal entries (—) represent self-correlations. Correlation values are colour-coded by magnitude: darker green = stronger positive association.</w:t>
      </w:r>
    </w:p>
    <w:p w14:paraId="78024EA2" w14:textId="77777777" w:rsidR="00A25983" w:rsidRDefault="00A25983">
      <w:pPr>
        <w:spacing w:before="120"/>
      </w:pPr>
    </w:p>
    <w:p w14:paraId="0B8F8FB8" w14:textId="77777777" w:rsidR="00A25983" w:rsidRDefault="00000000">
      <w:pPr>
        <w:spacing w:before="100" w:after="140"/>
        <w:jc w:val="both"/>
      </w:pPr>
      <w:r>
        <w:t xml:space="preserve">All three pairwise correlations are </w:t>
      </w:r>
      <w:r>
        <w:rPr>
          <w:b/>
          <w:bCs/>
        </w:rPr>
        <w:t>statistically significant at p &lt; .001</w:t>
      </w:r>
      <w:r>
        <w:t xml:space="preserve">, and all are positive in direction, consistent with the theoretical predictions underpinning H1, H2, and H3. The correlations range from </w:t>
      </w:r>
      <w:r>
        <w:rPr>
          <w:b/>
          <w:bCs/>
        </w:rPr>
        <w:t>r = .485</w:t>
      </w:r>
      <w:r>
        <w:t xml:space="preserve"> (PsyCap–Job Satisfaction) to </w:t>
      </w:r>
      <w:r>
        <w:rPr>
          <w:b/>
          <w:bCs/>
        </w:rPr>
        <w:t>r = .651</w:t>
      </w:r>
      <w:r>
        <w:t xml:space="preserve"> (Job Satisfaction–Work Engagement), spanning the moderate-to-strong range according to Cohen's (1988) classification. None of the correlations exceeds r = .80, confirming the absence of problematic multicollinearity between the study variables.</w:t>
      </w:r>
    </w:p>
    <w:p w14:paraId="1D894ADB" w14:textId="77777777" w:rsidR="00A25983" w:rsidRDefault="00A25983">
      <w:pPr>
        <w:spacing w:before="120"/>
      </w:pPr>
    </w:p>
    <w:p w14:paraId="37097233" w14:textId="77777777" w:rsidR="00A25983" w:rsidRDefault="00000000">
      <w:pPr>
        <w:pStyle w:val="Heading1"/>
      </w:pPr>
      <w:r>
        <w:t>4. Interpretation of Results</w:t>
      </w:r>
    </w:p>
    <w:p w14:paraId="006EE2AD" w14:textId="77777777" w:rsidR="00A25983" w:rsidRDefault="00000000">
      <w:pPr>
        <w:pStyle w:val="Heading2"/>
      </w:pPr>
      <w:proofErr w:type="gramStart"/>
      <w:r>
        <w:t>4.1  PsyCap</w:t>
      </w:r>
      <w:proofErr w:type="gramEnd"/>
      <w:r>
        <w:t xml:space="preserve"> and Work Engagement (r = .533, p &lt; .001) — Testing H1</w:t>
      </w:r>
    </w:p>
    <w:p w14:paraId="38FAB9A6" w14:textId="77777777" w:rsidR="00A25983" w:rsidRDefault="00000000">
      <w:pPr>
        <w:spacing w:before="100" w:after="140"/>
        <w:jc w:val="both"/>
      </w:pPr>
      <w:r>
        <w:t xml:space="preserve">A statistically significant, </w:t>
      </w:r>
      <w:r>
        <w:rPr>
          <w:b/>
          <w:bCs/>
        </w:rPr>
        <w:t>moderate-to-strong positive correlation</w:t>
      </w:r>
      <w:r>
        <w:t xml:space="preserve"> was found between Psychological Capital and Work Engagement (</w:t>
      </w:r>
      <w:r>
        <w:rPr>
          <w:i/>
          <w:iCs/>
        </w:rPr>
        <w:t>r</w:t>
      </w:r>
      <w:r>
        <w:t xml:space="preserve"> = .533, </w:t>
      </w:r>
      <w:r>
        <w:rPr>
          <w:i/>
          <w:iCs/>
        </w:rPr>
        <w:t>p</w:t>
      </w:r>
      <w:r>
        <w:t xml:space="preserve"> &lt; .001). The coefficient of determination indicates that PsyCap and Work Engagement share approximately </w:t>
      </w:r>
      <w:r>
        <w:rPr>
          <w:b/>
          <w:bCs/>
        </w:rPr>
        <w:t>28.4% of their variance</w:t>
      </w:r>
      <w:r>
        <w:t xml:space="preserve"> (r² = .284) at the bivariate level. This finding provides clear preliminary support for H1.</w:t>
      </w:r>
    </w:p>
    <w:p w14:paraId="05B0F4FE" w14:textId="77777777" w:rsidR="00A25983" w:rsidRDefault="00000000">
      <w:pPr>
        <w:spacing w:before="100" w:after="140"/>
        <w:jc w:val="both"/>
      </w:pPr>
      <w:r>
        <w:t xml:space="preserve">The magnitude of this correlation is theoretically meaningful in the QOU context. Faculty members who report higher levels of self-efficacy, hope, resilience, and optimism — the four dimensions of PsyCap — also tend to exhibit greater vigor, dedication, and absorption in their academic roles. This is consistent with the </w:t>
      </w:r>
      <w:r>
        <w:rPr>
          <w:b/>
          <w:bCs/>
        </w:rPr>
        <w:t>Job Demands-Resources (JD-R) model</w:t>
      </w:r>
      <w:r>
        <w:t xml:space="preserve"> (Bakker &amp; Demerouti, 2008), which positions positive psychological resources as key personal resources that buffer demands and fuel engagement. In a university environment characterised by significant workload pressures, political uncertainty, and geographic dispersion across multiple branches, the ability to draw on internal psychological resources such as PsyCap may be a particularly important driver of sustained engagement.</w:t>
      </w:r>
    </w:p>
    <w:p w14:paraId="70B3717D" w14:textId="77777777" w:rsidR="00A25983" w:rsidRDefault="00000000">
      <w:pPr>
        <w:spacing w:before="100" w:after="140"/>
        <w:jc w:val="both"/>
      </w:pPr>
      <w:r>
        <w:t xml:space="preserve">The obtained correlation (r = .533) is somewhat higher than the pooled estimate of ρ = .47 reported in Avey et al.'s (2011) meta-analysis of PsyCap and work engagement across 51 independent samples. This elevation may reflect the particular salience of positive psychological resources in contexts of adversity — consistent with COR theory (Hobfoll, 1989), which posits that resources become especially powerful predictors of outcomes when the environment places </w:t>
      </w:r>
      <w:proofErr w:type="gramStart"/>
      <w:r>
        <w:t>demands</w:t>
      </w:r>
      <w:proofErr w:type="gramEnd"/>
      <w:r>
        <w:t xml:space="preserve"> on individuals' resource pools. The challenging conditions under which QOU faculty work may therefore amplify the relationship between PsyCap and engagement beyond what is observed in more stable organisational environments.</w:t>
      </w:r>
    </w:p>
    <w:p w14:paraId="2F15B19C" w14:textId="77777777" w:rsidR="00A25983" w:rsidRDefault="00000000">
      <w:pPr>
        <w:pStyle w:val="Heading2"/>
      </w:pPr>
      <w:proofErr w:type="gramStart"/>
      <w:r>
        <w:lastRenderedPageBreak/>
        <w:t>4.2  PsyCap</w:t>
      </w:r>
      <w:proofErr w:type="gramEnd"/>
      <w:r>
        <w:t xml:space="preserve"> and Job Satisfaction (r = .485, p &lt; .001) — Testing H2</w:t>
      </w:r>
    </w:p>
    <w:p w14:paraId="6E4B8868" w14:textId="77777777" w:rsidR="00A25983" w:rsidRDefault="00000000">
      <w:pPr>
        <w:spacing w:before="100" w:after="140"/>
        <w:jc w:val="both"/>
      </w:pPr>
      <w:r>
        <w:t xml:space="preserve">A statistically significant, </w:t>
      </w:r>
      <w:r>
        <w:rPr>
          <w:b/>
          <w:bCs/>
        </w:rPr>
        <w:t>moderate positive correlation</w:t>
      </w:r>
      <w:r>
        <w:t xml:space="preserve"> was found between Psychological Capital and Job Satisfaction (</w:t>
      </w:r>
      <w:r>
        <w:rPr>
          <w:i/>
          <w:iCs/>
        </w:rPr>
        <w:t>r</w:t>
      </w:r>
      <w:r>
        <w:t xml:space="preserve"> = .485, </w:t>
      </w:r>
      <w:r>
        <w:rPr>
          <w:i/>
          <w:iCs/>
        </w:rPr>
        <w:t>p</w:t>
      </w:r>
      <w:r>
        <w:t xml:space="preserve"> &lt; .001). PsyCap and Job Satisfaction share approximately </w:t>
      </w:r>
      <w:r>
        <w:rPr>
          <w:b/>
          <w:bCs/>
        </w:rPr>
        <w:t>23.5% of their variance</w:t>
      </w:r>
      <w:r>
        <w:t xml:space="preserve"> (r² = .235), indicating a meaningful but not dominant relationship — which is theoretically appropriate for a mediating variable that also draws on additional sources of variance (e.g., institutional conditions, salary, workload).</w:t>
      </w:r>
    </w:p>
    <w:p w14:paraId="62BCFCB5" w14:textId="77777777" w:rsidR="00A25983" w:rsidRDefault="00000000">
      <w:pPr>
        <w:spacing w:before="100" w:after="140"/>
        <w:jc w:val="both"/>
      </w:pPr>
      <w:r>
        <w:t xml:space="preserve">This finding supports H2 and is consistent with the theoretical framework of </w:t>
      </w:r>
      <w:r>
        <w:rPr>
          <w:b/>
          <w:bCs/>
        </w:rPr>
        <w:t>Conservation of Resources (COR) theory</w:t>
      </w:r>
      <w:r>
        <w:t xml:space="preserve"> (Hobfoll, 1989), which posits that individuals who possess greater psychological resources are better positioned to evaluate their work environment positively and experience higher satisfaction. Faculty members with stronger PsyCap — particularly those higher in optimism and self-efficacy — are likely to appraise institutional conditions, supervisory relationships, and task characteristics more favourably, leading to higher reported satisfaction across the MSQ-20 facets.</w:t>
      </w:r>
    </w:p>
    <w:p w14:paraId="0737A092" w14:textId="77777777" w:rsidR="00A25983" w:rsidRDefault="00000000">
      <w:pPr>
        <w:spacing w:before="100" w:after="140"/>
        <w:jc w:val="both"/>
      </w:pPr>
      <w:r>
        <w:t>The moderate magnitude of r = .485 is substantively important in the mediation context: it confirms that PsyCap is a meaningful predictor of job satisfaction, but the correlation leaves approximately 76.5% of satisfaction's variance unexplained at the bivariate level. This residual variance is likely attributable to extrinsic satisfaction factors — including pay, institutional policies, and working conditions — that operate independently of faculty members' psychological capital. This interpretation is consistent with the item-level finding from Stage 5 that the pay satisfaction item (M = 3.14) yielded the lowest mean in the MSQ-20, suggesting that structural-economic factors constrain satisfaction in ways that PsyCap alone cannot overcome.</w:t>
      </w:r>
    </w:p>
    <w:p w14:paraId="7C17BB54" w14:textId="77777777" w:rsidR="00A25983" w:rsidRDefault="00000000">
      <w:pPr>
        <w:pStyle w:val="Heading2"/>
      </w:pPr>
      <w:proofErr w:type="gramStart"/>
      <w:r>
        <w:t>4.3  Job</w:t>
      </w:r>
      <w:proofErr w:type="gramEnd"/>
      <w:r>
        <w:t xml:space="preserve"> Satisfaction and Work Engagement (r = .651, p &lt; .001) — Testing H3</w:t>
      </w:r>
    </w:p>
    <w:p w14:paraId="357A91DB" w14:textId="77777777" w:rsidR="00A25983" w:rsidRDefault="00000000">
      <w:pPr>
        <w:spacing w:before="100" w:after="140"/>
        <w:jc w:val="both"/>
      </w:pPr>
      <w:r>
        <w:t xml:space="preserve">The </w:t>
      </w:r>
      <w:r>
        <w:rPr>
          <w:b/>
          <w:bCs/>
        </w:rPr>
        <w:t>strongest bivariate relationship</w:t>
      </w:r>
      <w:r>
        <w:t xml:space="preserve"> in the study was observed between Job Satisfaction and Work Engagement (</w:t>
      </w:r>
      <w:r>
        <w:rPr>
          <w:i/>
          <w:iCs/>
        </w:rPr>
        <w:t>r</w:t>
      </w:r>
      <w:r>
        <w:t xml:space="preserve"> = .651, </w:t>
      </w:r>
      <w:r>
        <w:rPr>
          <w:i/>
          <w:iCs/>
        </w:rPr>
        <w:t>p</w:t>
      </w:r>
      <w:r>
        <w:t xml:space="preserve"> &lt; .001), classified as </w:t>
      </w:r>
      <w:r>
        <w:rPr>
          <w:b/>
          <w:bCs/>
        </w:rPr>
        <w:t>moderate-to-strong</w:t>
      </w:r>
      <w:r>
        <w:t xml:space="preserve"> according to Cohen's (1988) benchmarks. The two variables share approximately </w:t>
      </w:r>
      <w:r>
        <w:rPr>
          <w:b/>
          <w:bCs/>
        </w:rPr>
        <w:t>42.4% of their variance</w:t>
      </w:r>
      <w:r>
        <w:t xml:space="preserve"> (r² = .424) — the largest proportion of shared variance in the correlation matrix. This finding provides strong bivariate support for H3 and is theoretically significant for the study's mediation hypothesis.</w:t>
      </w:r>
    </w:p>
    <w:p w14:paraId="3A3A60A4" w14:textId="77777777" w:rsidR="00A25983" w:rsidRDefault="00000000">
      <w:pPr>
        <w:spacing w:before="100" w:after="140"/>
        <w:jc w:val="both"/>
      </w:pPr>
      <w:r>
        <w:t xml:space="preserve">The primacy of the Job Satisfaction–Work Engagement relationship over the PsyCap–Work Engagement relationship (r = .651 vs. r = .533) carries important theoretical implications. It suggests that among QOU faculty, </w:t>
      </w:r>
      <w:r>
        <w:rPr>
          <w:b/>
          <w:bCs/>
        </w:rPr>
        <w:t>job satisfaction functions as a more proximal determinant of work engagement</w:t>
      </w:r>
      <w:r>
        <w:t xml:space="preserve"> than PsyCap does directly. This is precisely the pattern that would be expected if job satisfaction serves as a meaningful mediator in the PsyCap → Engagement pathway. When faculty members experience their work as satisfying — when they feel their abilities are being used, their contributions are recognised, their working environment is supportive, and their roles carry meaning — they are substantially more likely to invest themselves fully in their work through vigor, dedication, and absorption.</w:t>
      </w:r>
    </w:p>
    <w:p w14:paraId="6C9A4480" w14:textId="77777777" w:rsidR="00A25983" w:rsidRDefault="00000000">
      <w:pPr>
        <w:spacing w:before="100" w:after="140"/>
        <w:jc w:val="both"/>
      </w:pPr>
      <w:r>
        <w:t>This finding is consistent with Schaufeli et al.'s (2006) observation that job characteristics and satisfaction-related perceptions are among the most consistent proximal antecedents of engagement across diverse occupational and cultural contexts. It also aligns with the broader narrative that emerged from the EFA (Stage 6) and reliability analysis (Stage 5): QOU faculty derive particular satisfaction from the intrinsic and relational dimensions of their work — meaning, collegial relationships, autonomy — and these are precisely the facets most likely to fuel the immersive, dedicated engagement observed in the sample.</w:t>
      </w:r>
    </w:p>
    <w:p w14:paraId="7542C2EE" w14:textId="77777777" w:rsidR="00A25983" w:rsidRDefault="00A25983">
      <w:pPr>
        <w:spacing w:before="120"/>
      </w:pPr>
    </w:p>
    <w:p w14:paraId="1D3D1BF9" w14:textId="77777777" w:rsidR="00A25983" w:rsidRDefault="00000000">
      <w:pPr>
        <w:pStyle w:val="Heading1"/>
      </w:pPr>
      <w:r>
        <w:t>5. Multicollinearity Assessment</w:t>
      </w:r>
    </w:p>
    <w:p w14:paraId="4C66EE82" w14:textId="77777777" w:rsidR="00A25983" w:rsidRDefault="00000000">
      <w:pPr>
        <w:spacing w:before="100" w:after="140"/>
        <w:jc w:val="both"/>
      </w:pPr>
      <w:r>
        <w:t xml:space="preserve">An important secondary function of the correlation matrix is to screen for potential multicollinearity between the variables that will enter the regression and mediation models simultaneously. Multicollinearity — defined as an excessively high correlation between predictors — can inflate standard errors, distort regression coefficients, and reduce the interpretability of the regression model (Hair et al., 2019). The generally accepted threshold for concern is a pairwise correlation above </w:t>
      </w:r>
      <w:r>
        <w:rPr>
          <w:b/>
          <w:bCs/>
        </w:rPr>
        <w:t>r = .80</w:t>
      </w:r>
      <w:r>
        <w:t xml:space="preserve"> between simultaneous predictors (Hair et al., 2019; Tabachnick &amp; Fidell, 2019). Table 3 summarises the multicollinearity assessment.</w:t>
      </w:r>
    </w:p>
    <w:p w14:paraId="23D8BCE8" w14:textId="77777777" w:rsidR="00A25983" w:rsidRDefault="00A25983">
      <w:pPr>
        <w:spacing w:before="80"/>
      </w:pPr>
    </w:p>
    <w:p w14:paraId="4CD3D54A" w14:textId="77777777" w:rsidR="00A25983" w:rsidRDefault="00000000">
      <w:pPr>
        <w:spacing w:before="140" w:after="60"/>
      </w:pPr>
      <w:r>
        <w:rPr>
          <w:b/>
          <w:bCs/>
          <w:color w:val="1F4E79"/>
        </w:rPr>
        <w:t>Table 3</w:t>
      </w:r>
      <w:r>
        <w:rPr>
          <w:i/>
          <w:iCs/>
        </w:rPr>
        <w:t>. Multicollinearity Assessment — Pairwise Correlations Among Study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A25983" w14:paraId="6CC6399A" w14:textId="77777777">
        <w:trPr>
          <w:tblHeader/>
        </w:trPr>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75AA5CE2" w14:textId="77777777" w:rsidR="00A25983" w:rsidRDefault="00000000">
            <w:pPr>
              <w:jc w:val="center"/>
            </w:pPr>
            <w:r>
              <w:rPr>
                <w:b/>
                <w:bCs/>
                <w:color w:val="FFFFFF"/>
                <w:sz w:val="18"/>
                <w:szCs w:val="18"/>
              </w:rPr>
              <w:lastRenderedPageBreak/>
              <w:t>Variable Pair</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3BA449D" w14:textId="77777777" w:rsidR="00A25983" w:rsidRDefault="00000000">
            <w:pPr>
              <w:jc w:val="center"/>
            </w:pPr>
            <w:r>
              <w:rPr>
                <w:b/>
                <w:bCs/>
                <w:color w:val="FFFFFF"/>
                <w:sz w:val="18"/>
                <w:szCs w:val="18"/>
              </w:rPr>
              <w:t>r</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BE6EDE9" w14:textId="77777777" w:rsidR="00A25983" w:rsidRDefault="00000000">
            <w:pPr>
              <w:jc w:val="center"/>
            </w:pPr>
            <w:r>
              <w:rPr>
                <w:b/>
                <w:bCs/>
                <w:color w:val="FFFFFF"/>
                <w:sz w:val="18"/>
                <w:szCs w:val="18"/>
              </w:rPr>
              <w:t>Threshold (r &lt; .80)</w:t>
            </w:r>
          </w:p>
        </w:tc>
        <w:tc>
          <w:tcPr>
            <w:tcW w:w="30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541EA4C" w14:textId="77777777" w:rsidR="00A25983" w:rsidRDefault="00000000">
            <w:pPr>
              <w:jc w:val="center"/>
            </w:pPr>
            <w:r>
              <w:rPr>
                <w:b/>
                <w:bCs/>
                <w:color w:val="FFFFFF"/>
                <w:sz w:val="18"/>
                <w:szCs w:val="18"/>
              </w:rPr>
              <w:t>Assessment</w:t>
            </w:r>
          </w:p>
        </w:tc>
      </w:tr>
      <w:tr w:rsidR="00A25983" w14:paraId="6B7EC3C4" w14:textId="77777777">
        <w:tc>
          <w:tcPr>
            <w:tcW w:w="3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B9CBA8A" w14:textId="77777777" w:rsidR="00A25983" w:rsidRDefault="00000000">
            <w:r>
              <w:rPr>
                <w:color w:val="2F2F2F"/>
                <w:sz w:val="18"/>
                <w:szCs w:val="18"/>
              </w:rPr>
              <w:t>PsyCap &amp; Job Satisfaction</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16AD01B3" w14:textId="77777777" w:rsidR="00A25983" w:rsidRDefault="00000000">
            <w:pPr>
              <w:jc w:val="center"/>
            </w:pPr>
            <w:r>
              <w:rPr>
                <w:b/>
                <w:bCs/>
                <w:color w:val="2F2F2F"/>
                <w:sz w:val="18"/>
                <w:szCs w:val="18"/>
              </w:rPr>
              <w:t>.485</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626E109" w14:textId="77777777" w:rsidR="00A25983" w:rsidRDefault="00000000">
            <w:pPr>
              <w:jc w:val="center"/>
            </w:pPr>
            <w:r>
              <w:rPr>
                <w:color w:val="2F2F2F"/>
                <w:sz w:val="18"/>
                <w:szCs w:val="18"/>
              </w:rPr>
              <w:t>&lt; .80</w:t>
            </w:r>
          </w:p>
        </w:tc>
        <w:tc>
          <w:tcPr>
            <w:tcW w:w="30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20" w:type="dxa"/>
              <w:bottom w:w="70" w:type="dxa"/>
              <w:right w:w="120" w:type="dxa"/>
            </w:tcMar>
            <w:vAlign w:val="center"/>
          </w:tcPr>
          <w:p w14:paraId="1C93C1CE" w14:textId="77777777" w:rsidR="00A25983" w:rsidRDefault="00000000">
            <w:r>
              <w:rPr>
                <w:b/>
                <w:bCs/>
                <w:color w:val="2F2F2F"/>
                <w:sz w:val="18"/>
                <w:szCs w:val="18"/>
              </w:rPr>
              <w:t>No multicollinearity concern ✓</w:t>
            </w:r>
          </w:p>
        </w:tc>
      </w:tr>
      <w:tr w:rsidR="00A25983" w14:paraId="0963159F"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79291E6D" w14:textId="77777777" w:rsidR="00A25983" w:rsidRDefault="00000000">
            <w:r>
              <w:rPr>
                <w:color w:val="2F2F2F"/>
                <w:sz w:val="18"/>
                <w:szCs w:val="18"/>
              </w:rPr>
              <w:t>PsyCap &amp; Work Engagement</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39812EEA" w14:textId="77777777" w:rsidR="00A25983" w:rsidRDefault="00000000">
            <w:pPr>
              <w:jc w:val="center"/>
            </w:pPr>
            <w:r>
              <w:rPr>
                <w:b/>
                <w:bCs/>
                <w:color w:val="2F2F2F"/>
                <w:sz w:val="18"/>
                <w:szCs w:val="18"/>
              </w:rPr>
              <w:t>.533</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2BF18F77" w14:textId="77777777" w:rsidR="00A25983" w:rsidRDefault="00000000">
            <w:pPr>
              <w:jc w:val="center"/>
            </w:pPr>
            <w:r>
              <w:rPr>
                <w:color w:val="2F2F2F"/>
                <w:sz w:val="18"/>
                <w:szCs w:val="18"/>
              </w:rPr>
              <w:t>&lt; .80</w:t>
            </w:r>
          </w:p>
        </w:tc>
        <w:tc>
          <w:tcPr>
            <w:tcW w:w="30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20" w:type="dxa"/>
              <w:bottom w:w="70" w:type="dxa"/>
              <w:right w:w="120" w:type="dxa"/>
            </w:tcMar>
            <w:vAlign w:val="center"/>
          </w:tcPr>
          <w:p w14:paraId="6D199481" w14:textId="77777777" w:rsidR="00A25983" w:rsidRDefault="00000000">
            <w:r>
              <w:rPr>
                <w:b/>
                <w:bCs/>
                <w:color w:val="2F2F2F"/>
                <w:sz w:val="18"/>
                <w:szCs w:val="18"/>
              </w:rPr>
              <w:t>No multicollinearity concern ✓</w:t>
            </w:r>
          </w:p>
        </w:tc>
      </w:tr>
      <w:tr w:rsidR="00A25983" w14:paraId="3351776B" w14:textId="77777777">
        <w:tc>
          <w:tcPr>
            <w:tcW w:w="3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394138DF" w14:textId="77777777" w:rsidR="00A25983" w:rsidRDefault="00000000">
            <w:r>
              <w:rPr>
                <w:color w:val="2F2F2F"/>
                <w:sz w:val="18"/>
                <w:szCs w:val="18"/>
              </w:rPr>
              <w:t>Job Satisfaction &amp; Work Engagement</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162FA120" w14:textId="77777777" w:rsidR="00A25983" w:rsidRDefault="00000000">
            <w:pPr>
              <w:jc w:val="center"/>
            </w:pPr>
            <w:r>
              <w:rPr>
                <w:b/>
                <w:bCs/>
                <w:color w:val="2F2F2F"/>
                <w:sz w:val="18"/>
                <w:szCs w:val="18"/>
              </w:rPr>
              <w:t>.651</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3C45017F" w14:textId="77777777" w:rsidR="00A25983" w:rsidRDefault="00000000">
            <w:pPr>
              <w:jc w:val="center"/>
            </w:pPr>
            <w:r>
              <w:rPr>
                <w:color w:val="2F2F2F"/>
                <w:sz w:val="18"/>
                <w:szCs w:val="18"/>
              </w:rPr>
              <w:t>&lt; .80</w:t>
            </w:r>
          </w:p>
        </w:tc>
        <w:tc>
          <w:tcPr>
            <w:tcW w:w="30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20" w:type="dxa"/>
              <w:bottom w:w="70" w:type="dxa"/>
              <w:right w:w="120" w:type="dxa"/>
            </w:tcMar>
            <w:vAlign w:val="center"/>
          </w:tcPr>
          <w:p w14:paraId="3E5739CE" w14:textId="77777777" w:rsidR="00A25983" w:rsidRDefault="00000000">
            <w:r>
              <w:rPr>
                <w:b/>
                <w:bCs/>
                <w:color w:val="2F2F2F"/>
                <w:sz w:val="18"/>
                <w:szCs w:val="18"/>
              </w:rPr>
              <w:t>No multicollinearity concern ✓</w:t>
            </w:r>
          </w:p>
        </w:tc>
      </w:tr>
    </w:tbl>
    <w:p w14:paraId="575F06B5" w14:textId="77777777" w:rsidR="00A25983" w:rsidRDefault="00000000">
      <w:pPr>
        <w:spacing w:before="60" w:after="120"/>
      </w:pPr>
      <w:r>
        <w:rPr>
          <w:i/>
          <w:iCs/>
          <w:color w:val="595959"/>
          <w:sz w:val="16"/>
          <w:szCs w:val="16"/>
        </w:rPr>
        <w:t>Note. Threshold for multicollinearity concern: r &gt; .80 (Hair et al., 2019). All observed correlations fall well below this threshold, confirming the absence of problematic multicollinearity.</w:t>
      </w:r>
    </w:p>
    <w:p w14:paraId="7391287D" w14:textId="77777777" w:rsidR="00A25983" w:rsidRDefault="00A25983">
      <w:pPr>
        <w:spacing w:before="120"/>
      </w:pPr>
    </w:p>
    <w:p w14:paraId="22CB4257" w14:textId="77777777" w:rsidR="00A25983" w:rsidRDefault="00000000">
      <w:pPr>
        <w:spacing w:before="100" w:after="140"/>
        <w:jc w:val="both"/>
      </w:pPr>
      <w:r>
        <w:t>All three pairwise correlations fall well below the r = .80 threshold: PsyCap–Job Satisfaction (r = .485), PsyCap–Work Engagement (r = .533), and Job Satisfaction–Work Engagement (r = .651). The highest correlation in the matrix (r = .651, between Job Satisfaction and Work Engagement) remains comfortably below the critical value, indicating that the three variables are meaningfully interrelated but sufficiently distinct to be modelled simultaneously in the regression and mediation frameworks without distortion.</w:t>
      </w:r>
    </w:p>
    <w:p w14:paraId="6ABCD20E" w14:textId="77777777" w:rsidR="00A25983" w:rsidRDefault="00000000">
      <w:pPr>
        <w:spacing w:before="100" w:after="140"/>
        <w:jc w:val="both"/>
      </w:pPr>
      <w:r>
        <w:t>This multicollinearity assessment is further supported by the Variance Inflation Factor (VIF) statistics, which will be reported in the regression analysis (Stage 8). Based on the correlation magnitudes observed here, VIF values are expected to remain well below the critical threshold of 10.0 — and ideally below 5.0 — confirming the statistical independence of the predictors at a level adequate for precise coefficient estimation.</w:t>
      </w:r>
    </w:p>
    <w:p w14:paraId="68D343BE" w14:textId="77777777" w:rsidR="00A25983" w:rsidRDefault="00A25983">
      <w:pPr>
        <w:spacing w:before="120"/>
      </w:pPr>
    </w:p>
    <w:p w14:paraId="0BDAB601" w14:textId="77777777" w:rsidR="00A25983" w:rsidRDefault="00000000">
      <w:pPr>
        <w:pStyle w:val="Heading1"/>
      </w:pPr>
      <w:r>
        <w:t>6. Summary of Hypothesis Testing at Bivariate Level</w:t>
      </w:r>
    </w:p>
    <w:p w14:paraId="60850001" w14:textId="77777777" w:rsidR="00A25983" w:rsidRDefault="00000000">
      <w:pPr>
        <w:spacing w:before="100" w:after="140"/>
        <w:jc w:val="both"/>
      </w:pPr>
      <w:r>
        <w:t>Table 4 provides a consolidated summary of the bivariate hypothesis test results, including the correlation coefficient, coefficient of determination, significance level, and decision for each hypothesis.</w:t>
      </w:r>
    </w:p>
    <w:p w14:paraId="695E16AE" w14:textId="77777777" w:rsidR="00A25983" w:rsidRDefault="00A25983">
      <w:pPr>
        <w:spacing w:before="80"/>
      </w:pPr>
    </w:p>
    <w:p w14:paraId="5998F5C3" w14:textId="77777777" w:rsidR="00A25983" w:rsidRDefault="00000000">
      <w:pPr>
        <w:spacing w:before="140" w:after="60"/>
      </w:pPr>
      <w:r>
        <w:rPr>
          <w:b/>
          <w:bCs/>
          <w:color w:val="1F4E79"/>
        </w:rPr>
        <w:t>Table 4</w:t>
      </w:r>
      <w:r>
        <w:rPr>
          <w:i/>
          <w:iCs/>
        </w:rPr>
        <w:t>. Summary of Bivariate Correlations and Hypothesis Decisions (H1–H3)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900"/>
        <w:gridCol w:w="900"/>
        <w:gridCol w:w="900"/>
        <w:gridCol w:w="2726"/>
      </w:tblGrid>
      <w:tr w:rsidR="00A25983" w14:paraId="6D461079" w14:textId="77777777">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5C1930E6" w14:textId="77777777" w:rsidR="00A25983" w:rsidRDefault="00000000">
            <w:pPr>
              <w:jc w:val="center"/>
            </w:pPr>
            <w:r>
              <w:rPr>
                <w:b/>
                <w:bCs/>
                <w:color w:val="FFFFFF"/>
                <w:sz w:val="18"/>
                <w:szCs w:val="18"/>
              </w:rPr>
              <w:t>H</w:t>
            </w:r>
          </w:p>
        </w:tc>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4D75D972" w14:textId="77777777" w:rsidR="00A25983" w:rsidRDefault="00000000">
            <w:pPr>
              <w:jc w:val="center"/>
            </w:pPr>
            <w:r>
              <w:rPr>
                <w:b/>
                <w:bCs/>
                <w:color w:val="FFFFFF"/>
                <w:sz w:val="18"/>
                <w:szCs w:val="18"/>
              </w:rPr>
              <w:t>Relationship</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3D23C7DA" w14:textId="77777777" w:rsidR="00A25983" w:rsidRDefault="00000000">
            <w:pPr>
              <w:jc w:val="center"/>
            </w:pPr>
            <w:r>
              <w:rPr>
                <w:b/>
                <w:bCs/>
                <w:color w:val="FFFFFF"/>
                <w:sz w:val="18"/>
                <w:szCs w:val="18"/>
              </w:rPr>
              <w:t>r</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20B6BD14" w14:textId="77777777" w:rsidR="00A25983" w:rsidRDefault="00000000">
            <w:pPr>
              <w:jc w:val="center"/>
            </w:pPr>
            <w:r>
              <w:rPr>
                <w:b/>
                <w:bCs/>
                <w:color w:val="FFFFFF"/>
                <w:sz w:val="18"/>
                <w:szCs w:val="18"/>
              </w:rPr>
              <w:t>r²</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1D807BAA" w14:textId="77777777" w:rsidR="00A25983" w:rsidRDefault="00000000">
            <w:pPr>
              <w:jc w:val="center"/>
            </w:pPr>
            <w:r>
              <w:rPr>
                <w:b/>
                <w:bCs/>
                <w:color w:val="FFFFFF"/>
                <w:sz w:val="18"/>
                <w:szCs w:val="18"/>
              </w:rPr>
              <w:t>p</w:t>
            </w:r>
          </w:p>
        </w:tc>
        <w:tc>
          <w:tcPr>
            <w:tcW w:w="27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vAlign w:val="center"/>
          </w:tcPr>
          <w:p w14:paraId="6514E29A" w14:textId="77777777" w:rsidR="00A25983" w:rsidRDefault="00000000">
            <w:pPr>
              <w:jc w:val="center"/>
            </w:pPr>
            <w:r>
              <w:rPr>
                <w:b/>
                <w:bCs/>
                <w:color w:val="FFFFFF"/>
                <w:sz w:val="18"/>
                <w:szCs w:val="18"/>
              </w:rPr>
              <w:t>Decision</w:t>
            </w:r>
          </w:p>
        </w:tc>
      </w:tr>
      <w:tr w:rsidR="00A25983" w14:paraId="167CB8CA" w14:textId="77777777">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33F2ECB1" w14:textId="77777777" w:rsidR="00A25983" w:rsidRDefault="00000000">
            <w:pPr>
              <w:jc w:val="center"/>
            </w:pPr>
            <w:r>
              <w:rPr>
                <w:b/>
                <w:bCs/>
                <w:color w:val="2F2F2F"/>
                <w:sz w:val="18"/>
                <w:szCs w:val="18"/>
              </w:rPr>
              <w:t>H1</w:t>
            </w:r>
          </w:p>
        </w:tc>
        <w:tc>
          <w:tcPr>
            <w:tcW w:w="3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96F0A29" w14:textId="77777777" w:rsidR="00A25983" w:rsidRDefault="00000000">
            <w:r>
              <w:rPr>
                <w:color w:val="2F2F2F"/>
                <w:sz w:val="18"/>
                <w:szCs w:val="18"/>
              </w:rPr>
              <w:t>Psychological Capital → Work Engagement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3E581CB" w14:textId="77777777" w:rsidR="00A25983" w:rsidRDefault="00000000">
            <w:pPr>
              <w:jc w:val="center"/>
            </w:pPr>
            <w:r>
              <w:rPr>
                <w:b/>
                <w:bCs/>
                <w:color w:val="2F2F2F"/>
                <w:sz w:val="18"/>
                <w:szCs w:val="18"/>
              </w:rPr>
              <w:t>.533</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16B0F362" w14:textId="77777777" w:rsidR="00A25983" w:rsidRDefault="00000000">
            <w:pPr>
              <w:jc w:val="center"/>
            </w:pPr>
            <w:r>
              <w:rPr>
                <w:color w:val="2F2F2F"/>
                <w:sz w:val="18"/>
                <w:szCs w:val="18"/>
              </w:rPr>
              <w:t>.284</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1D75B7A4" w14:textId="77777777" w:rsidR="00A25983" w:rsidRDefault="00000000">
            <w:pPr>
              <w:jc w:val="center"/>
            </w:pPr>
            <w:r>
              <w:rPr>
                <w:color w:val="2F2F2F"/>
                <w:sz w:val="18"/>
                <w:szCs w:val="18"/>
              </w:rPr>
              <w:t>&lt; .001</w:t>
            </w:r>
          </w:p>
        </w:tc>
        <w:tc>
          <w:tcPr>
            <w:tcW w:w="27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20" w:type="dxa"/>
              <w:bottom w:w="70" w:type="dxa"/>
              <w:right w:w="120" w:type="dxa"/>
            </w:tcMar>
            <w:vAlign w:val="center"/>
          </w:tcPr>
          <w:p w14:paraId="4812DB88" w14:textId="77777777" w:rsidR="00A25983" w:rsidRDefault="00000000">
            <w:pPr>
              <w:jc w:val="center"/>
            </w:pPr>
            <w:r>
              <w:rPr>
                <w:b/>
                <w:bCs/>
                <w:color w:val="2F2F2F"/>
                <w:sz w:val="18"/>
                <w:szCs w:val="18"/>
              </w:rPr>
              <w:t>Supported ✓</w:t>
            </w:r>
          </w:p>
        </w:tc>
      </w:tr>
      <w:tr w:rsidR="00A25983" w14:paraId="19D4B25D"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49C9E2B1" w14:textId="77777777" w:rsidR="00A25983" w:rsidRDefault="00000000">
            <w:pPr>
              <w:jc w:val="center"/>
            </w:pPr>
            <w:r>
              <w:rPr>
                <w:b/>
                <w:bCs/>
                <w:color w:val="2F2F2F"/>
                <w:sz w:val="18"/>
                <w:szCs w:val="18"/>
              </w:rPr>
              <w:t>H2</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610A7AD0" w14:textId="77777777" w:rsidR="00A25983" w:rsidRDefault="00000000">
            <w:r>
              <w:rPr>
                <w:color w:val="2F2F2F"/>
                <w:sz w:val="18"/>
                <w:szCs w:val="18"/>
              </w:rPr>
              <w:t>Psychological Capital → Job Satisfaction</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6A166795" w14:textId="77777777" w:rsidR="00A25983" w:rsidRDefault="00000000">
            <w:pPr>
              <w:jc w:val="center"/>
            </w:pPr>
            <w:r>
              <w:rPr>
                <w:b/>
                <w:bCs/>
                <w:color w:val="2F2F2F"/>
                <w:sz w:val="18"/>
                <w:szCs w:val="18"/>
              </w:rPr>
              <w:t>.485</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7890C027" w14:textId="77777777" w:rsidR="00A25983" w:rsidRDefault="00000000">
            <w:pPr>
              <w:jc w:val="center"/>
            </w:pPr>
            <w:r>
              <w:rPr>
                <w:color w:val="2F2F2F"/>
                <w:sz w:val="18"/>
                <w:szCs w:val="18"/>
              </w:rPr>
              <w:t>.235</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20" w:type="dxa"/>
              <w:bottom w:w="70" w:type="dxa"/>
              <w:right w:w="120" w:type="dxa"/>
            </w:tcMar>
            <w:vAlign w:val="center"/>
          </w:tcPr>
          <w:p w14:paraId="64289020" w14:textId="77777777" w:rsidR="00A25983" w:rsidRDefault="00000000">
            <w:pPr>
              <w:jc w:val="center"/>
            </w:pPr>
            <w:r>
              <w:rPr>
                <w:color w:val="2F2F2F"/>
                <w:sz w:val="18"/>
                <w:szCs w:val="18"/>
              </w:rPr>
              <w:t>&lt; .001</w:t>
            </w:r>
          </w:p>
        </w:tc>
        <w:tc>
          <w:tcPr>
            <w:tcW w:w="27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20" w:type="dxa"/>
              <w:bottom w:w="70" w:type="dxa"/>
              <w:right w:w="120" w:type="dxa"/>
            </w:tcMar>
            <w:vAlign w:val="center"/>
          </w:tcPr>
          <w:p w14:paraId="032E147D" w14:textId="77777777" w:rsidR="00A25983" w:rsidRDefault="00000000">
            <w:pPr>
              <w:jc w:val="center"/>
            </w:pPr>
            <w:r>
              <w:rPr>
                <w:b/>
                <w:bCs/>
                <w:color w:val="2F2F2F"/>
                <w:sz w:val="18"/>
                <w:szCs w:val="18"/>
              </w:rPr>
              <w:t>Supported ✓</w:t>
            </w:r>
          </w:p>
        </w:tc>
      </w:tr>
      <w:tr w:rsidR="00A25983" w14:paraId="2D512896" w14:textId="77777777">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FCB610C" w14:textId="77777777" w:rsidR="00A25983" w:rsidRDefault="00000000">
            <w:pPr>
              <w:jc w:val="center"/>
            </w:pPr>
            <w:r>
              <w:rPr>
                <w:b/>
                <w:bCs/>
                <w:color w:val="2F2F2F"/>
                <w:sz w:val="18"/>
                <w:szCs w:val="18"/>
              </w:rPr>
              <w:t>H3</w:t>
            </w:r>
          </w:p>
        </w:tc>
        <w:tc>
          <w:tcPr>
            <w:tcW w:w="3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856C9E0" w14:textId="77777777" w:rsidR="00A25983" w:rsidRDefault="00000000">
            <w:r>
              <w:rPr>
                <w:color w:val="2F2F2F"/>
                <w:sz w:val="18"/>
                <w:szCs w:val="18"/>
              </w:rPr>
              <w:t>Job Satisfaction → Work Engagement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048B58EA" w14:textId="77777777" w:rsidR="00A25983" w:rsidRDefault="00000000">
            <w:pPr>
              <w:jc w:val="center"/>
            </w:pPr>
            <w:r>
              <w:rPr>
                <w:b/>
                <w:bCs/>
                <w:color w:val="2F2F2F"/>
                <w:sz w:val="18"/>
                <w:szCs w:val="18"/>
              </w:rPr>
              <w:t>.651</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70DEC7DF" w14:textId="77777777" w:rsidR="00A25983" w:rsidRDefault="00000000">
            <w:pPr>
              <w:jc w:val="center"/>
            </w:pPr>
            <w:r>
              <w:rPr>
                <w:color w:val="2F2F2F"/>
                <w:sz w:val="18"/>
                <w:szCs w:val="18"/>
              </w:rPr>
              <w:t>.424</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20" w:type="dxa"/>
              <w:bottom w:w="70" w:type="dxa"/>
              <w:right w:w="120" w:type="dxa"/>
            </w:tcMar>
            <w:vAlign w:val="center"/>
          </w:tcPr>
          <w:p w14:paraId="2DA69F10" w14:textId="77777777" w:rsidR="00A25983" w:rsidRDefault="00000000">
            <w:pPr>
              <w:jc w:val="center"/>
            </w:pPr>
            <w:r>
              <w:rPr>
                <w:color w:val="2F2F2F"/>
                <w:sz w:val="18"/>
                <w:szCs w:val="18"/>
              </w:rPr>
              <w:t>&lt; .001</w:t>
            </w:r>
          </w:p>
        </w:tc>
        <w:tc>
          <w:tcPr>
            <w:tcW w:w="2726" w:type="dxa"/>
            <w:tcBorders>
              <w:top w:val="single" w:sz="4" w:space="0" w:color="BDD7EE"/>
              <w:left w:val="single" w:sz="4" w:space="0" w:color="BDD7EE"/>
              <w:bottom w:val="single" w:sz="4" w:space="0" w:color="BDD7EE"/>
              <w:right w:val="single" w:sz="4" w:space="0" w:color="BDD7EE"/>
            </w:tcBorders>
            <w:shd w:val="clear" w:color="auto" w:fill="A9D18E"/>
            <w:tcMar>
              <w:top w:w="70" w:type="dxa"/>
              <w:left w:w="120" w:type="dxa"/>
              <w:bottom w:w="70" w:type="dxa"/>
              <w:right w:w="120" w:type="dxa"/>
            </w:tcMar>
            <w:vAlign w:val="center"/>
          </w:tcPr>
          <w:p w14:paraId="6C30F5C3" w14:textId="77777777" w:rsidR="00A25983" w:rsidRDefault="00000000">
            <w:pPr>
              <w:jc w:val="center"/>
            </w:pPr>
            <w:r>
              <w:rPr>
                <w:b/>
                <w:bCs/>
                <w:color w:val="2F2F2F"/>
                <w:sz w:val="18"/>
                <w:szCs w:val="18"/>
              </w:rPr>
              <w:t>Supported ✓</w:t>
            </w:r>
          </w:p>
        </w:tc>
      </w:tr>
    </w:tbl>
    <w:p w14:paraId="1D8EC7F4" w14:textId="77777777" w:rsidR="00A25983" w:rsidRDefault="00000000">
      <w:pPr>
        <w:spacing w:before="60" w:after="120"/>
      </w:pPr>
      <w:r>
        <w:rPr>
          <w:i/>
          <w:iCs/>
          <w:color w:val="595959"/>
          <w:sz w:val="16"/>
          <w:szCs w:val="16"/>
        </w:rPr>
        <w:t>Note. All correlations significant at p &lt; .001 (two-tailed), N = 270. r² = coefficient of determination (proportion of shared variance). These results provide bivariate-level support for H1–H3 and establish the necessary preconditions for testing the mediation hypothesis (H4) in Stage 9.</w:t>
      </w:r>
    </w:p>
    <w:p w14:paraId="1B2C3D4E" w14:textId="77777777" w:rsidR="00A25983" w:rsidRDefault="00000000">
      <w:pPr>
        <w:spacing w:before="40" w:after="100"/>
        <w:jc w:val="both"/>
      </w:pPr>
      <w:r>
        <w:rPr>
          <w:i/>
          <w:iCs/>
          <w:color w:val="595959"/>
          <w:sz w:val="16"/>
          <w:szCs w:val="16"/>
        </w:rPr>
        <w:t>Note. r² values were calculated by squaring Pearson’s correlation coefficient (r × r) and represent the proportion of shared variance between each pair of variables. Because the analysis is correlational, r² should be interpreted as shared variance rather than explained causal variance.</w:t>
      </w:r>
    </w:p>
    <w:p w14:paraId="09999DBB" w14:textId="77777777" w:rsidR="00A25983" w:rsidRDefault="00A25983">
      <w:pPr>
        <w:spacing w:before="120"/>
      </w:pPr>
    </w:p>
    <w:p w14:paraId="6544CA5A" w14:textId="77777777" w:rsidR="00A25983" w:rsidRDefault="00000000">
      <w:pPr>
        <w:spacing w:before="100" w:after="140"/>
        <w:jc w:val="both"/>
      </w:pPr>
      <w:r>
        <w:t>All three hypotheses (H1, H2, H3) received bivariate support at the p &lt; .001 level. The pattern of results — with the Job Satisfaction–Work Engagement correlation being the strongest (r = .651), followed by PsyCap–Work Engagement (r = .533), and PsyCap–Job Satisfaction (r = .485) — is precisely the pattern that would be predicted by the proposed mediation model. It suggests that job satisfaction occupies an intermediary role in the PsyCap–engagement relationship, acting as a proximal psychological mechanism through which PsyCap's influence on engagement is channelled. This bivariate evidence constitutes the necessary precondition for formally testing the mediation pathway in Stage 9.</w:t>
      </w:r>
    </w:p>
    <w:p w14:paraId="1B13BA1C" w14:textId="77777777" w:rsidR="00A25983" w:rsidRDefault="00A25983">
      <w:pPr>
        <w:spacing w:before="120"/>
      </w:pPr>
    </w:p>
    <w:p w14:paraId="5ED78EB9" w14:textId="77777777" w:rsidR="00A25983" w:rsidRDefault="00000000">
      <w:pPr>
        <w:pStyle w:val="Heading1"/>
      </w:pPr>
      <w:r>
        <w:t>7. Reflection on Findings in the Research Context</w:t>
      </w:r>
    </w:p>
    <w:p w14:paraId="0E8B4526" w14:textId="77777777" w:rsidR="00A25983" w:rsidRDefault="00000000">
      <w:pPr>
        <w:spacing w:before="100" w:after="140"/>
        <w:jc w:val="both"/>
      </w:pPr>
      <w:r>
        <w:lastRenderedPageBreak/>
        <w:t>The overall pattern of correlations observed in this study is theoretically coherent and contextually meaningful for the Palestinian higher education setting. Three observations warrant particular attention.</w:t>
      </w:r>
    </w:p>
    <w:p w14:paraId="0FE8728A" w14:textId="77777777" w:rsidR="00A25983" w:rsidRDefault="00000000">
      <w:pPr>
        <w:spacing w:before="100" w:after="140"/>
        <w:jc w:val="both"/>
      </w:pPr>
      <w:r>
        <w:rPr>
          <w:b/>
          <w:bCs/>
        </w:rPr>
        <w:t>First</w:t>
      </w:r>
      <w:r>
        <w:t>, the fact that all three correlations are statistically significant and positive — even within a sample characterised by relatively moderate job satisfaction scores (M = 3.69 out of 5) — speaks to the robustness of the PsyCap–satisfaction–engagement framework in contexts where external conditions are challenging. It suggests that even when objective work conditions are constrained by institutional resource limitations and geopolitical pressures, the psychological capital of faculty members continues to exert a meaningful positive influence on both their satisfaction and their engagement.</w:t>
      </w:r>
    </w:p>
    <w:p w14:paraId="637EC04B" w14:textId="3E4DF437" w:rsidR="00A25983" w:rsidRDefault="00000000">
      <w:pPr>
        <w:spacing w:before="100" w:after="140"/>
        <w:jc w:val="both"/>
      </w:pPr>
      <w:r>
        <w:rPr>
          <w:b/>
          <w:bCs/>
        </w:rPr>
        <w:t>Second</w:t>
      </w:r>
      <w:r>
        <w:t xml:space="preserve">, the comparative strength of the correlations — particularly the relatively stronger Job Satisfaction–Work Engagement association — implies that interventions aimed at improving faculty </w:t>
      </w:r>
      <w:r>
        <w:rPr>
          <w:i/>
          <w:iCs/>
        </w:rPr>
        <w:t>satisfaction</w:t>
      </w:r>
      <w:r>
        <w:t xml:space="preserve"> (e.g., improving working conditions, recognizing contributions, strengthening collegial relationships) may yield greater gains in work engagement than interventions targeting PsyCap alone. However, because PsyCap influences engagement both directly and indirectly through satisfaction, investments in PsyCap development remain strategically valuable and may produce amplified returns through the mediation pathway.</w:t>
      </w:r>
    </w:p>
    <w:p w14:paraId="10A3E4E0" w14:textId="77777777" w:rsidR="00A25983" w:rsidRDefault="00000000">
      <w:pPr>
        <w:spacing w:before="100" w:after="140"/>
        <w:jc w:val="both"/>
      </w:pPr>
      <w:r>
        <w:rPr>
          <w:b/>
          <w:bCs/>
        </w:rPr>
        <w:t>Third</w:t>
      </w:r>
      <w:r>
        <w:t>, the geographic dispersion of QOU's academic staff across 15 branches throughout the West Bank adds an important contextual layer to these findings. The consistency of the correlations across a dispersed and structurally heterogeneous faculty population suggests that the PsyCap–satisfaction–engagement relationships are not branch-specific phenomena but reflect a broader, systematic pattern at the institutional level — lending generalisability to the findings within the QOU context.</w:t>
      </w:r>
    </w:p>
    <w:p w14:paraId="7A9020DD" w14:textId="77777777" w:rsidR="00A25983" w:rsidRDefault="00A25983">
      <w:pPr>
        <w:spacing w:before="120"/>
      </w:pPr>
    </w:p>
    <w:p w14:paraId="7B9783B4" w14:textId="77777777" w:rsidR="00A25983" w:rsidRDefault="00000000">
      <w:pPr>
        <w:pStyle w:val="Heading1"/>
      </w:pPr>
      <w:r>
        <w:t>References</w:t>
      </w:r>
    </w:p>
    <w:p w14:paraId="7EA48247" w14:textId="77777777" w:rsidR="00A25983" w:rsidRDefault="00000000">
      <w:pPr>
        <w:spacing w:before="80" w:after="80"/>
        <w:ind w:left="720" w:hanging="720"/>
        <w:jc w:val="both"/>
      </w:pPr>
      <w:r>
        <w:rPr>
          <w:color w:val="2F2F2F"/>
          <w:sz w:val="18"/>
          <w:szCs w:val="18"/>
        </w:rPr>
        <w:t>Avey, J. B., Reichard, R. J., Luthans, F., &amp; Mhatre, K. H. (2011). Meta-analysis of the impact of positive psychological capital on employee attitudes, behaviors, and performance. Human Resource Development Quarterly, 22(2), 127–152. https://doi.org/10.1002/hrdq.20070</w:t>
      </w:r>
    </w:p>
    <w:p w14:paraId="0826E198" w14:textId="77777777" w:rsidR="00A25983" w:rsidRDefault="00000000">
      <w:pPr>
        <w:spacing w:before="80" w:after="80"/>
        <w:ind w:left="720" w:hanging="720"/>
        <w:jc w:val="both"/>
      </w:pPr>
      <w:r>
        <w:rPr>
          <w:color w:val="2F2F2F"/>
          <w:sz w:val="18"/>
          <w:szCs w:val="18"/>
        </w:rPr>
        <w:t>Bakker, A. B., &amp; Demerouti, E. (2008). Towards a model of work engagement. Career Development International, 13(3), 209–223. https://doi.org/10.1108/13620430810870476</w:t>
      </w:r>
    </w:p>
    <w:p w14:paraId="56A94B2D" w14:textId="77777777" w:rsidR="00A25983" w:rsidRDefault="00000000">
      <w:pPr>
        <w:spacing w:before="80" w:after="80"/>
        <w:ind w:left="720" w:hanging="720"/>
        <w:jc w:val="both"/>
      </w:pPr>
      <w:r>
        <w:rPr>
          <w:color w:val="2F2F2F"/>
          <w:sz w:val="18"/>
          <w:szCs w:val="18"/>
        </w:rPr>
        <w:t>Cohen, J. (1988). Statistical power analysis for the behavioral sciences (2nd ed.). Lawrence Erlbaum Associates.</w:t>
      </w:r>
    </w:p>
    <w:p w14:paraId="37B5D7B6" w14:textId="77777777" w:rsidR="00A25983" w:rsidRDefault="00000000">
      <w:pPr>
        <w:spacing w:before="80" w:after="80"/>
        <w:ind w:left="720" w:hanging="720"/>
        <w:jc w:val="both"/>
      </w:pPr>
      <w:r>
        <w:rPr>
          <w:color w:val="2F2F2F"/>
          <w:sz w:val="18"/>
          <w:szCs w:val="18"/>
        </w:rPr>
        <w:t>Hair, J. F., Black, W. C., Babin, B. J., &amp; Anderson, R. E. (2019). Multivariate data analysis (8th ed.). Cengage Learning.</w:t>
      </w:r>
    </w:p>
    <w:p w14:paraId="56213D34" w14:textId="77777777" w:rsidR="00A25983" w:rsidRDefault="00000000">
      <w:pPr>
        <w:spacing w:before="80" w:after="80"/>
        <w:ind w:left="720" w:hanging="720"/>
        <w:jc w:val="both"/>
      </w:pPr>
      <w:r>
        <w:rPr>
          <w:color w:val="2F2F2F"/>
          <w:sz w:val="18"/>
          <w:szCs w:val="18"/>
        </w:rPr>
        <w:t>Hobfoll, S. E. (1989). Conservation of resources: A new attempt at conceptualizing stress. American Psychologist, 44(3), 513–524. https://doi.org/10.1037/0003-066X.44.3.513</w:t>
      </w:r>
    </w:p>
    <w:p w14:paraId="5435D6CC" w14:textId="77777777" w:rsidR="00A25983" w:rsidRDefault="00000000">
      <w:pPr>
        <w:spacing w:before="80" w:after="80"/>
        <w:ind w:left="720" w:hanging="720"/>
        <w:jc w:val="both"/>
      </w:pPr>
      <w:r>
        <w:rPr>
          <w:color w:val="2F2F2F"/>
          <w:sz w:val="18"/>
          <w:szCs w:val="18"/>
        </w:rPr>
        <w:t>Luthans, F., Youssef, C. M., &amp; Avolio, B. J. (2007). Psychological capital: Developing the human competitive edge. Oxford University Press.</w:t>
      </w:r>
    </w:p>
    <w:p w14:paraId="307E20F5" w14:textId="77777777" w:rsidR="00A25983" w:rsidRDefault="00000000">
      <w:pPr>
        <w:spacing w:before="80" w:after="80"/>
        <w:ind w:left="720" w:hanging="720"/>
        <w:jc w:val="both"/>
      </w:pPr>
      <w:r>
        <w:rPr>
          <w:color w:val="2F2F2F"/>
          <w:sz w:val="18"/>
          <w:szCs w:val="18"/>
        </w:rPr>
        <w:t>Schaufeli, W. B., Bakker, A. B., &amp; Salanova, M. (2006). The measurement of work engagement with a short questionnaire: A cross-national study. Educational and Psychological Measurement, 66(4), 701–716.</w:t>
      </w:r>
    </w:p>
    <w:p w14:paraId="71C33077" w14:textId="77777777" w:rsidR="00A25983" w:rsidRDefault="00000000">
      <w:pPr>
        <w:spacing w:before="80" w:after="80"/>
        <w:ind w:left="720" w:hanging="720"/>
        <w:jc w:val="both"/>
      </w:pPr>
      <w:r>
        <w:rPr>
          <w:color w:val="2F2F2F"/>
          <w:sz w:val="18"/>
          <w:szCs w:val="18"/>
        </w:rPr>
        <w:t>Spector, P. E. (1997). Job satisfaction: Application, assessment, causes, and consequences. SAGE Publications.</w:t>
      </w:r>
    </w:p>
    <w:p w14:paraId="682740C9" w14:textId="77777777" w:rsidR="00A25983" w:rsidRDefault="00A25983">
      <w:pPr>
        <w:spacing w:before="200"/>
      </w:pPr>
    </w:p>
    <w:sectPr w:rsidR="00A25983">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F2A8" w14:textId="77777777" w:rsidR="00696027" w:rsidRDefault="00696027">
      <w:r>
        <w:separator/>
      </w:r>
    </w:p>
  </w:endnote>
  <w:endnote w:type="continuationSeparator" w:id="0">
    <w:p w14:paraId="275D54E4" w14:textId="77777777" w:rsidR="00696027" w:rsidRDefault="00696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E2CF" w14:textId="77777777" w:rsidR="00A25983" w:rsidRDefault="00000000">
    <w:pPr>
      <w:pBdr>
        <w:top w:val="single" w:sz="4" w:space="1" w:color="2E74B5"/>
      </w:pBdr>
      <w:spacing w:before="80"/>
      <w:jc w:val="center"/>
    </w:pPr>
    <w:r>
      <w:rPr>
        <w:color w:val="595959"/>
        <w:sz w:val="16"/>
        <w:szCs w:val="16"/>
      </w:rPr>
      <w:t xml:space="preserve">Page </w:t>
    </w:r>
    <w:r>
      <w:rPr>
        <w:color w:val="2E74B5"/>
        <w:sz w:val="16"/>
        <w:szCs w:val="16"/>
      </w:rPr>
      <w:fldChar w:fldCharType="begin"/>
    </w:r>
    <w:r>
      <w:rPr>
        <w:color w:val="2E74B5"/>
        <w:sz w:val="16"/>
        <w:szCs w:val="16"/>
      </w:rPr>
      <w:instrText>PAGE</w:instrText>
    </w:r>
    <w:r>
      <w:rPr>
        <w:color w:val="2E74B5"/>
        <w:sz w:val="16"/>
        <w:szCs w:val="16"/>
      </w:rPr>
      <w:fldChar w:fldCharType="separate"/>
    </w:r>
    <w:r w:rsidR="0088022D">
      <w:rPr>
        <w:noProof/>
        <w:color w:val="2E74B5"/>
        <w:sz w:val="16"/>
        <w:szCs w:val="16"/>
      </w:rPr>
      <w:t>1</w:t>
    </w:r>
    <w:r>
      <w:rPr>
        <w:color w:val="2E74B5"/>
        <w:sz w:val="16"/>
        <w:szCs w:val="16"/>
      </w:rPr>
      <w:fldChar w:fldCharType="end"/>
    </w:r>
    <w:r>
      <w:rPr>
        <w:color w:val="595959"/>
        <w:sz w:val="16"/>
        <w:szCs w:val="16"/>
      </w:rPr>
      <w:t xml:space="preserve"> of </w:t>
    </w:r>
    <w:r>
      <w:rPr>
        <w:color w:val="2E74B5"/>
        <w:sz w:val="16"/>
        <w:szCs w:val="16"/>
      </w:rPr>
      <w:fldChar w:fldCharType="begin"/>
    </w:r>
    <w:r>
      <w:rPr>
        <w:color w:val="2E74B5"/>
        <w:sz w:val="16"/>
        <w:szCs w:val="16"/>
      </w:rPr>
      <w:instrText>NUMPAGES</w:instrText>
    </w:r>
    <w:r>
      <w:rPr>
        <w:color w:val="2E74B5"/>
        <w:sz w:val="16"/>
        <w:szCs w:val="16"/>
      </w:rPr>
      <w:fldChar w:fldCharType="separate"/>
    </w:r>
    <w:r w:rsidR="0088022D">
      <w:rPr>
        <w:noProof/>
        <w:color w:val="2E74B5"/>
        <w:sz w:val="16"/>
        <w:szCs w:val="16"/>
      </w:rPr>
      <w:t>2</w:t>
    </w:r>
    <w:r>
      <w:rPr>
        <w:color w:val="2E74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3D73" w14:textId="77777777" w:rsidR="00696027" w:rsidRDefault="00696027">
      <w:r>
        <w:separator/>
      </w:r>
    </w:p>
  </w:footnote>
  <w:footnote w:type="continuationSeparator" w:id="0">
    <w:p w14:paraId="3056CF1A" w14:textId="77777777" w:rsidR="00696027" w:rsidRDefault="006960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6076" w14:textId="5595B84B" w:rsidR="00A25983" w:rsidRDefault="00000000">
    <w:pPr>
      <w:pBdr>
        <w:bottom w:val="single" w:sz="4" w:space="1" w:color="2E74B5"/>
      </w:pBdr>
      <w:spacing w:after="120"/>
      <w:jc w:val="right"/>
    </w:pPr>
    <w:r>
      <w:rPr>
        <w:i/>
        <w:iCs/>
        <w:color w:val="595959"/>
        <w:sz w:val="16"/>
        <w:szCs w:val="16"/>
      </w:rPr>
      <w:t xml:space="preserve">Pearson Correlation </w:t>
    </w:r>
    <w:proofErr w:type="gramStart"/>
    <w:r>
      <w:rPr>
        <w:i/>
        <w:iCs/>
        <w:color w:val="595959"/>
        <w:sz w:val="16"/>
        <w:szCs w:val="16"/>
      </w:rPr>
      <w:t>Report  |</w:t>
    </w:r>
    <w:proofErr w:type="gramEnd"/>
    <w:r>
      <w:rPr>
        <w:i/>
        <w:iCs/>
        <w:color w:val="595959"/>
        <w:sz w:val="16"/>
        <w:szCs w:val="16"/>
      </w:rPr>
      <w:t xml:space="preserve"> </w:t>
    </w:r>
    <w:proofErr w:type="gramStart"/>
    <w:r>
      <w:rPr>
        <w:i/>
        <w:iCs/>
        <w:color w:val="595959"/>
        <w:sz w:val="16"/>
        <w:szCs w:val="16"/>
      </w:rPr>
      <w:t>|  N</w:t>
    </w:r>
    <w:proofErr w:type="gramEnd"/>
    <w:r>
      <w:rPr>
        <w:i/>
        <w:iCs/>
        <w:color w:val="595959"/>
        <w:sz w:val="16"/>
        <w:szCs w:val="16"/>
      </w:rPr>
      <w:t xml:space="preserve"> = 270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71C1D"/>
    <w:multiLevelType w:val="hybridMultilevel"/>
    <w:tmpl w:val="49E092CA"/>
    <w:lvl w:ilvl="0" w:tplc="ED7C4910">
      <w:start w:val="1"/>
      <w:numFmt w:val="bullet"/>
      <w:lvlText w:val="●"/>
      <w:lvlJc w:val="left"/>
      <w:pPr>
        <w:ind w:left="720" w:hanging="360"/>
      </w:pPr>
    </w:lvl>
    <w:lvl w:ilvl="1" w:tplc="48A8C78C">
      <w:start w:val="1"/>
      <w:numFmt w:val="bullet"/>
      <w:lvlText w:val="○"/>
      <w:lvlJc w:val="left"/>
      <w:pPr>
        <w:ind w:left="1440" w:hanging="360"/>
      </w:pPr>
    </w:lvl>
    <w:lvl w:ilvl="2" w:tplc="E4B8EA62">
      <w:start w:val="1"/>
      <w:numFmt w:val="bullet"/>
      <w:lvlText w:val="■"/>
      <w:lvlJc w:val="left"/>
      <w:pPr>
        <w:ind w:left="2160" w:hanging="360"/>
      </w:pPr>
    </w:lvl>
    <w:lvl w:ilvl="3" w:tplc="346438C6">
      <w:start w:val="1"/>
      <w:numFmt w:val="bullet"/>
      <w:lvlText w:val="●"/>
      <w:lvlJc w:val="left"/>
      <w:pPr>
        <w:ind w:left="2880" w:hanging="360"/>
      </w:pPr>
    </w:lvl>
    <w:lvl w:ilvl="4" w:tplc="847AE2A0">
      <w:start w:val="1"/>
      <w:numFmt w:val="bullet"/>
      <w:lvlText w:val="○"/>
      <w:lvlJc w:val="left"/>
      <w:pPr>
        <w:ind w:left="3600" w:hanging="360"/>
      </w:pPr>
    </w:lvl>
    <w:lvl w:ilvl="5" w:tplc="CCF8FCD6">
      <w:start w:val="1"/>
      <w:numFmt w:val="bullet"/>
      <w:lvlText w:val="■"/>
      <w:lvlJc w:val="left"/>
      <w:pPr>
        <w:ind w:left="4320" w:hanging="360"/>
      </w:pPr>
    </w:lvl>
    <w:lvl w:ilvl="6" w:tplc="4BB27C1E">
      <w:start w:val="1"/>
      <w:numFmt w:val="bullet"/>
      <w:lvlText w:val="●"/>
      <w:lvlJc w:val="left"/>
      <w:pPr>
        <w:ind w:left="5040" w:hanging="360"/>
      </w:pPr>
    </w:lvl>
    <w:lvl w:ilvl="7" w:tplc="1DF6BA10">
      <w:start w:val="1"/>
      <w:numFmt w:val="bullet"/>
      <w:lvlText w:val="●"/>
      <w:lvlJc w:val="left"/>
      <w:pPr>
        <w:ind w:left="5760" w:hanging="360"/>
      </w:pPr>
    </w:lvl>
    <w:lvl w:ilvl="8" w:tplc="7716EEB0">
      <w:start w:val="1"/>
      <w:numFmt w:val="bullet"/>
      <w:lvlText w:val="●"/>
      <w:lvlJc w:val="left"/>
      <w:pPr>
        <w:ind w:left="6480" w:hanging="360"/>
      </w:pPr>
    </w:lvl>
  </w:abstractNum>
  <w:num w:numId="1" w16cid:durableId="915551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983"/>
    <w:rsid w:val="00021AF0"/>
    <w:rsid w:val="00286FB2"/>
    <w:rsid w:val="005E4589"/>
    <w:rsid w:val="00615786"/>
    <w:rsid w:val="00696027"/>
    <w:rsid w:val="0088022D"/>
    <w:rsid w:val="00A25983"/>
    <w:rsid w:val="00A72456"/>
    <w:rsid w:val="00AD669B"/>
    <w:rsid w:val="00CB36E6"/>
    <w:rsid w:val="00F10E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2E82"/>
  <w15:docId w15:val="{DFBB881F-0952-4959-8F76-9AB8839A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4589"/>
    <w:pPr>
      <w:tabs>
        <w:tab w:val="center" w:pos="4680"/>
        <w:tab w:val="right" w:pos="9360"/>
      </w:tabs>
    </w:pPr>
  </w:style>
  <w:style w:type="character" w:customStyle="1" w:styleId="HeaderChar">
    <w:name w:val="Header Char"/>
    <w:basedOn w:val="DefaultParagraphFont"/>
    <w:link w:val="Header"/>
    <w:uiPriority w:val="99"/>
    <w:rsid w:val="005E4589"/>
  </w:style>
  <w:style w:type="paragraph" w:styleId="Footer">
    <w:name w:val="footer"/>
    <w:basedOn w:val="Normal"/>
    <w:link w:val="FooterChar"/>
    <w:uiPriority w:val="99"/>
    <w:unhideWhenUsed/>
    <w:rsid w:val="005E4589"/>
    <w:pPr>
      <w:tabs>
        <w:tab w:val="center" w:pos="4680"/>
        <w:tab w:val="right" w:pos="9360"/>
      </w:tabs>
    </w:pPr>
  </w:style>
  <w:style w:type="character" w:customStyle="1" w:styleId="FooterChar">
    <w:name w:val="Footer Char"/>
    <w:basedOn w:val="DefaultParagraphFont"/>
    <w:link w:val="Footer"/>
    <w:uiPriority w:val="99"/>
    <w:rsid w:val="005E4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2763</Words>
  <Characters>15755</Characters>
  <Application>Microsoft Office Word</Application>
  <DocSecurity>0</DocSecurity>
  <Lines>131</Lines>
  <Paragraphs>36</Paragraphs>
  <ScaleCrop>false</ScaleCrop>
  <Company/>
  <LinksUpToDate>false</LinksUpToDate>
  <CharactersWithSpaces>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Awni Hijazi Natsheh</cp:lastModifiedBy>
  <cp:revision>4</cp:revision>
  <dcterms:created xsi:type="dcterms:W3CDTF">2026-05-18T22:11:00Z</dcterms:created>
  <dcterms:modified xsi:type="dcterms:W3CDTF">2026-05-18T22:11:00Z</dcterms:modified>
</cp:coreProperties>
</file>