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Psychological Capital, Job Satisfaction, and Work Engagement</w:t>
      </w:r>
    </w:p>
    <w:p>
      <w:pPr>
        <w:spacing w:after="80"/>
        <w:jc w:val="center"/>
      </w:pPr>
      <w:r>
        <w:rPr>
          <w:rFonts w:ascii="Times New Roman" w:cs="Times New Roman" w:eastAsia="Times New Roman" w:hAnsi="Times New Roman"/>
          <w:b/>
          <w:bCs/>
          <w:sz w:val="32"/>
          <w:szCs w:val="32"/>
        </w:rPr>
        <w:t xml:space="preserve">among Faculty Members at Al-Quds Open University:</w:t>
      </w:r>
    </w:p>
    <w:p>
      <w:pPr>
        <w:spacing w:after="200"/>
        <w:jc w:val="center"/>
      </w:pPr>
      <w:r>
        <w:rPr>
          <w:rFonts w:ascii="Times New Roman" w:cs="Times New Roman" w:eastAsia="Times New Roman" w:hAnsi="Times New Roman"/>
          <w:b/>
          <w:bCs/>
          <w:sz w:val="28"/>
          <w:szCs w:val="28"/>
        </w:rPr>
        <w:t xml:space="preserve">The Mediating Role of Job Satisfaction</w:t>
      </w:r>
    </w:p>
    <w:p>
      <w:pPr>
        <w:spacing w:after="60"/>
        <w:jc w:val="center"/>
      </w:pPr>
      <w:r>
        <w:rPr>
          <w:rFonts w:ascii="Times New Roman" w:cs="Times New Roman" w:eastAsia="Times New Roman" w:hAnsi="Times New Roman"/>
          <w:b/>
          <w:bCs/>
          <w:sz w:val="24"/>
          <w:szCs w:val="24"/>
        </w:rPr>
        <w:t xml:space="preserve">Ahmad Awni Natsheh</w:t>
      </w:r>
    </w:p>
    <w:p>
      <w:pPr>
        <w:spacing w:after="60"/>
        <w:jc w:val="center"/>
      </w:pPr>
      <w:r>
        <w:rPr>
          <w:rFonts w:ascii="Times New Roman" w:cs="Times New Roman" w:eastAsia="Times New Roman" w:hAnsi="Times New Roman"/>
          <w:sz w:val="22"/>
          <w:szCs w:val="22"/>
        </w:rPr>
        <w:t xml:space="preserve">Palestine Polytechnic University, Hebron, Palestine</w:t>
      </w:r>
    </w:p>
    <w:p>
      <w:pPr>
        <w:spacing w:after="60"/>
        <w:jc w:val="center"/>
      </w:pPr>
      <w:r>
        <w:rPr>
          <w:rFonts w:ascii="Times New Roman" w:cs="Times New Roman" w:eastAsia="Times New Roman" w:hAnsi="Times New Roman"/>
          <w:sz w:val="22"/>
          <w:szCs w:val="22"/>
        </w:rPr>
        <w:t xml:space="preserve">Supervisor: Ahmad Abu Alrub, Assist. Prof. Dr.</w:t>
      </w:r>
    </w:p>
    <w:p>
      <w:pPr>
        <w:spacing w:after="300"/>
        <w:jc w:val="center"/>
      </w:pPr>
      <w:r>
        <w:rPr>
          <w:rFonts w:ascii="Times New Roman" w:cs="Times New Roman" w:eastAsia="Times New Roman" w:hAnsi="Times New Roman"/>
          <w:sz w:val="22"/>
          <w:szCs w:val="22"/>
        </w:rPr>
        <w:t xml:space="preserve">Palestine Polytechnic University, Hebron, Palestine</w:t>
      </w:r>
    </w:p>
    <w:p>
      <w:pPr>
        <w:pBdr>
          <w:bottom w:val="single" w:color="000000" w:sz="4" w:space="1"/>
        </w:pBdr>
        <w:spacing w:after="240"/>
      </w:pPr>
      <w:r>
        <w:t xml:space="preserve"/>
      </w:r>
    </w:p>
    <w:p>
      <w:pPr>
        <w:spacing w:after="120"/>
      </w:pPr>
      <w:r>
        <w:rPr>
          <w:rFonts w:ascii="Times New Roman" w:cs="Times New Roman" w:eastAsia="Times New Roman" w:hAnsi="Times New Roman"/>
          <w:b/>
          <w:bCs/>
          <w:sz w:val="24"/>
          <w:szCs w:val="24"/>
        </w:rPr>
        <w:t xml:space="preserve">Abstract</w:t>
      </w:r>
    </w:p>
    <w:p>
      <w:pPr>
        <w:spacing w:after="160" w:line="360" w:lineRule="auto"/>
        <w:jc w:val="both"/>
      </w:pPr>
      <w:r>
        <w:rPr>
          <w:rFonts w:ascii="Times New Roman" w:cs="Times New Roman" w:eastAsia="Times New Roman" w:hAnsi="Times New Roman"/>
          <w:sz w:val="22"/>
          <w:szCs w:val="22"/>
        </w:rPr>
        <w:t xml:space="preserve">Faculty engagement is central to the quality of higher education, yet the psychological and attitudinal mechanisms that sustain it remain underexplored in conflict-affected settings. Drawing on the Job Demands-Resources model and Conservation of Resources theory, this study examines how psychological capital (PsyCap) influences work engagement among 270 faculty members across all fifteen branches of Al-Quds Open University (QOU) in Palestine, and whether job satisfaction mediates this relationship. Data were collected via a cross-sectional survey using three validated instruments — the PCQ-24, UWES-9, and MSQ-20 — and analysed with IBM SPSS 28 and PROCESS Macro (Model 4, 5,000 bootstrap samples). Findings confirm that PsyCap significantly predicts both work engagement (β = .533, R² = .284) and job satisfaction (β = .485, R² = .235), and that job satisfaction in turn predicts work engagement (β = .651, R² = .424). Mediation analysis reveals that job satisfaction partially mediates the PsyCap–engagement relationship (indirect effect = .274, 95% CI [.199, .360]), accounting for approximately 46.7% of the total effect. The full model explains 48.5% of variance in work engagement. These findings highlight the compound value of developing faculty psychological capital alongside addressing structural determinants of satisfaction in Palestinian higher education.</w:t>
      </w:r>
    </w:p>
    <w:p>
      <w:r>
        <w:rPr>
          <w:sz w:val="22"/>
          <w:szCs w:val="22"/>
        </w:rPr>
        <w:t xml:space="preserve"/>
      </w:r>
    </w:p>
    <w:p>
      <w:pPr>
        <w:spacing w:after="160" w:line="360" w:lineRule="auto"/>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psychological capital; work engagement; job satisfaction; mediation; higher education; Palestine; Al-Quds Open University</w:t>
      </w:r>
    </w:p>
    <w:p>
      <w:r>
        <w:br w:type="page"/>
      </w:r>
    </w:p>
    <w:p>
      <w:pPr>
        <w:pStyle w:val="Heading1"/>
        <w:spacing w:after="180" w:before="360"/>
      </w:pPr>
      <w:r>
        <w:rPr>
          <w:rFonts w:ascii="Times New Roman" w:cs="Times New Roman" w:eastAsia="Times New Roman" w:hAnsi="Times New Roman"/>
          <w:b/>
          <w:bCs/>
          <w:color w:val="000000"/>
          <w:sz w:val="28"/>
          <w:szCs w:val="28"/>
        </w:rPr>
        <w:t xml:space="preserve">1. Introduction</w:t>
      </w:r>
    </w:p>
    <w:p>
      <w:pPr>
        <w:spacing w:after="160" w:line="360" w:lineRule="auto"/>
        <w:ind w:firstLine="720"/>
        <w:jc w:val="both"/>
      </w:pPr>
      <w:r>
        <w:rPr>
          <w:rFonts w:ascii="Times New Roman" w:cs="Times New Roman" w:eastAsia="Times New Roman" w:hAnsi="Times New Roman"/>
          <w:sz w:val="22"/>
          <w:szCs w:val="22"/>
        </w:rPr>
        <w:t xml:space="preserve">Higher education institutions depend on the sustained commitment and energy of their academic staff to fulfil their teaching, research, and community missions. Work engagement — the state of vigour, dedication, and absorption that faculty members bring to their professional roles (Schaufeli et al., 2006) — has emerged as one of the most consequential outcomes in organisational behaviour research, consistently linked to performance quality, retention, and student outcomes (Christian et al., 2011). Understanding what drives engagement among university faculty is therefore not merely a theoretical exercise; it carries direct practical implications for institutional governance and human resource management.</w:t>
      </w:r>
    </w:p>
    <w:p>
      <w:pPr>
        <w:spacing w:after="160" w:line="360" w:lineRule="auto"/>
        <w:ind w:firstLine="720"/>
        <w:jc w:val="both"/>
      </w:pPr>
      <w:r>
        <w:rPr>
          <w:rFonts w:ascii="Times New Roman" w:cs="Times New Roman" w:eastAsia="Times New Roman" w:hAnsi="Times New Roman"/>
          <w:sz w:val="22"/>
          <w:szCs w:val="22"/>
        </w:rPr>
        <w:t xml:space="preserve">Palestinian higher education operates within an exceptionally demanding context. Universities such as Al-Quds Open University (QOU) function under prolonged political instability, constrained public funding, geographic dispersion across conflict-affected territories, and the added complexity of sustaining academic operations in Gaza under conditions of blockade. Within this environment, questions about what sustains or undermines faculty engagement are pressing but remain largely unexamined empirically. Most existing research on academic engagement draws on samples from stable, well-resourced settings, leaving a significant contextual gap.</w:t>
      </w:r>
    </w:p>
    <w:p>
      <w:pPr>
        <w:spacing w:after="160" w:line="360" w:lineRule="auto"/>
        <w:ind w:firstLine="720"/>
        <w:jc w:val="both"/>
      </w:pPr>
      <w:r>
        <w:rPr>
          <w:rFonts w:ascii="Times New Roman" w:cs="Times New Roman" w:eastAsia="Times New Roman" w:hAnsi="Times New Roman"/>
          <w:sz w:val="22"/>
          <w:szCs w:val="22"/>
        </w:rPr>
        <w:t xml:space="preserve">Psychological capital (PsyCap), a compound construct comprising self-efficacy, hope, resilience, and optimism (Luthans et al., 2007a), has attracted growing attention as a portable psychological resource that helps individuals navigate demanding work environments. Meta-analytic evidence confirms its positive association with engagement and satisfaction across organisational settings (Avey et al., 2011), and there are theoretical reasons to expect its effects to be particularly salient in high-demand contexts. Yet whether and how these mechanisms operate among Palestinian university faculty has not been systematically studied.</w:t>
      </w:r>
    </w:p>
    <w:p>
      <w:pPr>
        <w:spacing w:after="160" w:line="360" w:lineRule="auto"/>
        <w:ind w:firstLine="720"/>
        <w:jc w:val="both"/>
      </w:pPr>
      <w:r>
        <w:rPr>
          <w:rFonts w:ascii="Times New Roman" w:cs="Times New Roman" w:eastAsia="Times New Roman" w:hAnsi="Times New Roman"/>
          <w:sz w:val="22"/>
          <w:szCs w:val="22"/>
        </w:rPr>
        <w:t xml:space="preserve">This study addresses that gap. Using a sample of 270 faculty members drawn from all fifteen QOU branches across the West Bank and Gaza Strip, we test a mediation model in which job satisfaction transmits part of PsyCap's effect on work engagement. The research makes three contributions. First, it extends PsyCap research into Palestinian higher education, a context characterised by adversity conditions rarely examined in the organisational behaviour literature. Second, it provides empirical evidence on the relative predictive power of PsyCap and job satisfaction as drivers of engagement in an academic setting. Third, it offers actionable guidance for QOU administrators seeking to enhance faculty engagement through both psychological resource development and institutional reforms.</w:t>
      </w:r>
    </w:p>
    <w:p>
      <w:pPr>
        <w:spacing w:after="160" w:line="360" w:lineRule="auto"/>
        <w:ind w:firstLine="720"/>
        <w:jc w:val="both"/>
      </w:pPr>
      <w:r>
        <w:rPr>
          <w:rFonts w:ascii="Times New Roman" w:cs="Times New Roman" w:eastAsia="Times New Roman" w:hAnsi="Times New Roman"/>
          <w:sz w:val="22"/>
          <w:szCs w:val="22"/>
        </w:rPr>
        <w:t xml:space="preserve">The paper proceeds as follows. Section 2 reviews the theoretical foundations and prior empirical evidence underpinning the study's hypotheses. Section 3 describes the research design and analytical approach. Section 4 presents the results. Section 5 discusses the findings in relation to the literature and their implications for practice. Section 6 concludes.</w:t>
      </w:r>
    </w:p>
    <w:p>
      <w:r>
        <w:rPr>
          <w:sz w:val="22"/>
          <w:szCs w:val="22"/>
        </w:rPr>
        <w:t xml:space="preserve"/>
      </w:r>
    </w:p>
    <w:p>
      <w:pPr>
        <w:pStyle w:val="Heading1"/>
        <w:spacing w:after="180" w:before="360"/>
      </w:pPr>
      <w:r>
        <w:rPr>
          <w:rFonts w:ascii="Times New Roman" w:cs="Times New Roman" w:eastAsia="Times New Roman" w:hAnsi="Times New Roman"/>
          <w:b/>
          <w:bCs/>
          <w:color w:val="000000"/>
          <w:sz w:val="28"/>
          <w:szCs w:val="28"/>
        </w:rPr>
        <w:t xml:space="preserve">2. Literature Review and Hypotheses</w:t>
      </w:r>
    </w:p>
    <w:p>
      <w:pPr>
        <w:pStyle w:val="Heading2"/>
        <w:spacing w:after="120" w:before="240"/>
      </w:pPr>
      <w:r>
        <w:rPr>
          <w:rFonts w:ascii="Times New Roman" w:cs="Times New Roman" w:eastAsia="Times New Roman" w:hAnsi="Times New Roman"/>
          <w:b/>
          <w:bCs/>
          <w:color w:val="000000"/>
          <w:sz w:val="24"/>
          <w:szCs w:val="24"/>
        </w:rPr>
        <w:t xml:space="preserve">2.1 Psychological Capital</w:t>
      </w:r>
    </w:p>
    <w:p>
      <w:pPr>
        <w:spacing w:after="160" w:line="360" w:lineRule="auto"/>
        <w:ind w:firstLine="720"/>
        <w:jc w:val="both"/>
      </w:pPr>
      <w:r>
        <w:rPr>
          <w:rFonts w:ascii="Times New Roman" w:cs="Times New Roman" w:eastAsia="Times New Roman" w:hAnsi="Times New Roman"/>
          <w:sz w:val="22"/>
          <w:szCs w:val="22"/>
        </w:rPr>
        <w:t xml:space="preserve">Psychological capital is a second-order construct of positive psychological resources developed within the positive organisational behaviour framework (Luthans &amp; Youssef, 2004). It integrates four empirically distinguishable yet intercorrelated dimensions: self-efficacy (confidence in one's ability to mobilise the motivation, cognitive resources, and courses of action needed to succeed), hope (perseverance toward goals and the capacity to generate pathways around obstacles), resilience (the ability to sustain or bounce back from adversity), and optimism (a positive expectancy about future outcomes) (Luthans et al., 2007a). What distinguishes PsyCap from related constructs is its state-like quality: it is relatively stable yet malleable through targeted interventions, making it a strategic human resource development target (Luthans &amp; Youssef-Morgan, 2017).</w:t>
      </w:r>
    </w:p>
    <w:p>
      <w:pPr>
        <w:spacing w:after="160" w:line="360" w:lineRule="auto"/>
        <w:ind w:firstLine="720"/>
        <w:jc w:val="both"/>
      </w:pPr>
      <w:r>
        <w:rPr>
          <w:rFonts w:ascii="Times New Roman" w:cs="Times New Roman" w:eastAsia="Times New Roman" w:hAnsi="Times New Roman"/>
          <w:sz w:val="22"/>
          <w:szCs w:val="22"/>
        </w:rPr>
        <w:t xml:space="preserve">The PCQ-24, developed and validated by Luthans et al. (2007b), is the standard measurement instrument for PsyCap and has demonstrated strong psychometric properties across diverse cultural and occupational settings. In the present study, the PCQ-24 yielded a Cronbach's alpha of .939, consistent with prior validation studies and confirming its suitability for the Palestinian academic context.</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2.2 Work Engagement</w:t>
      </w:r>
    </w:p>
    <w:p>
      <w:pPr>
        <w:spacing w:after="160" w:line="360" w:lineRule="auto"/>
        <w:ind w:firstLine="720"/>
        <w:jc w:val="both"/>
      </w:pPr>
      <w:r>
        <w:rPr>
          <w:rFonts w:ascii="Times New Roman" w:cs="Times New Roman" w:eastAsia="Times New Roman" w:hAnsi="Times New Roman"/>
          <w:sz w:val="22"/>
          <w:szCs w:val="22"/>
        </w:rPr>
        <w:t xml:space="preserve">Work engagement is defined as a positive, fulfilling, work-related state of mind characterised by vigour (high energy and mental resilience), dedication (strong involvement and sense of significance), and absorption (full concentration in one's work) (Schaufeli et al., 2006). It is conceptually distinct from job satisfaction (an evaluative attitude) and from performance (a behavioural outcome), though it is empirically associated with both (Christian et al., 2011). For university faculty, engagement manifests as intellectual investment in teaching and research, enthusiasm for students, and persistence through the demands of academic life.</w:t>
      </w:r>
    </w:p>
    <w:p>
      <w:pPr>
        <w:spacing w:after="160" w:line="360" w:lineRule="auto"/>
        <w:ind w:firstLine="720"/>
        <w:jc w:val="both"/>
      </w:pPr>
      <w:r>
        <w:rPr>
          <w:rFonts w:ascii="Times New Roman" w:cs="Times New Roman" w:eastAsia="Times New Roman" w:hAnsi="Times New Roman"/>
          <w:sz w:val="22"/>
          <w:szCs w:val="22"/>
        </w:rPr>
        <w:t xml:space="preserve">The JD-R model (Bakker &amp; Demerouti, 2008) provides the dominant theoretical framework for understanding engagement antecedents. Within this model, both personal resources — such as PsyCap — and job resources contribute to a motivational pathway that sustains engagement. The UWES-9, used in this study (α = .890), is the most widely validated instrument for measuring work engagement across cultures.</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2.3 Job Satisfaction</w:t>
      </w:r>
    </w:p>
    <w:p>
      <w:pPr>
        <w:spacing w:after="160" w:line="360" w:lineRule="auto"/>
        <w:ind w:firstLine="720"/>
        <w:jc w:val="both"/>
      </w:pPr>
      <w:r>
        <w:rPr>
          <w:rFonts w:ascii="Times New Roman" w:cs="Times New Roman" w:eastAsia="Times New Roman" w:hAnsi="Times New Roman"/>
          <w:sz w:val="22"/>
          <w:szCs w:val="22"/>
        </w:rPr>
        <w:t xml:space="preserve">Job satisfaction represents a person's evaluative response to their job and work conditions, encompassing assessments of intrinsic facets (achievement, autonomy, variety) and extrinsic facets (pay, supervision, advancement) (Weiss et al., 1967). In higher education, faculty satisfaction is shaped by a distinctive set of factors including academic freedom, teaching conditions, institutional support, and — particularly in resource-constrained settings — compensation adequacy. The MSQ-20 (Weiss et al., 1967), used here (α = .939), captures this breadth across twenty distinct satisfaction facets.</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2.4 PsyCap and Work Engagement (H1)</w:t>
      </w:r>
    </w:p>
    <w:p>
      <w:pPr>
        <w:spacing w:after="160" w:line="360" w:lineRule="auto"/>
        <w:ind w:firstLine="720"/>
        <w:jc w:val="both"/>
      </w:pPr>
      <w:r>
        <w:rPr>
          <w:rFonts w:ascii="Times New Roman" w:cs="Times New Roman" w:eastAsia="Times New Roman" w:hAnsi="Times New Roman"/>
          <w:sz w:val="22"/>
          <w:szCs w:val="22"/>
        </w:rPr>
        <w:t xml:space="preserve">The relationship between PsyCap and work engagement is theoretically grounded in the JD-R model's resource conservation mechanism: individuals with richer personal resource pools are better equipped to meet job demands and sustain motivational investment in their work. Avey et al.'s (2011) meta-analysis of 51 independent samples reported a corrected mean correlation of ρ = .47 between PsyCap and work engagement. Study-level findings in academic settings have produced similar estimates, including Wahid Hasyim et al. (2019), who reported β = .57 among Indonesian university staff. Pratiwi et al. (2024) found that PsyCap accounted for 46.1% of variance in engagement among private university lecturers in Bandung, though the smaller sample (N = 50) in that study likely inflated the estimate. Based on this evidence, we hypothesise:</w:t>
      </w:r>
    </w:p>
    <w:p>
      <w:pPr>
        <w:spacing w:after="160" w:line="360" w:lineRule="auto"/>
        <w:jc w:val="both"/>
      </w:pPr>
      <w:r>
        <w:rPr>
          <w:rFonts w:ascii="Times New Roman" w:cs="Times New Roman" w:eastAsia="Times New Roman" w:hAnsi="Times New Roman"/>
          <w:b/>
          <w:bCs/>
          <w:i w:val="false"/>
          <w:iCs w:val="false"/>
          <w:sz w:val="22"/>
          <w:szCs w:val="22"/>
        </w:rPr>
        <w:t xml:space="preserve">H1: </w:t>
      </w:r>
      <w:r>
        <w:rPr>
          <w:rFonts w:ascii="Times New Roman" w:cs="Times New Roman" w:eastAsia="Times New Roman" w:hAnsi="Times New Roman"/>
          <w:b w:val="false"/>
          <w:bCs w:val="false"/>
          <w:i w:val="false"/>
          <w:iCs w:val="false"/>
          <w:sz w:val="22"/>
          <w:szCs w:val="22"/>
        </w:rPr>
        <w:t xml:space="preserve">Psychological capital has a significant positive effect on work engagement among faculty members at Al-Quds Open University.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2.5 PsyCap and Job Satisfaction (H2)</w:t>
      </w:r>
    </w:p>
    <w:p>
      <w:pPr>
        <w:spacing w:after="160" w:line="360" w:lineRule="auto"/>
        <w:ind w:firstLine="720"/>
        <w:jc w:val="both"/>
      </w:pPr>
      <w:r>
        <w:rPr>
          <w:rFonts w:ascii="Times New Roman" w:cs="Times New Roman" w:eastAsia="Times New Roman" w:hAnsi="Times New Roman"/>
          <w:sz w:val="22"/>
          <w:szCs w:val="22"/>
        </w:rPr>
        <w:t xml:space="preserve">PsyCap's effect on job satisfaction is well established in the foundational validation literature (Luthans et al., 2007a) and across subsequent empirical work. The mechanism is consistent with Conservation of Resources theory (Hobfoll, 1989): individuals who possess greater psychological resources appraise their work environments more positively, tolerate frustrations better, and extract more satisfaction from professional contributions even under adverse conditions. Lubis et al. (2025) reported a standardised coefficient of β = .538 for this path among Indonesian nurses, closely approximating the present study's anticipated effect. Avey et al.'s (2011) meta-analysis reported ρ = .43. Accordingly:</w:t>
      </w:r>
    </w:p>
    <w:p>
      <w:pPr>
        <w:spacing w:after="160" w:line="360" w:lineRule="auto"/>
        <w:jc w:val="both"/>
      </w:pPr>
      <w:r>
        <w:rPr>
          <w:rFonts w:ascii="Times New Roman" w:cs="Times New Roman" w:eastAsia="Times New Roman" w:hAnsi="Times New Roman"/>
          <w:b/>
          <w:bCs/>
          <w:i w:val="false"/>
          <w:iCs w:val="false"/>
          <w:sz w:val="22"/>
          <w:szCs w:val="22"/>
        </w:rPr>
        <w:t xml:space="preserve">H2: </w:t>
      </w:r>
      <w:r>
        <w:rPr>
          <w:rFonts w:ascii="Times New Roman" w:cs="Times New Roman" w:eastAsia="Times New Roman" w:hAnsi="Times New Roman"/>
          <w:b w:val="false"/>
          <w:bCs w:val="false"/>
          <w:i w:val="false"/>
          <w:iCs w:val="false"/>
          <w:sz w:val="22"/>
          <w:szCs w:val="22"/>
        </w:rPr>
        <w:t xml:space="preserve">Psychological capital has a significant positive effect on job satisfaction among faculty members at Al-Quds Open University.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2.6 Job Satisfaction and Work Engagement (H3)</w:t>
      </w:r>
    </w:p>
    <w:p>
      <w:pPr>
        <w:spacing w:after="160" w:line="360" w:lineRule="auto"/>
        <w:ind w:firstLine="720"/>
        <w:jc w:val="both"/>
      </w:pPr>
      <w:r>
        <w:rPr>
          <w:rFonts w:ascii="Times New Roman" w:cs="Times New Roman" w:eastAsia="Times New Roman" w:hAnsi="Times New Roman"/>
          <w:sz w:val="22"/>
          <w:szCs w:val="22"/>
        </w:rPr>
        <w:t xml:space="preserve">Whereas PsyCap represents a distal, resource-based antecedent of engagement, job satisfaction functions as a more proximal driver, directly reflecting the degree to which faculty members' professional expectations are met. Satisfied employees are more likely to invest discretionary effort and sustain engagement beyond minimum role requirements (Bakker &amp; Demerouti, 2008). In academic settings specifically, Ludviga and Kalvina (2016) demonstrated that satisfaction and engagement are closely linked among academic staff, with satisfaction acting as a gateway to deeper work investment. Lubis et al. (2025) reported β = .527 for this path. Given the structural dissatisfaction risks evident in the QOU context — notably regarding compensation — the satisfaction–engagement relationship merits particular attention:</w:t>
      </w:r>
    </w:p>
    <w:p>
      <w:pPr>
        <w:spacing w:after="160" w:line="360" w:lineRule="auto"/>
        <w:jc w:val="both"/>
      </w:pPr>
      <w:r>
        <w:rPr>
          <w:rFonts w:ascii="Times New Roman" w:cs="Times New Roman" w:eastAsia="Times New Roman" w:hAnsi="Times New Roman"/>
          <w:b/>
          <w:bCs/>
          <w:i w:val="false"/>
          <w:iCs w:val="false"/>
          <w:sz w:val="22"/>
          <w:szCs w:val="22"/>
        </w:rPr>
        <w:t xml:space="preserve">H3: </w:t>
      </w:r>
      <w:r>
        <w:rPr>
          <w:rFonts w:ascii="Times New Roman" w:cs="Times New Roman" w:eastAsia="Times New Roman" w:hAnsi="Times New Roman"/>
          <w:b w:val="false"/>
          <w:bCs w:val="false"/>
          <w:i w:val="false"/>
          <w:iCs w:val="false"/>
          <w:sz w:val="22"/>
          <w:szCs w:val="22"/>
        </w:rPr>
        <w:t xml:space="preserve">Job satisfaction has a significant positive effect on work engagement among faculty members at Al-Quds Open University.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2.7 The Mediating Role of Job Satisfaction (H4)</w:t>
      </w:r>
    </w:p>
    <w:p>
      <w:pPr>
        <w:spacing w:after="160" w:line="360" w:lineRule="auto"/>
        <w:ind w:firstLine="720"/>
        <w:jc w:val="both"/>
      </w:pPr>
      <w:r>
        <w:rPr>
          <w:rFonts w:ascii="Times New Roman" w:cs="Times New Roman" w:eastAsia="Times New Roman" w:hAnsi="Times New Roman"/>
          <w:sz w:val="22"/>
          <w:szCs w:val="22"/>
        </w:rPr>
        <w:t xml:space="preserve">If PsyCap enhances job satisfaction (H2) and job satisfaction in turn promotes engagement (H3), then job satisfaction may function as a mediator in the PsyCap–engagement relationship. This is theoretically consistent with a sequential resource activation process: PsyCap generates positive appraisals of the work environment, which accumulate as job satisfaction, which then energises and sustains engagement. Lubis et al. (2025) confirmed partial mediation in a nursing sample (indirect effect = .678), and Wahid Hasyim et al. (2019) demonstrated PsyCap's mediating role in a related academic engagement model. The present study tests this pathway directly in the Palestinian higher education context:</w:t>
      </w:r>
    </w:p>
    <w:p>
      <w:pPr>
        <w:spacing w:after="160" w:line="360" w:lineRule="auto"/>
        <w:jc w:val="both"/>
      </w:pPr>
      <w:r>
        <w:rPr>
          <w:rFonts w:ascii="Times New Roman" w:cs="Times New Roman" w:eastAsia="Times New Roman" w:hAnsi="Times New Roman"/>
          <w:b/>
          <w:bCs/>
          <w:i w:val="false"/>
          <w:iCs w:val="false"/>
          <w:sz w:val="22"/>
          <w:szCs w:val="22"/>
        </w:rPr>
        <w:t xml:space="preserve">H4: </w:t>
      </w:r>
      <w:r>
        <w:rPr>
          <w:rFonts w:ascii="Times New Roman" w:cs="Times New Roman" w:eastAsia="Times New Roman" w:hAnsi="Times New Roman"/>
          <w:b w:val="false"/>
          <w:bCs w:val="false"/>
          <w:i w:val="false"/>
          <w:iCs w:val="false"/>
          <w:sz w:val="22"/>
          <w:szCs w:val="22"/>
        </w:rPr>
        <w:t xml:space="preserve">Job satisfaction partially mediates the relationship between psychological capital and work engagement among faculty members at Al-Quds Open University.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2.8 Conceptual Framework</w:t>
      </w:r>
    </w:p>
    <w:p>
      <w:pPr>
        <w:spacing w:after="160" w:line="360" w:lineRule="auto"/>
        <w:ind w:firstLine="720"/>
        <w:jc w:val="both"/>
      </w:pPr>
      <w:r>
        <w:rPr>
          <w:rFonts w:ascii="Times New Roman" w:cs="Times New Roman" w:eastAsia="Times New Roman" w:hAnsi="Times New Roman"/>
          <w:sz w:val="22"/>
          <w:szCs w:val="22"/>
        </w:rPr>
        <w:t xml:space="preserve">Figure 1 illustrates the conceptual framework guiding this study.</w:t>
      </w:r>
    </w:p>
    <w:p>
      <w:r>
        <w:rPr>
          <w:sz w:val="22"/>
          <w:szCs w:val="22"/>
        </w:rPr>
        <w:t xml:space="preserve"/>
      </w:r>
    </w:p>
    <w:p>
      <w:pPr>
        <w:spacing w:after="8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80" w:before="160"/>
        <w:jc w:val="center"/>
      </w:pPr>
      <w:r>
        <w:rPr>
          <w:rFonts w:ascii="Times New Roman" w:cs="Times New Roman" w:eastAsia="Times New Roman" w:hAnsi="Times New Roman"/>
          <w:b/>
          <w:bCs/>
          <w:sz w:val="20"/>
          <w:szCs w:val="20"/>
        </w:rPr>
        <w:t xml:space="preserve">Figure 1. Conceptual Framework: Psychological Capital, Job Satisfaction, and Work Engagement</w:t>
      </w:r>
    </w:p>
    <w:p>
      <w:r>
        <w:rPr>
          <w:sz w:val="22"/>
          <w:szCs w:val="22"/>
        </w:rPr>
        <w:t xml:space="preserve"/>
      </w:r>
    </w:p>
    <w:p>
      <w:r>
        <w:br w:type="page"/>
      </w:r>
    </w:p>
    <w:p>
      <w:pPr>
        <w:pStyle w:val="Heading1"/>
        <w:spacing w:after="180" w:before="360"/>
      </w:pPr>
      <w:r>
        <w:rPr>
          <w:rFonts w:ascii="Times New Roman" w:cs="Times New Roman" w:eastAsia="Times New Roman" w:hAnsi="Times New Roman"/>
          <w:b/>
          <w:bCs/>
          <w:color w:val="000000"/>
          <w:sz w:val="28"/>
          <w:szCs w:val="28"/>
        </w:rPr>
        <w:t xml:space="preserve">3. Methodology</w:t>
      </w:r>
    </w:p>
    <w:p>
      <w:pPr>
        <w:pStyle w:val="Heading2"/>
        <w:spacing w:after="120" w:before="240"/>
      </w:pPr>
      <w:r>
        <w:rPr>
          <w:rFonts w:ascii="Times New Roman" w:cs="Times New Roman" w:eastAsia="Times New Roman" w:hAnsi="Times New Roman"/>
          <w:b/>
          <w:bCs/>
          <w:color w:val="000000"/>
          <w:sz w:val="24"/>
          <w:szCs w:val="24"/>
        </w:rPr>
        <w:t xml:space="preserve">3.1 Research Design</w:t>
      </w:r>
    </w:p>
    <w:p>
      <w:pPr>
        <w:spacing w:after="160" w:line="360" w:lineRule="auto"/>
        <w:ind w:firstLine="720"/>
        <w:jc w:val="both"/>
      </w:pPr>
      <w:r>
        <w:rPr>
          <w:rFonts w:ascii="Times New Roman" w:cs="Times New Roman" w:eastAsia="Times New Roman" w:hAnsi="Times New Roman"/>
          <w:sz w:val="22"/>
          <w:szCs w:val="22"/>
        </w:rPr>
        <w:t xml:space="preserve">This study adopts a quantitative, cross-sectional survey design, appropriate for examining relationships among psychological and attitudinal constructs in a defined population at a single point in time (Wolf et al., 2013). While cross-sectional designs preclude causal inference, they are well-suited to hypothesis testing in descriptive and exploratory research where longitudinal data collection is not feasible.</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3.2 Setting and Population</w:t>
      </w:r>
    </w:p>
    <w:p>
      <w:pPr>
        <w:spacing w:after="160" w:line="360" w:lineRule="auto"/>
        <w:ind w:firstLine="720"/>
        <w:jc w:val="both"/>
      </w:pPr>
      <w:r>
        <w:rPr>
          <w:rFonts w:ascii="Times New Roman" w:cs="Times New Roman" w:eastAsia="Times New Roman" w:hAnsi="Times New Roman"/>
          <w:sz w:val="22"/>
          <w:szCs w:val="22"/>
        </w:rPr>
        <w:t xml:space="preserve">Al-Quds Open University is the largest institution of higher education in Palestine by student enrolment, operating through a geographically dispersed network of fifteen branches spanning the West Bank — including Hebron, Ramallah, Nablus, Bethlehem, Tulkarm, Jenin, Jericho, Qalqilya, Tubas, Salfit, and Jerusalem — and the Gaza Strip, including Gaza City, Khan Yunis, Rafah, North Gaza, and Deir al-Balah. This breadth makes QOU a uniquely representative lens through which to examine academic staff experiences across the diverse geopolitical and institutional conditions of Palestinian higher education.</w:t>
      </w:r>
    </w:p>
    <w:p>
      <w:pPr>
        <w:spacing w:after="160" w:line="360" w:lineRule="auto"/>
        <w:ind w:firstLine="720"/>
        <w:jc w:val="both"/>
      </w:pPr>
      <w:r>
        <w:rPr>
          <w:rFonts w:ascii="Times New Roman" w:cs="Times New Roman" w:eastAsia="Times New Roman" w:hAnsi="Times New Roman"/>
          <w:sz w:val="22"/>
          <w:szCs w:val="22"/>
        </w:rPr>
        <w:t xml:space="preserve">The target population comprised all full-time faculty members employed across QOU's fifteen branches. Stratified random sampling was employed to ensure proportional representation across branches and academic ranks, consistent with best practice for survey-based research in educational organisations (Kelley et al., 2003).</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3.3 Sample</w:t>
      </w:r>
    </w:p>
    <w:p>
      <w:pPr>
        <w:spacing w:after="160" w:line="360" w:lineRule="auto"/>
        <w:ind w:firstLine="720"/>
        <w:jc w:val="both"/>
      </w:pPr>
      <w:r>
        <w:rPr>
          <w:rFonts w:ascii="Times New Roman" w:cs="Times New Roman" w:eastAsia="Times New Roman" w:hAnsi="Times New Roman"/>
          <w:sz w:val="22"/>
          <w:szCs w:val="22"/>
        </w:rPr>
        <w:t xml:space="preserve">A total of 270 faculty members participated in the study. The sample was predominantly male (64.1%, n = 173), with a significant female representation (35.9%, n = 97) consistent with gender distribution patterns documented in Palestinian academic institutions. The largest age group was 41–50 years (32.6%), followed by 51–60 years (29.6%), indicating a mature and experienced workforce. Assistant Professor was the most common academic rank (34.8%), followed by Lecturer (28.9%), Associate Professor (23.7%), and Full Professor (12.6%). The majority held a Master's degree (75.9%), with 19.6% holding a Bachelor's and 4.4% a PhD. Years of experience at QOU were well-distributed across five categories, with 11–15 years being most common (24.8%). All fifteen QOU branches were represented, with the largest contributions from Hebron (14.1%), Ramallah (13.7%), and Nablus (13.3%).</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3.4 Instruments</w:t>
      </w:r>
    </w:p>
    <w:p>
      <w:pPr>
        <w:spacing w:after="160" w:line="360" w:lineRule="auto"/>
        <w:ind w:firstLine="720"/>
        <w:jc w:val="both"/>
      </w:pPr>
      <w:r>
        <w:rPr>
          <w:rFonts w:ascii="Times New Roman" w:cs="Times New Roman" w:eastAsia="Times New Roman" w:hAnsi="Times New Roman"/>
          <w:sz w:val="22"/>
          <w:szCs w:val="22"/>
        </w:rPr>
        <w:t xml:space="preserve">Three validated self-report instruments were used, all administered in English given the academic nature of the sample.</w:t>
      </w:r>
    </w:p>
    <w:p>
      <w:pPr>
        <w:spacing w:after="160" w:line="360" w:lineRule="auto"/>
        <w:ind w:firstLine="720"/>
        <w:jc w:val="both"/>
      </w:pPr>
      <w:r>
        <w:rPr>
          <w:rFonts w:ascii="Times New Roman" w:cs="Times New Roman" w:eastAsia="Times New Roman" w:hAnsi="Times New Roman"/>
          <w:b/>
          <w:bCs/>
          <w:i w:val="false"/>
          <w:iCs w:val="false"/>
          <w:sz w:val="22"/>
          <w:szCs w:val="22"/>
        </w:rPr>
        <w:t xml:space="preserve">Psychological Capital (PCQ-24). </w:t>
      </w:r>
      <w:r>
        <w:rPr>
          <w:rFonts w:ascii="Times New Roman" w:cs="Times New Roman" w:eastAsia="Times New Roman" w:hAnsi="Times New Roman"/>
          <w:b w:val="false"/>
          <w:bCs w:val="false"/>
          <w:i w:val="false"/>
          <w:iCs w:val="false"/>
          <w:sz w:val="22"/>
          <w:szCs w:val="22"/>
        </w:rPr>
        <w:t xml:space="preserve">The 24-item Psychological Capital Questionnaire (Luthans et al., 2007b) measures the four PsyCap dimensions — self-efficacy (6 items), hope (6 items), resilience (6 items), and optimism (6 items) — on a six-point Likert scale ranging from 1 (Strongly Disagree) to 6 (Strongly Agree). Three items (items 13, 20, and 23) are reverse-scored. In the present sample, the PCQ-24 yielded a Cronbach's alpha of .939, indicating excellent internal consistency.</w:t>
      </w:r>
    </w:p>
    <w:p>
      <w:pPr>
        <w:spacing w:after="160" w:line="360" w:lineRule="auto"/>
        <w:ind w:firstLine="720"/>
        <w:jc w:val="both"/>
      </w:pPr>
      <w:r>
        <w:rPr>
          <w:rFonts w:ascii="Times New Roman" w:cs="Times New Roman" w:eastAsia="Times New Roman" w:hAnsi="Times New Roman"/>
          <w:b/>
          <w:bCs/>
          <w:i w:val="false"/>
          <w:iCs w:val="false"/>
          <w:sz w:val="22"/>
          <w:szCs w:val="22"/>
        </w:rPr>
        <w:t xml:space="preserve">Work Engagement (UWES-9). </w:t>
      </w:r>
      <w:r>
        <w:rPr>
          <w:rFonts w:ascii="Times New Roman" w:cs="Times New Roman" w:eastAsia="Times New Roman" w:hAnsi="Times New Roman"/>
          <w:b w:val="false"/>
          <w:bCs w:val="false"/>
          <w:i w:val="false"/>
          <w:iCs w:val="false"/>
          <w:sz w:val="22"/>
          <w:szCs w:val="22"/>
        </w:rPr>
        <w:t xml:space="preserve">The nine-item Utrecht Work Engagement Scale (Schaufeli et al., 2006) measures vigour (3 items), dedication (3 items), and absorption (3 items) on a seven-point frequency scale ranging from 0 (Never) to 6 (Always). Cronbach's alpha in this study was .890, indicating good reliability.</w:t>
      </w:r>
    </w:p>
    <w:p>
      <w:pPr>
        <w:spacing w:after="160" w:line="360" w:lineRule="auto"/>
        <w:ind w:firstLine="720"/>
        <w:jc w:val="both"/>
      </w:pPr>
      <w:r>
        <w:rPr>
          <w:rFonts w:ascii="Times New Roman" w:cs="Times New Roman" w:eastAsia="Times New Roman" w:hAnsi="Times New Roman"/>
          <w:b/>
          <w:bCs/>
          <w:i w:val="false"/>
          <w:iCs w:val="false"/>
          <w:sz w:val="22"/>
          <w:szCs w:val="22"/>
        </w:rPr>
        <w:t xml:space="preserve">Job Satisfaction (MSQ-20). </w:t>
      </w:r>
      <w:r>
        <w:rPr>
          <w:rFonts w:ascii="Times New Roman" w:cs="Times New Roman" w:eastAsia="Times New Roman" w:hAnsi="Times New Roman"/>
          <w:b w:val="false"/>
          <w:bCs w:val="false"/>
          <w:i w:val="false"/>
          <w:iCs w:val="false"/>
          <w:sz w:val="22"/>
          <w:szCs w:val="22"/>
        </w:rPr>
        <w:t xml:space="preserve">The 20-item short form of the Minnesota Satisfaction Questionnaire (Weiss et al., 1967) assesses twenty facets of job satisfaction on a five-point scale from 1 (Very Dissatisfied) to 5 (Very Satisfied). Cronbach's alpha in this study was .939, indicating excellent reliability.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3.5 Data Collection</w:t>
      </w:r>
    </w:p>
    <w:p>
      <w:pPr>
        <w:spacing w:after="160" w:line="360" w:lineRule="auto"/>
        <w:ind w:firstLine="720"/>
        <w:jc w:val="both"/>
      </w:pPr>
      <w:r>
        <w:rPr>
          <w:rFonts w:ascii="Times New Roman" w:cs="Times New Roman" w:eastAsia="Times New Roman" w:hAnsi="Times New Roman"/>
          <w:sz w:val="22"/>
          <w:szCs w:val="22"/>
        </w:rPr>
        <w:t xml:space="preserve">An online questionnaire was distributed via the university's internal email system and academic platforms, with two follow-up reminders over a six-week data collection period. Participation was voluntary and anonymous. Informed consent was obtained electronically from all participants before accessing the questionnaire. The study was conducted in accordance with research ethics guidelines of Palestine Polytechnic University.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3.6 Data Analysis</w:t>
      </w:r>
    </w:p>
    <w:p>
      <w:pPr>
        <w:spacing w:after="160" w:line="360" w:lineRule="auto"/>
        <w:ind w:firstLine="720"/>
        <w:jc w:val="both"/>
      </w:pPr>
      <w:r>
        <w:rPr>
          <w:rFonts w:ascii="Times New Roman" w:cs="Times New Roman" w:eastAsia="Times New Roman" w:hAnsi="Times New Roman"/>
          <w:sz w:val="22"/>
          <w:szCs w:val="22"/>
        </w:rPr>
        <w:t xml:space="preserve">Data were analysed using IBM SPSS Statistics (Version 28). Preliminary analyses included verification of data quality (no missing values were detected), normality assessment via Kolmogorov-Smirnov and Shapiro-Wilk tests supplemented by skewness and kurtosis indices, and Levene's test for homogeneity of variance. Construct validity was evaluated through Exploratory Factor Analysis (EFA) with Principal Component Analysis extraction and Varimax rotation. Internal consistency was assessed via Cronbach's alpha. Pearson correlations examined bivariate relationships. Simple linear regression tested H1–H3. Mediation (H4) was tested using PROCESS Macro (Model 4; Hayes, 2022) with 5,000 bootstrap samples and bias-corrected 95% confidence intervals for the indirect effect.</w:t>
      </w:r>
    </w:p>
    <w:p>
      <w:r>
        <w:rPr>
          <w:sz w:val="22"/>
          <w:szCs w:val="22"/>
        </w:rPr>
        <w:t xml:space="preserve"/>
      </w:r>
    </w:p>
    <w:p>
      <w:r>
        <w:br w:type="page"/>
      </w:r>
    </w:p>
    <w:p>
      <w:pPr>
        <w:pStyle w:val="Heading1"/>
        <w:spacing w:after="180" w:before="360"/>
      </w:pPr>
      <w:r>
        <w:rPr>
          <w:rFonts w:ascii="Times New Roman" w:cs="Times New Roman" w:eastAsia="Times New Roman" w:hAnsi="Times New Roman"/>
          <w:b/>
          <w:bCs/>
          <w:color w:val="000000"/>
          <w:sz w:val="28"/>
          <w:szCs w:val="28"/>
        </w:rPr>
        <w:t xml:space="preserve">4. Results</w:t>
      </w:r>
    </w:p>
    <w:p>
      <w:pPr>
        <w:pStyle w:val="Heading2"/>
        <w:spacing w:after="120" w:before="240"/>
      </w:pPr>
      <w:r>
        <w:rPr>
          <w:rFonts w:ascii="Times New Roman" w:cs="Times New Roman" w:eastAsia="Times New Roman" w:hAnsi="Times New Roman"/>
          <w:b/>
          <w:bCs/>
          <w:color w:val="000000"/>
          <w:sz w:val="24"/>
          <w:szCs w:val="24"/>
        </w:rPr>
        <w:t xml:space="preserve">4.1 Preliminary Analyses</w:t>
      </w:r>
    </w:p>
    <w:p>
      <w:pPr>
        <w:spacing w:after="160" w:line="360" w:lineRule="auto"/>
        <w:ind w:firstLine="720"/>
        <w:jc w:val="both"/>
      </w:pPr>
      <w:r>
        <w:rPr>
          <w:rFonts w:ascii="Times New Roman" w:cs="Times New Roman" w:eastAsia="Times New Roman" w:hAnsi="Times New Roman"/>
          <w:sz w:val="22"/>
          <w:szCs w:val="22"/>
        </w:rPr>
        <w:t xml:space="preserve">All 270 cases were complete with no missing values. Normality was assessed via Kolmogorov-Smirnov (K-S) and Shapiro-Wilk (S-W) tests. Although formal tests yielded significant results for Work Engagement (K-S p &lt; .001) and Job Satisfaction (K-S p = .005) — a finding attributable to the sensitivity of these tests with N = 270 — distributional indices confirmed approximate normality across all variables. Skewness values ranged from −0.36 to −0.40 and kurtosis values from −0.13 to −0.31, all well within the ±2.0 and ±7.0 thresholds recommended by Tabachnick and Fidell (2019). Histograms, Q-Q plots, and the close agreement between means and medians provided further visual confirmation of acceptable distributions. Levene's Test of Homogeneity of Variances confirmed equal variances across gender groups for all three variables (PsyCap: F = 1.281, p = .259; Work Engagement: F = 0.022, p = .881; Job Satisfaction: F = 1.103, p = .294). Parametric procedures were therefore applied throughout.</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4.2 Reliability and Validity</w:t>
      </w:r>
    </w:p>
    <w:p>
      <w:pPr>
        <w:spacing w:after="160" w:line="360" w:lineRule="auto"/>
        <w:ind w:firstLine="720"/>
        <w:jc w:val="both"/>
      </w:pPr>
      <w:r>
        <w:rPr>
          <w:rFonts w:ascii="Times New Roman" w:cs="Times New Roman" w:eastAsia="Times New Roman" w:hAnsi="Times New Roman"/>
          <w:sz w:val="22"/>
          <w:szCs w:val="22"/>
        </w:rPr>
        <w:t xml:space="preserve">Table 1 summarises reliability and validity indicators across the three measurement instruments. All scales demonstrated strong internal consistency, with Cronbach's alpha values of .939 (PCQ-24), .890 (UWES-9), and .939 (MSQ-20). Exploratory Factor Analysis confirmed the expected factor structures: four components for the PCQ-24 (explaining 59.32% of variance), one component for the UWES-9 (53.24%), and two components for the MSQ-20 (50.81%). KMO values were .952, .914, and .965 respectively — all classified as 'marvelous' by Kaiser (1974). Bartlett's Tests were highly significant (p &lt; .001) in all cases. All item loadings exceeded the .40 threshold.</w:t>
      </w:r>
    </w:p>
    <w:p>
      <w:r>
        <w:rPr>
          <w:sz w:val="22"/>
          <w:szCs w:val="22"/>
        </w:rPr>
        <w:t xml:space="preserve"/>
      </w:r>
    </w:p>
    <w:p>
      <w:pPr>
        <w:spacing w:after="80" w:before="160"/>
        <w:jc w:val="center"/>
      </w:pPr>
      <w:r>
        <w:rPr>
          <w:rFonts w:ascii="Times New Roman" w:cs="Times New Roman" w:eastAsia="Times New Roman" w:hAnsi="Times New Roman"/>
          <w:b/>
          <w:bCs/>
          <w:sz w:val="20"/>
          <w:szCs w:val="20"/>
        </w:rPr>
        <w:t xml:space="preserve">Table 1. Reliability and Construct Validity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300"/>
        <w:gridCol w:w="1300"/>
        <w:gridCol w:w="1760"/>
      </w:tblGrid>
      <w:tr>
        <w:tc>
          <w:tcPr>
            <w:tcW w:type="dxa" w:w="22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Scale</w:t>
            </w:r>
          </w:p>
        </w:tc>
        <w:tc>
          <w:tcPr>
            <w:tcW w:type="dxa" w:w="8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Items</w:t>
            </w:r>
          </w:p>
        </w:tc>
        <w:tc>
          <w:tcPr>
            <w:tcW w:type="dxa" w:w="10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α</w:t>
            </w:r>
          </w:p>
        </w:tc>
        <w:tc>
          <w:tcPr>
            <w:tcW w:type="dxa" w:w="10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KMO</w:t>
            </w:r>
          </w:p>
        </w:tc>
        <w:tc>
          <w:tcPr>
            <w:tcW w:type="dxa" w:w="13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Bartlett χ²</w:t>
            </w:r>
          </w:p>
        </w:tc>
        <w:tc>
          <w:tcPr>
            <w:tcW w:type="dxa" w:w="13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Factors</w:t>
            </w:r>
          </w:p>
        </w:tc>
        <w:tc>
          <w:tcPr>
            <w:tcW w:type="dxa" w:w="176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Variance Explained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PCQ-24 (PsyCap)</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.939</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.952</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3086.08***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59.32%</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UWES-9 (Work Engagement)</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.890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.914</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1044.83***</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53.24%</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MSQ-20 (Job Satisfaction)</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.939</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.965</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2459.79***</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50.81%</w:t>
            </w:r>
          </w:p>
        </w:tc>
      </w:tr>
    </w:tbl>
    <w:p>
      <w:pPr>
        <w:spacing w:after="160"/>
        <w:jc w:val="left"/>
      </w:pPr>
      <w:r>
        <w:rPr>
          <w:rFonts w:ascii="Times New Roman" w:cs="Times New Roman" w:eastAsia="Times New Roman" w:hAnsi="Times New Roman"/>
          <w:i/>
          <w:iCs/>
          <w:sz w:val="19"/>
          <w:szCs w:val="19"/>
        </w:rPr>
        <w:t xml:space="preserve">Note. *** p &lt; .001. α = Cronbach's alpha. KMO = Kaiser-Meyer-Olkin measure of sampling adequacy.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4.3 Descriptive Statistics and Correlations</w:t>
      </w:r>
    </w:p>
    <w:p>
      <w:pPr>
        <w:spacing w:after="160" w:line="360" w:lineRule="auto"/>
        <w:ind w:firstLine="720"/>
        <w:jc w:val="both"/>
      </w:pPr>
      <w:r>
        <w:rPr>
          <w:rFonts w:ascii="Times New Roman" w:cs="Times New Roman" w:eastAsia="Times New Roman" w:hAnsi="Times New Roman"/>
          <w:sz w:val="22"/>
          <w:szCs w:val="22"/>
        </w:rPr>
        <w:t xml:space="preserve">Table 2 presents descriptive statistics and the Pearson correlation matrix for the three study variables. PsyCap had the highest mean (M = 4.32, SD = 0.82), followed by Work Engagement (M = 4.23, SD = 0.91) and Job Satisfaction (M = 3.69, SD = 0.69). All pairwise correlations were statistically significant at p &lt; .001. The strongest bivariate relationship was between Job Satisfaction and Work Engagement (r = .651), followed by PsyCap and Work Engagement (r = .533), and PsyCap and Job Satisfaction (r = .485). No correlation exceeded the r = .80 threshold, ruling out multicollinearity concerns (Hair et al., 2019).</w:t>
      </w:r>
    </w:p>
    <w:p>
      <w:r>
        <w:rPr>
          <w:sz w:val="22"/>
          <w:szCs w:val="22"/>
        </w:rPr>
        <w:t xml:space="preserve"/>
      </w:r>
    </w:p>
    <w:p>
      <w:pPr>
        <w:spacing w:after="80" w:before="160"/>
        <w:jc w:val="center"/>
      </w:pPr>
      <w:r>
        <w:rPr>
          <w:rFonts w:ascii="Times New Roman" w:cs="Times New Roman" w:eastAsia="Times New Roman" w:hAnsi="Times New Roman"/>
          <w:b/>
          <w:bCs/>
          <w:sz w:val="20"/>
          <w:szCs w:val="20"/>
        </w:rPr>
        <w:t xml:space="preserve">Table 2. Descriptive Statistics and Pearson Correlation Matrix (N = 270)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320"/>
        <w:gridCol w:w="1320"/>
        <w:gridCol w:w="1660"/>
      </w:tblGrid>
      <w:tr>
        <w:tc>
          <w:tcPr>
            <w:tcW w:type="dxa" w:w="26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Variable</w:t>
            </w:r>
          </w:p>
        </w:tc>
        <w:tc>
          <w:tcPr>
            <w:tcW w:type="dxa" w:w="9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Mean</w:t>
            </w:r>
          </w:p>
        </w:tc>
        <w:tc>
          <w:tcPr>
            <w:tcW w:type="dxa" w:w="9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SD</w:t>
            </w:r>
          </w:p>
        </w:tc>
        <w:tc>
          <w:tcPr>
            <w:tcW w:type="dxa" w:w="132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1</w:t>
            </w:r>
          </w:p>
        </w:tc>
        <w:tc>
          <w:tcPr>
            <w:tcW w:type="dxa" w:w="132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2</w:t>
            </w:r>
          </w:p>
        </w:tc>
        <w:tc>
          <w:tcPr>
            <w:tcW w:type="dxa" w:w="166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3</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 Psychological Capital</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4.32</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0.82</w:t>
            </w:r>
          </w:p>
        </w:tc>
        <w:tc>
          <w:tcPr>
            <w:tcW w:type="dxa" w:w="1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 Work Engagement</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4.23</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1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.533**</w:t>
            </w:r>
          </w:p>
        </w:tc>
        <w:tc>
          <w:tcPr>
            <w:tcW w:type="dxa" w:w="1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1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 Job Satisfaction</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3.69</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0.69</w:t>
            </w:r>
          </w:p>
        </w:tc>
        <w:tc>
          <w:tcPr>
            <w:tcW w:type="dxa" w:w="13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.485**</w:t>
            </w:r>
          </w:p>
        </w:tc>
        <w:tc>
          <w:tcPr>
            <w:tcW w:type="dxa" w:w="132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.651**</w:t>
            </w:r>
          </w:p>
        </w:tc>
        <w:tc>
          <w:tcPr>
            <w:tcW w:type="dxa" w:w="16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bl>
    <w:p>
      <w:pPr>
        <w:spacing w:after="160"/>
        <w:jc w:val="left"/>
      </w:pPr>
      <w:r>
        <w:rPr>
          <w:rFonts w:ascii="Times New Roman" w:cs="Times New Roman" w:eastAsia="Times New Roman" w:hAnsi="Times New Roman"/>
          <w:i/>
          <w:iCs/>
          <w:sz w:val="19"/>
          <w:szCs w:val="19"/>
        </w:rPr>
        <w:t xml:space="preserve">Note. ** p &lt; .001 (two-tailed). SD = Standard Deviation. Scale ranges: PsyCap 1–6; Work Engagement 0–6; Job Satisfaction 1–5.</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4.4 Hypothesis Testing: Regression Analysis</w:t>
      </w:r>
    </w:p>
    <w:p>
      <w:pPr>
        <w:spacing w:after="160" w:line="360" w:lineRule="auto"/>
        <w:ind w:firstLine="720"/>
        <w:jc w:val="both"/>
      </w:pPr>
      <w:r>
        <w:rPr>
          <w:rFonts w:ascii="Times New Roman" w:cs="Times New Roman" w:eastAsia="Times New Roman" w:hAnsi="Times New Roman"/>
          <w:sz w:val="22"/>
          <w:szCs w:val="22"/>
        </w:rPr>
        <w:t xml:space="preserve">Table 3 presents the results of the three simple linear regression models testing H1, H2, and H3. All models were statistically significant at p &lt; .001. Durbin-Watson statistics ranged from 2.003 to 2.219, confirming residual independence. VIF values of 1.000 confirmed the absence of multicollinearity in single-predictor models.</w:t>
      </w:r>
    </w:p>
    <w:p>
      <w:pPr>
        <w:spacing w:after="160" w:line="360" w:lineRule="auto"/>
        <w:ind w:firstLine="720"/>
        <w:jc w:val="both"/>
      </w:pPr>
      <w:r>
        <w:rPr>
          <w:rFonts w:ascii="Times New Roman" w:cs="Times New Roman" w:eastAsia="Times New Roman" w:hAnsi="Times New Roman"/>
          <w:sz w:val="22"/>
          <w:szCs w:val="22"/>
        </w:rPr>
        <w:t xml:space="preserve">Model 1 confirmed that PsyCap is a significant positive predictor of Work Engagement (β = .533, R² = .284), supporting H1 and indicating that PsyCap explains 28.4% of the variance in engagement. Model 2 confirmed that PsyCap significantly predicts Job Satisfaction (β = .485, R² = .235), supporting H2. Model 3 — the strongest model — demonstrated that Job Satisfaction explains 42.4% of variance in Work Engagement (β = .651, R² = .424), supporting H3.</w:t>
      </w:r>
    </w:p>
    <w:p>
      <w:r>
        <w:rPr>
          <w:sz w:val="22"/>
          <w:szCs w:val="22"/>
        </w:rPr>
        <w:t xml:space="preserve"/>
      </w:r>
    </w:p>
    <w:p>
      <w:pPr>
        <w:spacing w:after="80" w:before="160"/>
        <w:jc w:val="center"/>
      </w:pPr>
      <w:r>
        <w:rPr>
          <w:rFonts w:ascii="Times New Roman" w:cs="Times New Roman" w:eastAsia="Times New Roman" w:hAnsi="Times New Roman"/>
          <w:b/>
          <w:bCs/>
          <w:sz w:val="20"/>
          <w:szCs w:val="20"/>
        </w:rPr>
        <w:t xml:space="preserve">Table 3. Regression Results: Direct Effects (H1, H2, 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800"/>
        <w:gridCol w:w="800"/>
        <w:gridCol w:w="800"/>
        <w:gridCol w:w="800"/>
        <w:gridCol w:w="800"/>
        <w:gridCol w:w="900"/>
        <w:gridCol w:w="900"/>
      </w:tblGrid>
      <w:tr>
        <w:tc>
          <w:tcPr>
            <w:tcW w:type="dxa" w:w="7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H</w:t>
            </w:r>
          </w:p>
        </w:tc>
        <w:tc>
          <w:tcPr>
            <w:tcW w:type="dxa" w:w="27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Path</w:t>
            </w:r>
          </w:p>
        </w:tc>
        <w:tc>
          <w:tcPr>
            <w:tcW w:type="dxa" w:w="8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w:t>
            </w:r>
          </w:p>
        </w:tc>
        <w:tc>
          <w:tcPr>
            <w:tcW w:type="dxa" w:w="8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w:t>
            </w:r>
          </w:p>
        </w:tc>
        <w:tc>
          <w:tcPr>
            <w:tcW w:type="dxa" w:w="8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β</w:t>
            </w:r>
          </w:p>
        </w:tc>
        <w:tc>
          <w:tcPr>
            <w:tcW w:type="dxa" w:w="8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w:t>
            </w:r>
          </w:p>
        </w:tc>
        <w:tc>
          <w:tcPr>
            <w:tcW w:type="dxa" w:w="8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w:t>
            </w:r>
          </w:p>
        </w:tc>
        <w:tc>
          <w:tcPr>
            <w:tcW w:type="dxa" w:w="9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R²</w:t>
            </w:r>
          </w:p>
        </w:tc>
        <w:tc>
          <w:tcPr>
            <w:tcW w:type="dxa" w:w="9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D-W</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H1</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PsyCap → Work Engagement</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0.587</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0.057</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.533</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10.301</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&lt; .001</w:t>
            </w:r>
          </w:p>
        </w:tc>
        <w:tc>
          <w:tcPr>
            <w:tcW w:type="dxa" w:w="9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.284</w:t>
            </w:r>
          </w:p>
        </w:tc>
        <w:tc>
          <w:tcPr>
            <w:tcW w:type="dxa" w:w="9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2.096</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H2</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PsyCap → Job Satisfaction</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0.407</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0.045</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.485</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9.078</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&lt; .001</w:t>
            </w:r>
          </w:p>
        </w:tc>
        <w:tc>
          <w:tcPr>
            <w:tcW w:type="dxa" w:w="9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.235</w:t>
            </w:r>
          </w:p>
        </w:tc>
        <w:tc>
          <w:tcPr>
            <w:tcW w:type="dxa" w:w="9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2.003</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H3</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Job Satisfaction → Work Engagement</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0.856</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0.061</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.651</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14.038</w:t>
            </w:r>
          </w:p>
        </w:tc>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&lt; .001</w:t>
            </w:r>
          </w:p>
        </w:tc>
        <w:tc>
          <w:tcPr>
            <w:tcW w:type="dxa" w:w="9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.424</w:t>
            </w:r>
          </w:p>
        </w:tc>
        <w:tc>
          <w:tcPr>
            <w:tcW w:type="dxa" w:w="9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2.219</w:t>
            </w:r>
          </w:p>
        </w:tc>
      </w:tr>
    </w:tbl>
    <w:p>
      <w:pPr>
        <w:spacing w:after="160"/>
        <w:jc w:val="left"/>
      </w:pPr>
      <w:r>
        <w:rPr>
          <w:rFonts w:ascii="Times New Roman" w:cs="Times New Roman" w:eastAsia="Times New Roman" w:hAnsi="Times New Roman"/>
          <w:i/>
          <w:iCs/>
          <w:sz w:val="19"/>
          <w:szCs w:val="19"/>
        </w:rPr>
        <w:t xml:space="preserve">Note. B = unstandardised coefficient; SE = standard error; β = standardised coefficient; D-W = Durbin-Watson. All models p &lt; .001, N = 270.</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4.5 Mediation Analysis (H4)</w:t>
      </w:r>
    </w:p>
    <w:p>
      <w:pPr>
        <w:spacing w:after="160" w:line="360" w:lineRule="auto"/>
        <w:ind w:firstLine="720"/>
        <w:jc w:val="both"/>
      </w:pPr>
      <w:r>
        <w:rPr>
          <w:rFonts w:ascii="Times New Roman" w:cs="Times New Roman" w:eastAsia="Times New Roman" w:hAnsi="Times New Roman"/>
          <w:sz w:val="22"/>
          <w:szCs w:val="22"/>
        </w:rPr>
        <w:t xml:space="preserve">The mediation model, estimated via PROCESS Macro (Model 4; Hayes, 2022) with 5,000 bootstrap samples, is summarised in Table 4. The total effect of PsyCap on Work Engagement was c = .587 (p &lt; .001). When Job Satisfaction was included as a mediator, the direct effect of PsyCap on Work Engagement was reduced to c' = .313 (β = .284, p &lt; .001) — a substantial reduction of .274 units. The indirect effect via Job Satisfaction was statistically significant (indirect effect = .274, BootSE = .041, 95% CI [.199, .360]). Because this confidence interval excludes zero, the null hypothesis of no mediation is rejected. The proportion of the total effect mediated through Job Satisfaction was 46.7%. PsyCap's direct effect remained significant, confirming partial — not full — mediation. The full model (both predictors simultaneously) explained 48.5% of variance in Work Engagement (R² = .485, F(2, 267) = 125.844, p &lt; .001). These results support H4.</w:t>
      </w:r>
    </w:p>
    <w:p>
      <w:r>
        <w:rPr>
          <w:sz w:val="22"/>
          <w:szCs w:val="22"/>
        </w:rPr>
        <w:t xml:space="preserve"/>
      </w:r>
    </w:p>
    <w:p>
      <w:pPr>
        <w:spacing w:after="80" w:before="160"/>
        <w:jc w:val="center"/>
      </w:pPr>
      <w:r>
        <w:rPr>
          <w:rFonts w:ascii="Times New Roman" w:cs="Times New Roman" w:eastAsia="Times New Roman" w:hAnsi="Times New Roman"/>
          <w:b/>
          <w:bCs/>
          <w:sz w:val="20"/>
          <w:szCs w:val="20"/>
        </w:rPr>
        <w:t xml:space="preserve">Table 4. Mediation Analysis: Total, Direct, and Indirect Effects (PROCESS Model 4, N = 270)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900"/>
        <w:gridCol w:w="900"/>
        <w:gridCol w:w="1380"/>
        <w:gridCol w:w="1380"/>
        <w:gridCol w:w="1100"/>
      </w:tblGrid>
      <w:tr>
        <w:tc>
          <w:tcPr>
            <w:tcW w:type="dxa" w:w="27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Effect</w:t>
            </w:r>
          </w:p>
        </w:tc>
        <w:tc>
          <w:tcPr>
            <w:tcW w:type="dxa" w:w="10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Coeff.</w:t>
            </w:r>
          </w:p>
        </w:tc>
        <w:tc>
          <w:tcPr>
            <w:tcW w:type="dxa" w:w="9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w:t>
            </w:r>
          </w:p>
        </w:tc>
        <w:tc>
          <w:tcPr>
            <w:tcW w:type="dxa" w:w="9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 / z</w:t>
            </w:r>
          </w:p>
        </w:tc>
        <w:tc>
          <w:tcPr>
            <w:tcW w:type="dxa" w:w="138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LLCI (95%)</w:t>
            </w:r>
          </w:p>
        </w:tc>
        <w:tc>
          <w:tcPr>
            <w:tcW w:type="dxa" w:w="138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ULCI (95%)</w:t>
            </w:r>
          </w:p>
        </w:tc>
        <w:tc>
          <w:tcPr>
            <w:tcW w:type="dxa" w:w="11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Path a: PsyCap → Job Satisfaction</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.407</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9.078</w:t>
            </w:r>
          </w:p>
        </w:tc>
        <w:tc>
          <w:tcPr>
            <w:tcW w:type="dxa" w:w="13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.319</w:t>
            </w:r>
          </w:p>
        </w:tc>
        <w:tc>
          <w:tcPr>
            <w:tcW w:type="dxa" w:w="13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.495</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Path b: Job Satisfaction → Engagement</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.675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.066</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10.226</w:t>
            </w:r>
          </w:p>
        </w:tc>
        <w:tc>
          <w:tcPr>
            <w:tcW w:type="dxa" w:w="13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.545</w:t>
            </w:r>
          </w:p>
        </w:tc>
        <w:tc>
          <w:tcPr>
            <w:tcW w:type="dxa" w:w="13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.805</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Total effect (c)</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.587</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.057</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10.301</w:t>
            </w:r>
          </w:p>
        </w:tc>
        <w:tc>
          <w:tcPr>
            <w:tcW w:type="dxa" w:w="13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.475</w:t>
            </w:r>
          </w:p>
        </w:tc>
        <w:tc>
          <w:tcPr>
            <w:tcW w:type="dxa" w:w="13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.699</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Direct effect (c')</w:t>
            </w:r>
          </w:p>
        </w:tc>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.313</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.055</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5.649</w:t>
            </w:r>
          </w:p>
        </w:tc>
        <w:tc>
          <w:tcPr>
            <w:tcW w:type="dxa" w:w="138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.204</w:t>
            </w:r>
          </w:p>
        </w:tc>
        <w:tc>
          <w:tcPr>
            <w:tcW w:type="dxa" w:w="138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.422</w:t>
            </w:r>
          </w:p>
        </w:tc>
        <w:tc>
          <w:tcPr>
            <w:tcW w:type="dxa" w:w="11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Significant</w:t>
            </w:r>
          </w:p>
        </w:tc>
      </w:tr>
      <w:tr>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Indirect effect via Job Satisfaction (a×b)</w:t>
            </w:r>
          </w:p>
        </w:tc>
        <w:tc>
          <w:tcPr>
            <w:tcW w:type="dxa" w:w="100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.274</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.041</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Boot</w:t>
            </w:r>
          </w:p>
        </w:tc>
        <w:tc>
          <w:tcPr>
            <w:tcW w:type="dxa" w:w="138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.199</w:t>
            </w:r>
          </w:p>
        </w:tc>
        <w:tc>
          <w:tcPr>
            <w:tcW w:type="dxa" w:w="138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.360</w:t>
            </w:r>
          </w:p>
        </w:tc>
        <w:tc>
          <w:tcPr>
            <w:tcW w:type="dxa" w:w="110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Significant*</w:t>
            </w:r>
          </w:p>
        </w:tc>
      </w:tr>
    </w:tbl>
    <w:p>
      <w:pPr>
        <w:spacing w:after="160"/>
        <w:jc w:val="left"/>
      </w:pPr>
      <w:r>
        <w:rPr>
          <w:rFonts w:ascii="Times New Roman" w:cs="Times New Roman" w:eastAsia="Times New Roman" w:hAnsi="Times New Roman"/>
          <w:i/>
          <w:iCs/>
          <w:sz w:val="19"/>
          <w:szCs w:val="19"/>
        </w:rPr>
        <w:t xml:space="preserve">Note. Path a–b and total/direct effects from PROCESS Model 4. * Boot 95% CI excludes zero, confirming significant mediation without p-value dependency. Proportion mediated = .274 / .587 = 46.7%. Full model R² = .485, F(2, 267) = 125.844, p &lt; .001.</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4.6 Summary of Hypothesis Testing</w:t>
      </w:r>
    </w:p>
    <w:p>
      <w:pPr>
        <w:spacing w:after="80" w:before="160"/>
        <w:jc w:val="center"/>
      </w:pPr>
      <w:r>
        <w:rPr>
          <w:rFonts w:ascii="Times New Roman" w:cs="Times New Roman" w:eastAsia="Times New Roman" w:hAnsi="Times New Roman"/>
          <w:b/>
          <w:bCs/>
          <w:sz w:val="20"/>
          <w:szCs w:val="20"/>
        </w:rPr>
        <w:t xml:space="preserve">Table 5. Hypothesis Testing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400"/>
        <w:gridCol w:w="1100"/>
        <w:gridCol w:w="1400"/>
        <w:gridCol w:w="600"/>
      </w:tblGrid>
      <w:tr>
        <w:tc>
          <w:tcPr>
            <w:tcW w:type="dxa" w:w="7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H</w:t>
            </w:r>
          </w:p>
        </w:tc>
        <w:tc>
          <w:tcPr>
            <w:tcW w:type="dxa" w:w="416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Statement</w:t>
            </w:r>
          </w:p>
        </w:tc>
        <w:tc>
          <w:tcPr>
            <w:tcW w:type="dxa" w:w="14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Key Statistic</w:t>
            </w:r>
          </w:p>
        </w:tc>
        <w:tc>
          <w:tcPr>
            <w:tcW w:type="dxa" w:w="11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w:t>
            </w:r>
          </w:p>
        </w:tc>
        <w:tc>
          <w:tcPr>
            <w:tcW w:type="dxa" w:w="14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Type</w:t>
            </w:r>
          </w:p>
        </w:tc>
        <w:tc>
          <w:tcPr>
            <w:tcW w:type="dxa" w:w="600"/>
            <w:tcBorders>
              <w:top w:val="single" w:color="000000" w:sz="1"/>
              <w:left w:val="single" w:color="000000" w:sz="1"/>
              <w:bottom w:val="single" w:color="000000" w:sz="1"/>
              <w:right w:val="single" w:color="000000"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Outcome</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H1</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PsyCap → Work Engagement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β = .533, R² = .284</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&lt; .001</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Direct</w:t>
            </w:r>
          </w:p>
        </w:tc>
        <w:tc>
          <w:tcPr>
            <w:tcW w:type="dxa" w:w="6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H2</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PsyCap → Job Satisfaction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β = .485, R² = .235</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&lt; .001</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Direct</w:t>
            </w:r>
          </w:p>
        </w:tc>
        <w:tc>
          <w:tcPr>
            <w:tcW w:type="dxa" w:w="6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H3</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Job Satisfaction → Work Engagement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β = .651, R² = .424</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&lt; .001</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Direct</w:t>
            </w:r>
          </w:p>
        </w:tc>
        <w:tc>
          <w:tcPr>
            <w:tcW w:type="dxa" w:w="6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H4</w:t>
            </w:r>
          </w:p>
        </w:tc>
        <w:tc>
          <w:tcPr>
            <w:tcW w:type="dxa" w:w="4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Job Satisfaction mediates PsyCap–Engagement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IE = .274, CI [.199, .360]</w:t>
            </w:r>
          </w:p>
        </w:tc>
        <w:tc>
          <w:tcPr>
            <w:tcW w:type="dxa" w:w="1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Boot*</w:t>
            </w:r>
          </w:p>
        </w:tc>
        <w:tc>
          <w:tcPr>
            <w:tcW w:type="dxa" w:w="140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Partial Mediation</w:t>
            </w:r>
          </w:p>
        </w:tc>
        <w:tc>
          <w:tcPr>
            <w:tcW w:type="dxa" w:w="6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r>
    </w:tbl>
    <w:p>
      <w:pPr>
        <w:spacing w:after="160"/>
        <w:jc w:val="left"/>
      </w:pPr>
      <w:r>
        <w:rPr>
          <w:rFonts w:ascii="Times New Roman" w:cs="Times New Roman" w:eastAsia="Times New Roman" w:hAnsi="Times New Roman"/>
          <w:i/>
          <w:iCs/>
          <w:sz w:val="19"/>
          <w:szCs w:val="19"/>
        </w:rPr>
        <w:t xml:space="preserve">Note. IE = Indirect Effect. * Significance determined by bootstrap CI excluding zero. β = standardised coefficient.</w:t>
      </w:r>
    </w:p>
    <w:p>
      <w:r>
        <w:rPr>
          <w:sz w:val="22"/>
          <w:szCs w:val="22"/>
        </w:rPr>
        <w:t xml:space="preserve"/>
      </w:r>
    </w:p>
    <w:p>
      <w:r>
        <w:br w:type="page"/>
      </w:r>
    </w:p>
    <w:p>
      <w:pPr>
        <w:pStyle w:val="Heading1"/>
        <w:spacing w:after="180" w:before="360"/>
      </w:pPr>
      <w:r>
        <w:rPr>
          <w:rFonts w:ascii="Times New Roman" w:cs="Times New Roman" w:eastAsia="Times New Roman" w:hAnsi="Times New Roman"/>
          <w:b/>
          <w:bCs/>
          <w:color w:val="000000"/>
          <w:sz w:val="28"/>
          <w:szCs w:val="28"/>
        </w:rPr>
        <w:t xml:space="preserve">5. Discussion</w:t>
      </w:r>
    </w:p>
    <w:p>
      <w:pPr>
        <w:pStyle w:val="Heading2"/>
        <w:spacing w:after="120" w:before="240"/>
      </w:pPr>
      <w:r>
        <w:rPr>
          <w:rFonts w:ascii="Times New Roman" w:cs="Times New Roman" w:eastAsia="Times New Roman" w:hAnsi="Times New Roman"/>
          <w:b/>
          <w:bCs/>
          <w:color w:val="000000"/>
          <w:sz w:val="24"/>
          <w:szCs w:val="24"/>
        </w:rPr>
        <w:t xml:space="preserve">5.1 PsyCap as a Driver of Work Engagement</w:t>
      </w:r>
    </w:p>
    <w:p>
      <w:pPr>
        <w:spacing w:after="160" w:line="360" w:lineRule="auto"/>
        <w:ind w:firstLine="720"/>
        <w:jc w:val="both"/>
      </w:pPr>
      <w:r>
        <w:rPr>
          <w:rFonts w:ascii="Times New Roman" w:cs="Times New Roman" w:eastAsia="Times New Roman" w:hAnsi="Times New Roman"/>
          <w:sz w:val="22"/>
          <w:szCs w:val="22"/>
        </w:rPr>
        <w:t xml:space="preserve">The finding that PsyCap significantly predicts Work Engagement (β = .533, R² = .284) among QOU faculty is consistent with the accumulated body of empirical literature while offering new contextual grounding. The effect size lies above the meta-analytic mean corrected correlation of ρ = .47 reported by Avey et al. (2011) across 51 studies and is close to the β = .57 observed by Wahid Hasyim et al. (2019) in an Indonesian university sample, underscoring the cross-cultural robustness of this relationship. That the present estimate falls somewhat below Pratiwi et al.'s (2024) R² of .461 is attributable to that study's smaller sample size and the absence of a mediating variable, which collectively tend to inflate direct effect estimates.</w:t>
      </w:r>
    </w:p>
    <w:p>
      <w:pPr>
        <w:spacing w:after="160" w:line="360" w:lineRule="auto"/>
        <w:ind w:firstLine="720"/>
        <w:jc w:val="both"/>
      </w:pPr>
      <w:r>
        <w:rPr>
          <w:rFonts w:ascii="Times New Roman" w:cs="Times New Roman" w:eastAsia="Times New Roman" w:hAnsi="Times New Roman"/>
          <w:sz w:val="22"/>
          <w:szCs w:val="22"/>
        </w:rPr>
        <w:t xml:space="preserve">The magnitude of this relationship in the QOU context is theoretically meaningful. Palestinian university faculty operate under conditions of political instability, resource scarcity, and — for those in Gaza — existential threats to institutional continuity. Within such environments, the JD-R model predicts that personal resources should exert a stronger moderating influence on engagement than in stable, well-resourced settings, because they serve as psychological buffers against heightened demands. The present finding — in which PsyCap's β exceeds the cross-cultural meta-analytic benchmark — is consistent with this prediction and aligns with COR theory's proposition that resource value is greatest under conditions of scarcity and threat (Hobfoll, 1989).</w:t>
      </w:r>
    </w:p>
    <w:p>
      <w:pPr>
        <w:spacing w:after="160" w:line="360" w:lineRule="auto"/>
        <w:ind w:firstLine="720"/>
        <w:jc w:val="both"/>
      </w:pPr>
      <w:r>
        <w:rPr>
          <w:rFonts w:ascii="Times New Roman" w:cs="Times New Roman" w:eastAsia="Times New Roman" w:hAnsi="Times New Roman"/>
          <w:sz w:val="22"/>
          <w:szCs w:val="22"/>
        </w:rPr>
        <w:t xml:space="preserve">The unexplained variance (71.6%) reminds us that PsyCap, while important, is not the sole determinant of engagement at QOU. Structural factors — including leadership quality, institutional support systems, and the operational conditions that vary markedly across QOU's fifteen branches — likely account for a substantial portion of this residual variance, consistent with the branch-level differences implied by the ANOVA findings on academic rank and experience.</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5.2 PsyCap and Job Satisfaction</w:t>
      </w:r>
    </w:p>
    <w:p>
      <w:pPr>
        <w:spacing w:after="160" w:line="360" w:lineRule="auto"/>
        <w:ind w:firstLine="720"/>
        <w:jc w:val="both"/>
      </w:pPr>
      <w:r>
        <w:rPr>
          <w:rFonts w:ascii="Times New Roman" w:cs="Times New Roman" w:eastAsia="Times New Roman" w:hAnsi="Times New Roman"/>
          <w:sz w:val="22"/>
          <w:szCs w:val="22"/>
        </w:rPr>
        <w:t xml:space="preserve">PsyCap explained 23.5% of variance in Job Satisfaction (β = .485), a finding closely consistent with Lubis et al.'s (2025) β = .538 and with Avey et al.'s (2011) meta-analytic estimate of ρ = .43. The 76.5% of unexplained satisfaction variance points to factors beyond PsyCap's reach — most notably, the structural dimension of job satisfaction. Item-level analysis from the reliability stage revealed that pay satisfaction yielded the lowest mean across all twenty MSQ facets (M = 3.14), a pattern consistent with documented compensation constraints in Palestinian public universities (Diab, 2025). This finding is theoretically consistent with Herzberg's (1959) two-factor theory: PsyCap may effectively activate the motivator dimension of satisfaction (achievement, recognition, meaningful work) but cannot substitute for adequate hygiene factors when they are structurally deficient.</w:t>
      </w:r>
    </w:p>
    <w:p>
      <w:pPr>
        <w:spacing w:after="160" w:line="360" w:lineRule="auto"/>
        <w:ind w:firstLine="720"/>
        <w:jc w:val="both"/>
      </w:pPr>
      <w:r>
        <w:rPr>
          <w:rFonts w:ascii="Times New Roman" w:cs="Times New Roman" w:eastAsia="Times New Roman" w:hAnsi="Times New Roman"/>
          <w:sz w:val="22"/>
          <w:szCs w:val="22"/>
        </w:rPr>
        <w:t xml:space="preserve">This has a practical implication that university management should not overlook: while PsyCap development programmes can improve faculty satisfaction through the motivator pathway, they will not resolve dissatisfaction rooted in inadequate compensation or unclear advancement structures. These require institutional policy responses that are independent of the psychological resource base of individual faculty members.</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5.3 Job Satisfaction as the Strongest Direct Predictor of Engagement</w:t>
      </w:r>
    </w:p>
    <w:p>
      <w:pPr>
        <w:spacing w:after="160" w:line="360" w:lineRule="auto"/>
        <w:ind w:firstLine="720"/>
        <w:jc w:val="both"/>
      </w:pPr>
      <w:r>
        <w:rPr>
          <w:rFonts w:ascii="Times New Roman" w:cs="Times New Roman" w:eastAsia="Times New Roman" w:hAnsi="Times New Roman"/>
          <w:sz w:val="22"/>
          <w:szCs w:val="22"/>
        </w:rPr>
        <w:t xml:space="preserve">The most striking finding in the regression analysis is the superior predictive power of Job Satisfaction over PsyCap in explaining Work Engagement (β = .651, R² = .424 vs. β = .533, R² = .284). This 14 percentage point gap in explained variance is not trivial and warrants careful interpretation. It suggests that in the QOU academic context, the faculty member's subjective experience of their professional conditions — how satisfied they feel with their work — is a more proximal and potent activator of engagement than their underlying psychological resources.</w:t>
      </w:r>
    </w:p>
    <w:p>
      <w:pPr>
        <w:spacing w:after="160" w:line="360" w:lineRule="auto"/>
        <w:ind w:firstLine="720"/>
        <w:jc w:val="both"/>
      </w:pPr>
      <w:r>
        <w:rPr>
          <w:rFonts w:ascii="Times New Roman" w:cs="Times New Roman" w:eastAsia="Times New Roman" w:hAnsi="Times New Roman"/>
          <w:sz w:val="22"/>
          <w:szCs w:val="22"/>
        </w:rPr>
        <w:t xml:space="preserve">Lubis et al. (2025) reported β = .527 for the analogous path in a nursing sample, substantially lower than the present β = .651. This divergence likely reflects a fundamental occupational difference: nurses' engagement is sustained by a strong professional duty obligation to patient care that operates independently of satisfaction levels. Academic faculty, whose engagement is more discretionary and identity-driven, appear more sensitive to satisfaction signals as triggers for investment in their work. In a distributed university like QOU — where branch-level conditions vary considerably — this heightened satisfaction–engagement sensitivity means that between-branch variation in institutional quality may generate substantial heterogeneity in faculty engagement across the university.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5.4 The Mediating Role of Job Satisfaction</w:t>
      </w:r>
    </w:p>
    <w:p>
      <w:pPr>
        <w:spacing w:after="160" w:line="360" w:lineRule="auto"/>
        <w:ind w:firstLine="720"/>
        <w:jc w:val="both"/>
      </w:pPr>
      <w:r>
        <w:rPr>
          <w:rFonts w:ascii="Times New Roman" w:cs="Times New Roman" w:eastAsia="Times New Roman" w:hAnsi="Times New Roman"/>
          <w:sz w:val="22"/>
          <w:szCs w:val="22"/>
        </w:rPr>
        <w:t xml:space="preserve">The confirmation of partial mediation (indirect effect = .274, 95% CI [.199, .360], proportion mediated = 46.7%) is the study's most theoretically integrative finding. It establishes that PsyCap influences Work Engagement through two distinct pathways: approximately half (46.7%) of its total effect operates indirectly through job satisfaction, and the remaining 53.3% is exerted directly. This decomposition is consistent with a sequential resource activation process grounded in COR theory: PsyCap generates positive appraisals of the work environment, which translate into greater satisfaction, which in turn energises engagement.</w:t>
      </w:r>
    </w:p>
    <w:p>
      <w:pPr>
        <w:spacing w:after="160" w:line="360" w:lineRule="auto"/>
        <w:ind w:firstLine="720"/>
        <w:jc w:val="both"/>
      </w:pPr>
      <w:r>
        <w:rPr>
          <w:rFonts w:ascii="Times New Roman" w:cs="Times New Roman" w:eastAsia="Times New Roman" w:hAnsi="Times New Roman"/>
          <w:sz w:val="22"/>
          <w:szCs w:val="22"/>
        </w:rPr>
        <w:t xml:space="preserve">The finding of partial rather than full mediation indicates that job satisfaction does not exhaust PsyCap's mechanisms. PsyCap contributes to engagement through additional channels — including direct motivational activation through goal pursuit (hope), sustained effort under pressure (resilience), positive outcome expectancy (optimism), and confident task execution (self-efficacy) — that operate independently of the satisfaction evaluation. This conceptually enriches the understanding of how PsyCap functions in an academic setting.</w:t>
      </w:r>
    </w:p>
    <w:p>
      <w:pPr>
        <w:spacing w:after="160" w:line="360" w:lineRule="auto"/>
        <w:ind w:firstLine="720"/>
        <w:jc w:val="both"/>
      </w:pPr>
      <w:r>
        <w:rPr>
          <w:rFonts w:ascii="Times New Roman" w:cs="Times New Roman" w:eastAsia="Times New Roman" w:hAnsi="Times New Roman"/>
          <w:sz w:val="22"/>
          <w:szCs w:val="22"/>
        </w:rPr>
        <w:t xml:space="preserve">Lubis et al. (2025) also confirmed partial mediation in a comparable model, though the proportion mediated in that study was higher (regression coefficient for indirect path = .678), reflecting the stronger H3 path in a healthcare setting. The present study's more moderate mediation proportion (46.7%) is consistent with PsyCap retaining a substantial direct influence on engagement in the academic context.</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5.5 Implications for Practice at QOU</w:t>
      </w:r>
    </w:p>
    <w:p>
      <w:pPr>
        <w:spacing w:after="160" w:line="360" w:lineRule="auto"/>
        <w:ind w:firstLine="720"/>
        <w:jc w:val="both"/>
      </w:pPr>
      <w:r>
        <w:rPr>
          <w:rFonts w:ascii="Times New Roman" w:cs="Times New Roman" w:eastAsia="Times New Roman" w:hAnsi="Times New Roman"/>
          <w:sz w:val="22"/>
          <w:szCs w:val="22"/>
        </w:rPr>
        <w:t xml:space="preserve">Three practical recommendations follow directly from these findings. First, QOU should invest in structured PsyCap development programmes for faculty at all ranks and branches. Given the direct (β = .284) and indirect (indirect effect = .274) contribution of PsyCap to engagement, interventions targeting self-efficacy, hope, resilience, and optimism — through mentoring, coaching, and small-group reflection programmes — are likely to produce measurable engagement gains. Second, institutional leadership should address the structural satisfaction deficits identified in the data, particularly regarding compensation and advancement. The pay satisfaction item (M = 3.14/5) and the significant academic rank–satisfaction ANOVA relationship together suggest that engagement gains from PsyCap development will be partially offset unless structural dissatisfiers are simultaneously addressed. Third, the branch-level disparity in operational conditions — particularly between West Bank and Gaza branches — warrants dedicated support mechanisms that acknowledge the disproportionate institutional pressures faced by faculty in Gaza, where PsyCap's buffering function may be tested beyond its compensatory capacity.</w:t>
      </w:r>
    </w:p>
    <w:p>
      <w:r>
        <w:rPr>
          <w:sz w:val="22"/>
          <w:szCs w:val="22"/>
        </w:rPr>
        <w:t xml:space="preserve"/>
      </w:r>
    </w:p>
    <w:p>
      <w:pPr>
        <w:pStyle w:val="Heading2"/>
        <w:spacing w:after="120" w:before="240"/>
      </w:pPr>
      <w:r>
        <w:rPr>
          <w:rFonts w:ascii="Times New Roman" w:cs="Times New Roman" w:eastAsia="Times New Roman" w:hAnsi="Times New Roman"/>
          <w:b/>
          <w:bCs/>
          <w:color w:val="000000"/>
          <w:sz w:val="24"/>
          <w:szCs w:val="24"/>
        </w:rPr>
        <w:t xml:space="preserve">5.6 Limitations</w:t>
      </w:r>
    </w:p>
    <w:p>
      <w:pPr>
        <w:spacing w:after="160" w:line="360" w:lineRule="auto"/>
        <w:ind w:firstLine="720"/>
        <w:jc w:val="both"/>
      </w:pPr>
      <w:r>
        <w:rPr>
          <w:rFonts w:ascii="Times New Roman" w:cs="Times New Roman" w:eastAsia="Times New Roman" w:hAnsi="Times New Roman"/>
          <w:sz w:val="22"/>
          <w:szCs w:val="22"/>
        </w:rPr>
        <w:t xml:space="preserve">Several limitations qualify these findings. The cross-sectional design precludes causal inference; the regression and mediation coefficients describe predictive relationships that are theoretically but not empirically directional. Longitudinal designs, as demonstrated by Alessandri et al. (2018), would be needed to confirm the temporal ordering implied by the mediation model. Second, all data are self-reported, which introduces the possibility of common method variance inflating associations (Podsakoff et al., 2003). Future research could triangulate self-reports with supervisor ratings or objective engagement proxies. Third, the study does not examine potential moderators — such as branch location, academic discipline, or contract type — that may condition the strength of the observed relationships. Fourth, while the MSQ-20 demonstrated excellent reliability (α = .939), its cultural transferability to the Palestinian academic context — where community and collective identity facets may carry differential weight — is an assumption that warrants explicit validation.</w:t>
      </w:r>
    </w:p>
    <w:p>
      <w:r>
        <w:rPr>
          <w:sz w:val="22"/>
          <w:szCs w:val="22"/>
        </w:rPr>
        <w:t xml:space="preserve"/>
      </w:r>
    </w:p>
    <w:p>
      <w:r>
        <w:br w:type="page"/>
      </w:r>
    </w:p>
    <w:p>
      <w:pPr>
        <w:pStyle w:val="Heading1"/>
        <w:spacing w:after="180" w:before="360"/>
      </w:pPr>
      <w:r>
        <w:rPr>
          <w:rFonts w:ascii="Times New Roman" w:cs="Times New Roman" w:eastAsia="Times New Roman" w:hAnsi="Times New Roman"/>
          <w:b/>
          <w:bCs/>
          <w:color w:val="000000"/>
          <w:sz w:val="28"/>
          <w:szCs w:val="28"/>
        </w:rPr>
        <w:t xml:space="preserve">6. Conclusion</w:t>
      </w:r>
    </w:p>
    <w:p>
      <w:pPr>
        <w:spacing w:after="160" w:line="360" w:lineRule="auto"/>
        <w:ind w:firstLine="720"/>
        <w:jc w:val="both"/>
      </w:pPr>
      <w:r>
        <w:rPr>
          <w:rFonts w:ascii="Times New Roman" w:cs="Times New Roman" w:eastAsia="Times New Roman" w:hAnsi="Times New Roman"/>
          <w:sz w:val="22"/>
          <w:szCs w:val="22"/>
        </w:rPr>
        <w:t xml:space="preserve">This study set out to understand how psychological capital shapes work engagement among university faculty in a conflict-affected setting, and whether job satisfaction mediates this relationship. Using a sample of 270 faculty members drawn from all fifteen branches of Al-Quds Open University — the largest Palestinian university spanning both the West Bank and Gaza Strip — we find robust support for all four hypotheses.</w:t>
      </w:r>
    </w:p>
    <w:p>
      <w:pPr>
        <w:spacing w:after="160" w:line="360" w:lineRule="auto"/>
        <w:ind w:firstLine="720"/>
        <w:jc w:val="both"/>
      </w:pPr>
      <w:r>
        <w:rPr>
          <w:rFonts w:ascii="Times New Roman" w:cs="Times New Roman" w:eastAsia="Times New Roman" w:hAnsi="Times New Roman"/>
          <w:sz w:val="22"/>
          <w:szCs w:val="22"/>
        </w:rPr>
        <w:t xml:space="preserve">PsyCap significantly predicts both work engagement (β = .533, R² = .284) and job satisfaction (β = .485, R² = .235), and job satisfaction in turn is the study's strongest predictor of work engagement (β = .651, R² = .424). Mediation analysis confirms that job satisfaction partially mediates the PsyCap–engagement relationship, carrying 46.7% of the total effect through the satisfaction pathway while 53.3% operates directly. The full model accounts for 48.5% of variance in work engagement.</w:t>
      </w:r>
    </w:p>
    <w:p>
      <w:pPr>
        <w:spacing w:after="160" w:line="360" w:lineRule="auto"/>
        <w:ind w:firstLine="720"/>
        <w:jc w:val="both"/>
      </w:pPr>
      <w:r>
        <w:rPr>
          <w:rFonts w:ascii="Times New Roman" w:cs="Times New Roman" w:eastAsia="Times New Roman" w:hAnsi="Times New Roman"/>
          <w:sz w:val="22"/>
          <w:szCs w:val="22"/>
        </w:rPr>
        <w:t xml:space="preserve">These findings extend PsyCap theory into Palestinian higher education — a context largely absent from the organisational behaviour literature — and demonstrate that the resource-based mechanisms linking psychological capital to engagement are operative even under conditions of institutional adversity and geopolitical constraint. They also underscore that job satisfaction is not merely an attitudinal by-product of engagement but a substantively important mechanism through which psychological resources translate into sustained academic commitment.</w:t>
      </w:r>
    </w:p>
    <w:p>
      <w:pPr>
        <w:spacing w:after="160" w:line="360" w:lineRule="auto"/>
        <w:ind w:firstLine="720"/>
        <w:jc w:val="both"/>
      </w:pPr>
      <w:r>
        <w:rPr>
          <w:rFonts w:ascii="Times New Roman" w:cs="Times New Roman" w:eastAsia="Times New Roman" w:hAnsi="Times New Roman"/>
          <w:sz w:val="22"/>
          <w:szCs w:val="22"/>
        </w:rPr>
        <w:t xml:space="preserve">For QOU administrators and policymakers, the findings call for a dual-track approach: cultivating faculty psychological capital through targeted development programmes, while simultaneously attending to the structural foundations of job satisfaction — particularly compensation equity and career advancement transparency. Neglecting either track risks leaving a significant portion of QOU's engagement potential unrealised.</w:t>
      </w:r>
    </w:p>
    <w:p>
      <w:pPr>
        <w:spacing w:after="160" w:line="360" w:lineRule="auto"/>
        <w:ind w:firstLine="720"/>
        <w:jc w:val="both"/>
      </w:pPr>
      <w:r>
        <w:rPr>
          <w:rFonts w:ascii="Times New Roman" w:cs="Times New Roman" w:eastAsia="Times New Roman" w:hAnsi="Times New Roman"/>
          <w:sz w:val="22"/>
          <w:szCs w:val="22"/>
        </w:rPr>
        <w:t xml:space="preserve">Future research should test this model longitudinally to establish temporal precedence, examine branch-level differences as potential moderators, and explore whether PsyCap development interventions produce the satisfaction and engagement gains the cross-sectional evidence implies.</w:t>
      </w:r>
    </w:p>
    <w:p>
      <w:r>
        <w:rPr>
          <w:sz w:val="22"/>
          <w:szCs w:val="22"/>
        </w:rPr>
        <w:t xml:space="preserve"/>
      </w:r>
    </w:p>
    <w:p>
      <w:r>
        <w:br w:type="page"/>
      </w:r>
    </w:p>
    <w:p>
      <w:pPr>
        <w:pStyle w:val="Heading1"/>
        <w:spacing w:after="180" w:before="360"/>
      </w:pPr>
      <w:r>
        <w:rPr>
          <w:rFonts w:ascii="Times New Roman" w:cs="Times New Roman" w:eastAsia="Times New Roman" w:hAnsi="Times New Roman"/>
          <w:b/>
          <w:bCs/>
          <w:color w:val="000000"/>
          <w:sz w:val="28"/>
          <w:szCs w:val="28"/>
        </w:rPr>
        <w:t xml:space="preserve">References</w:t>
      </w:r>
    </w:p>
    <w:p>
      <w:pPr>
        <w:spacing w:after="120"/>
        <w:ind w:left="720" w:hanging="720"/>
        <w:jc w:val="both"/>
      </w:pPr>
      <w:r>
        <w:rPr>
          <w:rFonts w:ascii="Times New Roman" w:cs="Times New Roman" w:eastAsia="Times New Roman" w:hAnsi="Times New Roman"/>
          <w:sz w:val="20"/>
          <w:szCs w:val="20"/>
        </w:rPr>
        <w:t xml:space="preserve">Alessandri, G., Consiglio, C., Luthans, F., &amp; Borgogni, L. (2018). Testing a dynamic model of the impact of psychological capital on work engagement and job performance. Career Development International, 23(1), 5–23. https://doi.org/10.1108/CDI-11-2016-0210</w:t>
      </w:r>
    </w:p>
    <w:p>
      <w:pPr>
        <w:spacing w:after="120"/>
        <w:ind w:left="720" w:hanging="720"/>
        <w:jc w:val="both"/>
      </w:pPr>
      <w:r>
        <w:rPr>
          <w:rFonts w:ascii="Times New Roman" w:cs="Times New Roman" w:eastAsia="Times New Roman" w:hAnsi="Times New Roman"/>
          <w:sz w:val="20"/>
          <w:szCs w:val="20"/>
        </w:rPr>
        <w:t xml:space="preserve">Avey, J. B., Reichard, R. J., Luthans, F., &amp; Mhatre, K. H. (2011). Meta-analysis of the impact of positive psychological capital on employee attitudes, behaviors, and performance. Human Resource Development Quarterly, 22(2), 127–152. https://doi.org/10.1002/hrdq.20070</w:t>
      </w:r>
    </w:p>
    <w:p>
      <w:pPr>
        <w:spacing w:after="120"/>
        <w:ind w:left="720" w:hanging="720"/>
        <w:jc w:val="both"/>
      </w:pPr>
      <w:r>
        <w:rPr>
          <w:rFonts w:ascii="Times New Roman" w:cs="Times New Roman" w:eastAsia="Times New Roman" w:hAnsi="Times New Roman"/>
          <w:sz w:val="20"/>
          <w:szCs w:val="20"/>
        </w:rPr>
        <w:t xml:space="preserve">Bakker, A. B., &amp; Demerouti, E. (2008). Towards a model of work engagement. Career Development International, 13(3), 209–223. https://doi.org/10.1108/13620430810870476</w:t>
      </w:r>
    </w:p>
    <w:p>
      <w:pPr>
        <w:spacing w:after="120"/>
        <w:ind w:left="720" w:hanging="720"/>
        <w:jc w:val="both"/>
      </w:pPr>
      <w:r>
        <w:rPr>
          <w:rFonts w:ascii="Times New Roman" w:cs="Times New Roman" w:eastAsia="Times New Roman" w:hAnsi="Times New Roman"/>
          <w:sz w:val="20"/>
          <w:szCs w:val="20"/>
        </w:rPr>
        <w:t xml:space="preserve">Christian, M. S., Garza, A. S., &amp; Slaughter, J. E. (2011). Work engagement: A quantitative review and test of its relations with task and contextual performance. Personnel Psychology, 64(1), 89–136. https://doi.org/10.1111/j.1744-6570.2010.01203.x</w:t>
      </w:r>
    </w:p>
    <w:p>
      <w:pPr>
        <w:spacing w:after="120"/>
        <w:ind w:left="720" w:hanging="720"/>
        <w:jc w:val="both"/>
      </w:pPr>
      <w:r>
        <w:rPr>
          <w:rFonts w:ascii="Times New Roman" w:cs="Times New Roman" w:eastAsia="Times New Roman" w:hAnsi="Times New Roman"/>
          <w:sz w:val="20"/>
          <w:szCs w:val="20"/>
        </w:rPr>
        <w:t xml:space="preserve">Diab, A. (2025). Transforming adversity into strategic success: Management approaches in Palestinian higher education. Administrative Sciences, 15(11), 425.</w:t>
      </w:r>
    </w:p>
    <w:p>
      <w:pPr>
        <w:spacing w:after="120"/>
        <w:ind w:left="720" w:hanging="720"/>
        <w:jc w:val="both"/>
      </w:pPr>
      <w:r>
        <w:rPr>
          <w:rFonts w:ascii="Times New Roman" w:cs="Times New Roman" w:eastAsia="Times New Roman" w:hAnsi="Times New Roman"/>
          <w:sz w:val="20"/>
          <w:szCs w:val="20"/>
        </w:rPr>
        <w:t xml:space="preserve">Hair, J. F., Black, W. C., Babin, B. J., &amp; Anderson, R. E. (2019). Multivariate data analysis (8th ed.). Cengage Learning.</w:t>
      </w:r>
    </w:p>
    <w:p>
      <w:pPr>
        <w:spacing w:after="120"/>
        <w:ind w:left="720" w:hanging="720"/>
        <w:jc w:val="both"/>
      </w:pPr>
      <w:r>
        <w:rPr>
          <w:rFonts w:ascii="Times New Roman" w:cs="Times New Roman" w:eastAsia="Times New Roman" w:hAnsi="Times New Roman"/>
          <w:sz w:val="20"/>
          <w:szCs w:val="20"/>
        </w:rPr>
        <w:t xml:space="preserve">Hayes, A. F. (2022). Introduction to mediation, moderation, and conditional process analysis (3rd ed.). Guilford Press.</w:t>
      </w:r>
    </w:p>
    <w:p>
      <w:pPr>
        <w:spacing w:after="120"/>
        <w:ind w:left="720" w:hanging="720"/>
        <w:jc w:val="both"/>
      </w:pPr>
      <w:r>
        <w:rPr>
          <w:rFonts w:ascii="Times New Roman" w:cs="Times New Roman" w:eastAsia="Times New Roman" w:hAnsi="Times New Roman"/>
          <w:sz w:val="20"/>
          <w:szCs w:val="20"/>
        </w:rPr>
        <w:t xml:space="preserve">Herzberg, F. (1959). The motivation to work. Wiley.</w:t>
      </w:r>
    </w:p>
    <w:p>
      <w:pPr>
        <w:spacing w:after="120"/>
        <w:ind w:left="720" w:hanging="720"/>
        <w:jc w:val="both"/>
      </w:pPr>
      <w:r>
        <w:rPr>
          <w:rFonts w:ascii="Times New Roman" w:cs="Times New Roman" w:eastAsia="Times New Roman" w:hAnsi="Times New Roman"/>
          <w:sz w:val="20"/>
          <w:szCs w:val="20"/>
        </w:rPr>
        <w:t xml:space="preserve">Hobfoll, S. E. (1989). Conservation of resources: A new attempt at conceptualizing stress. American Psychologist, 44(3), 513–524. https://doi.org/10.1037/0003-066X.44.3.513</w:t>
      </w:r>
    </w:p>
    <w:p>
      <w:pPr>
        <w:spacing w:after="120"/>
        <w:ind w:left="720" w:hanging="720"/>
        <w:jc w:val="both"/>
      </w:pPr>
      <w:r>
        <w:rPr>
          <w:rFonts w:ascii="Times New Roman" w:cs="Times New Roman" w:eastAsia="Times New Roman" w:hAnsi="Times New Roman"/>
          <w:sz w:val="20"/>
          <w:szCs w:val="20"/>
        </w:rPr>
        <w:t xml:space="preserve">Kaiser, H. F. (1974). An index of factorial simplicity. Psychometrika, 39(1), 31–36. https://doi.org/10.1007/BF02291575</w:t>
      </w:r>
    </w:p>
    <w:p>
      <w:pPr>
        <w:spacing w:after="120"/>
        <w:ind w:left="720" w:hanging="720"/>
        <w:jc w:val="both"/>
      </w:pPr>
      <w:r>
        <w:rPr>
          <w:rFonts w:ascii="Times New Roman" w:cs="Times New Roman" w:eastAsia="Times New Roman" w:hAnsi="Times New Roman"/>
          <w:sz w:val="20"/>
          <w:szCs w:val="20"/>
        </w:rPr>
        <w:t xml:space="preserve">Kelley, K., Clark, B., Brown, V., &amp; Sitzia, J. (2003). Good practice in the conduct and reporting of survey research. International Journal for Quality in Health Care, 15(3), 261–266.</w:t>
      </w:r>
    </w:p>
    <w:p>
      <w:pPr>
        <w:spacing w:after="120"/>
        <w:ind w:left="720" w:hanging="720"/>
        <w:jc w:val="both"/>
      </w:pPr>
      <w:r>
        <w:rPr>
          <w:rFonts w:ascii="Times New Roman" w:cs="Times New Roman" w:eastAsia="Times New Roman" w:hAnsi="Times New Roman"/>
          <w:sz w:val="20"/>
          <w:szCs w:val="20"/>
        </w:rPr>
        <w:t xml:space="preserve">Lubis, M. F., Fajri, M., &amp; Nasriana, N. (2025). The mediating effect of job satisfaction on psychological capital and work engagement. West Science Interdisciplinary Studies, 3(12), 2213–2220.</w:t>
      </w:r>
    </w:p>
    <w:p>
      <w:pPr>
        <w:spacing w:after="120"/>
        <w:ind w:left="720" w:hanging="720"/>
        <w:jc w:val="both"/>
      </w:pPr>
      <w:r>
        <w:rPr>
          <w:rFonts w:ascii="Times New Roman" w:cs="Times New Roman" w:eastAsia="Times New Roman" w:hAnsi="Times New Roman"/>
          <w:sz w:val="20"/>
          <w:szCs w:val="20"/>
        </w:rPr>
        <w:t xml:space="preserve">Ludviga, I., &amp; Kalvina, A. (2016). Exploring the relationships between job satisfaction, work engagement and loyalty of academic staff. International Journal of Economics and Management Engineering, 10(1), 99–101.</w:t>
      </w:r>
    </w:p>
    <w:p>
      <w:pPr>
        <w:spacing w:after="120"/>
        <w:ind w:left="720" w:hanging="720"/>
        <w:jc w:val="both"/>
      </w:pPr>
      <w:r>
        <w:rPr>
          <w:rFonts w:ascii="Times New Roman" w:cs="Times New Roman" w:eastAsia="Times New Roman" w:hAnsi="Times New Roman"/>
          <w:sz w:val="20"/>
          <w:szCs w:val="20"/>
        </w:rPr>
        <w:t xml:space="preserve">Luthans, F., &amp; Youssef, C. M. (2004). Human, social, and now positive psychological capital management: Investing in people for competitive advantage. Organizational Dynamics, 33(2), 143–160.</w:t>
      </w:r>
    </w:p>
    <w:p>
      <w:pPr>
        <w:spacing w:after="120"/>
        <w:ind w:left="720" w:hanging="720"/>
        <w:jc w:val="both"/>
      </w:pPr>
      <w:r>
        <w:rPr>
          <w:rFonts w:ascii="Times New Roman" w:cs="Times New Roman" w:eastAsia="Times New Roman" w:hAnsi="Times New Roman"/>
          <w:sz w:val="20"/>
          <w:szCs w:val="20"/>
        </w:rPr>
        <w:t xml:space="preserve">Luthans, F., &amp; Youssef-Morgan, C. M. (2017). Psychological capital: An evidence-based positive approach. Annual Review of Organizational Psychology and Organizational Behavior, 4(1), 339–366.</w:t>
      </w:r>
    </w:p>
    <w:p>
      <w:pPr>
        <w:spacing w:after="120"/>
        <w:ind w:left="720" w:hanging="720"/>
        <w:jc w:val="both"/>
      </w:pPr>
      <w:r>
        <w:rPr>
          <w:rFonts w:ascii="Times New Roman" w:cs="Times New Roman" w:eastAsia="Times New Roman" w:hAnsi="Times New Roman"/>
          <w:sz w:val="20"/>
          <w:szCs w:val="20"/>
        </w:rPr>
        <w:t xml:space="preserve">Luthans, F., Youssef, C. M., &amp; Avolio, B. J. (2007a). Psychological capital: Developing the human competitive edge. Oxford University Press.</w:t>
      </w:r>
    </w:p>
    <w:p>
      <w:pPr>
        <w:spacing w:after="120"/>
        <w:ind w:left="720" w:hanging="720"/>
        <w:jc w:val="both"/>
      </w:pPr>
      <w:r>
        <w:rPr>
          <w:rFonts w:ascii="Times New Roman" w:cs="Times New Roman" w:eastAsia="Times New Roman" w:hAnsi="Times New Roman"/>
          <w:sz w:val="20"/>
          <w:szCs w:val="20"/>
        </w:rPr>
        <w:t xml:space="preserve">Luthans, F., Avolio, B. J., Avey, J. B., &amp; Norman, S. M. (2007b). Positive psychological capital: Measurement and relationship with performance and satisfaction. Personnel Psychology, 60(3), 541–572.</w:t>
      </w:r>
    </w:p>
    <w:p>
      <w:pPr>
        <w:spacing w:after="120"/>
        <w:ind w:left="720" w:hanging="720"/>
        <w:jc w:val="both"/>
      </w:pPr>
      <w:r>
        <w:rPr>
          <w:rFonts w:ascii="Times New Roman" w:cs="Times New Roman" w:eastAsia="Times New Roman" w:hAnsi="Times New Roman"/>
          <w:sz w:val="20"/>
          <w:szCs w:val="20"/>
        </w:rPr>
        <w:t xml:space="preserve">Podsakoff, P. M., MacKenzie, S. B., Lee, J. Y., &amp; Podsakoff, N. P. (2003). Common method biases in behavioral research. Journal of Applied Psychology, 88(5), 879–903.</w:t>
      </w:r>
    </w:p>
    <w:p>
      <w:pPr>
        <w:spacing w:after="120"/>
        <w:ind w:left="720" w:hanging="720"/>
        <w:jc w:val="both"/>
      </w:pPr>
      <w:r>
        <w:rPr>
          <w:rFonts w:ascii="Times New Roman" w:cs="Times New Roman" w:eastAsia="Times New Roman" w:hAnsi="Times New Roman"/>
          <w:sz w:val="20"/>
          <w:szCs w:val="20"/>
        </w:rPr>
        <w:t xml:space="preserve">Pratiwi, E. A., Widyastuti, T., Sari, A. P., &amp; Supriyanto, A. (2024). The role of psychological capital towards work engagement at private university lecturers in Bandung. Al-Ishlah: Jurnal Pendidikan, 16(2), 2681–2691.</w:t>
      </w:r>
    </w:p>
    <w:p>
      <w:pPr>
        <w:spacing w:after="120"/>
        <w:ind w:left="720" w:hanging="720"/>
        <w:jc w:val="both"/>
      </w:pPr>
      <w:r>
        <w:rPr>
          <w:rFonts w:ascii="Times New Roman" w:cs="Times New Roman" w:eastAsia="Times New Roman" w:hAnsi="Times New Roman"/>
          <w:sz w:val="20"/>
          <w:szCs w:val="20"/>
        </w:rPr>
        <w:t xml:space="preserve">Schaufeli, W. B., Bakker, A. B., &amp; Salanova, M. (2006). The measurement of work engagement with a short questionnaire: A cross-national study. Educational and Psychological Measurement, 66(4), 701–716.</w:t>
      </w:r>
    </w:p>
    <w:p>
      <w:pPr>
        <w:spacing w:after="120"/>
        <w:ind w:left="720" w:hanging="720"/>
        <w:jc w:val="both"/>
      </w:pPr>
      <w:r>
        <w:rPr>
          <w:rFonts w:ascii="Times New Roman" w:cs="Times New Roman" w:eastAsia="Times New Roman" w:hAnsi="Times New Roman"/>
          <w:sz w:val="20"/>
          <w:szCs w:val="20"/>
        </w:rPr>
        <w:t xml:space="preserve">Tabachnick, B. G., &amp; Fidell, L. S. (2019). Using multivariate statistics (7th ed.). Pearson.</w:t>
      </w:r>
    </w:p>
    <w:p>
      <w:pPr>
        <w:spacing w:after="120"/>
        <w:ind w:left="720" w:hanging="720"/>
        <w:jc w:val="both"/>
      </w:pPr>
      <w:r>
        <w:rPr>
          <w:rFonts w:ascii="Times New Roman" w:cs="Times New Roman" w:eastAsia="Times New Roman" w:hAnsi="Times New Roman"/>
          <w:sz w:val="20"/>
          <w:szCs w:val="20"/>
        </w:rPr>
        <w:t xml:space="preserve">Wahid Hasyim, Sutanto, J. E., &amp; Wibowo, H. (2019). The mediating role of psychological capital in the organizational climate and work engagement relationship. Advances in Social Science, Education and Humanities Research, 229, 991–997.</w:t>
      </w:r>
    </w:p>
    <w:p>
      <w:pPr>
        <w:spacing w:after="120"/>
        <w:ind w:left="720" w:hanging="720"/>
        <w:jc w:val="both"/>
      </w:pPr>
      <w:r>
        <w:rPr>
          <w:rFonts w:ascii="Times New Roman" w:cs="Times New Roman" w:eastAsia="Times New Roman" w:hAnsi="Times New Roman"/>
          <w:sz w:val="20"/>
          <w:szCs w:val="20"/>
        </w:rPr>
        <w:t xml:space="preserve">Weiss, D. J., Dawis, R. V., England, G. W., &amp; Lofquist, L. H. (1967). Manual for the Minnesota Satisfaction Questionnaire. University of Minnesota, Industrial Relations Center.</w:t>
      </w:r>
    </w:p>
    <w:p>
      <w:pPr>
        <w:spacing w:after="120"/>
        <w:ind w:left="720" w:hanging="720"/>
        <w:jc w:val="both"/>
      </w:pPr>
      <w:r>
        <w:rPr>
          <w:rFonts w:ascii="Times New Roman" w:cs="Times New Roman" w:eastAsia="Times New Roman" w:hAnsi="Times New Roman"/>
          <w:sz w:val="20"/>
          <w:szCs w:val="20"/>
        </w:rPr>
        <w:t xml:space="preserve">Wolf, E. J., Harrington, K. M., Clark, S. L., &amp; Miller, M. W. (2013). Sample size requirements for structural equation models. Educational and Psychological Measurement, 73(6), 913–934.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e147fcaa115fe7e9d7b2967f4acff8bb09c3c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2026-05-06T06:33:59.482Z</dcterms:created>
  <dcterms:modified xsi:type="dcterms:W3CDTF">2026-05-06T06:33:59.494Z</dcterms:modified>
</cp:coreProperties>
</file>

<file path=docProps/custom.xml><?xml version="1.0" encoding="utf-8"?>
<Properties xmlns="http://schemas.openxmlformats.org/officeDocument/2006/custom-properties" xmlns:vt="http://schemas.openxmlformats.org/officeDocument/2006/docPropsVTypes"/>
</file>