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C75819"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C75819"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C75819"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 xml:space="preserve">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w:t>
      </w:r>
      <w:proofErr w:type="spellStart"/>
      <w:r w:rsidR="006814EE">
        <w:t>argmax</w:t>
      </w:r>
      <w:proofErr w:type="spellEnd"/>
      <w:r w:rsidR="006814EE">
        <w:t>,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C75819"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C75819"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C75819"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C75819"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lastRenderedPageBreak/>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r w:rsidR="00C75819">
        <w:fldChar w:fldCharType="begin"/>
      </w:r>
      <w:r w:rsidR="00C75819">
        <w:instrText xml:space="preserve"> SEQ Figure \* ARABIC </w:instrText>
      </w:r>
      <w:r w:rsidR="00C75819">
        <w:fldChar w:fldCharType="separate"/>
      </w:r>
      <w:r>
        <w:rPr>
          <w:noProof/>
        </w:rPr>
        <w:t>1</w:t>
      </w:r>
      <w:r w:rsidR="00C75819">
        <w:rPr>
          <w:noProof/>
        </w:rPr>
        <w:fldChar w:fldCharType="end"/>
      </w:r>
      <w:r>
        <w:t xml:space="preserve">: Casting Merton’s Portfolio Optimization problem as an MDP. </w:t>
      </w:r>
    </w:p>
    <w:p w14:paraId="6958449B" w14:textId="5EDDD315" w:rsidR="007F602A" w:rsidRDefault="00532DC5" w:rsidP="00532DC5">
      <w:pPr>
        <w:pStyle w:val="Heading2"/>
      </w:pPr>
      <w:r>
        <w:t>Solution</w:t>
      </w:r>
    </w:p>
    <w:p w14:paraId="7EF7C423" w14:textId="089672F3" w:rsidR="00532DC5" w:rsidRDefault="00CA11A4" w:rsidP="00532DC5">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p>
    <w:p w14:paraId="0EC49A0A" w14:textId="2F392748" w:rsidR="00796EB8" w:rsidRDefault="00796EB8">
      <w:pPr>
        <w:spacing w:after="0"/>
      </w:pPr>
      <w:r>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4"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7701B47B"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w:t>
      </w:r>
      <w:proofErr w:type="gramStart"/>
      <w:r>
        <w:rPr>
          <w:i/>
        </w:rPr>
        <w:t xml:space="preserve">policy </w:t>
      </w:r>
      <w:proofErr w:type="gramEnd"/>
      <m:oMath>
        <m:r>
          <w:rPr>
            <w:rFonts w:ascii="Cambria Math" w:hAnsi="Cambria Math"/>
          </w:rPr>
          <m:t>π</m:t>
        </m:r>
      </m:oMath>
      <w:r>
        <w:rPr>
          <w:i/>
        </w:rPr>
        <w:t xml:space="preserve">, the </w:t>
      </w:r>
      <m:oMath>
        <m:r>
          <w:rPr>
            <w:rFonts w:ascii="Cambria Math" w:hAnsi="Cambria Math"/>
          </w:rPr>
          <m:t>ϵ</m:t>
        </m:r>
      </m:oMath>
      <w:r>
        <w:rPr>
          <w:i/>
        </w:rPr>
        <w:t>-greedy</w:t>
      </w:r>
      <w:r>
        <w:rPr>
          <w:i/>
        </w:rPr>
        <w:t xml:space="preserve">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w:t>
      </w:r>
      <w:proofErr w:type="gramStart"/>
      <w:r>
        <w:t xml:space="preserve">probability </w:t>
      </w:r>
      <w:proofErr w:type="gramEnd"/>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w:t>
      </w:r>
      <w:proofErr w:type="gramStart"/>
      <w:r>
        <w:t xml:space="preserve">policy </w:t>
      </w:r>
      <w:proofErr w:type="gramEnd"/>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C87C21"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w:t>
      </w:r>
      <w:proofErr w:type="gramStart"/>
      <w:r w:rsidR="00216D7B">
        <w:t xml:space="preserve">probability </w:t>
      </w:r>
      <w:proofErr w:type="gramEnd"/>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590E67"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C87C21"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1B0DB596" w:rsidR="00C87C21" w:rsidRPr="00982637" w:rsidRDefault="00C87C21" w:rsidP="00982637">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bookmarkStart w:id="0" w:name="_GoBack"/>
      <w:bookmarkEnd w:id="0"/>
      <w:r>
        <w:rPr>
          <w:b/>
        </w:rPr>
        <w:t>.</w:t>
      </w:r>
    </w:p>
    <w:sectPr w:rsidR="00C87C21" w:rsidRPr="00982637" w:rsidSect="00FD1241">
      <w:headerReference w:type="default" r:id="rId16"/>
      <w:footerReference w:type="default" r:id="rId17"/>
      <w:headerReference w:type="first" r:id="rId18"/>
      <w:footerReference w:type="first" r:id="rId19"/>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2AD96" w14:textId="77777777" w:rsidR="00C75819" w:rsidRDefault="00C75819" w:rsidP="00BF3CA4">
      <w:r>
        <w:separator/>
      </w:r>
    </w:p>
    <w:p w14:paraId="23BA2F6E" w14:textId="77777777" w:rsidR="00C75819" w:rsidRDefault="00C75819" w:rsidP="00BF3CA4"/>
  </w:endnote>
  <w:endnote w:type="continuationSeparator" w:id="0">
    <w:p w14:paraId="61987A8D" w14:textId="77777777" w:rsidR="00C75819" w:rsidRDefault="00C75819" w:rsidP="00BF3CA4">
      <w:r>
        <w:continuationSeparator/>
      </w:r>
    </w:p>
    <w:p w14:paraId="31A24BF0" w14:textId="77777777" w:rsidR="00C75819" w:rsidRDefault="00C75819" w:rsidP="00BF3CA4"/>
  </w:endnote>
  <w:endnote w:type="continuationNotice" w:id="1">
    <w:p w14:paraId="79F7AA13" w14:textId="77777777" w:rsidR="00C75819" w:rsidRDefault="00C75819"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0E743AE9" w:rsidR="00C62D69" w:rsidRDefault="00C62D69" w:rsidP="00BF3CA4">
    <w:pPr>
      <w:pStyle w:val="Footer"/>
    </w:pPr>
    <w:r>
      <w:t>CONFIDENTIAL/</w:t>
    </w:r>
    <w:r>
      <w:fldChar w:fldCharType="begin"/>
    </w:r>
    <w:r>
      <w:instrText xml:space="preserve"> DATE \@ "MMMM d, yyyy" </w:instrText>
    </w:r>
    <w:r>
      <w:fldChar w:fldCharType="separate"/>
    </w:r>
    <w:r w:rsidR="00532630">
      <w:rPr>
        <w:noProof/>
      </w:rPr>
      <w:t>March 6,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C87C21">
          <w:rPr>
            <w:noProof/>
          </w:rPr>
          <w:t>8</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DBF79" w14:textId="77777777" w:rsidR="00C75819" w:rsidRDefault="00C75819" w:rsidP="00BF3CA4">
      <w:r>
        <w:separator/>
      </w:r>
    </w:p>
    <w:p w14:paraId="029782C4" w14:textId="77777777" w:rsidR="00C75819" w:rsidRDefault="00C75819" w:rsidP="00BF3CA4"/>
  </w:footnote>
  <w:footnote w:type="continuationSeparator" w:id="0">
    <w:p w14:paraId="19E80271" w14:textId="77777777" w:rsidR="00C75819" w:rsidRDefault="00C75819" w:rsidP="00BF3CA4">
      <w:r>
        <w:continuationSeparator/>
      </w:r>
    </w:p>
    <w:p w14:paraId="74B257CB" w14:textId="77777777" w:rsidR="00C75819" w:rsidRDefault="00C75819" w:rsidP="00BF3CA4"/>
  </w:footnote>
  <w:footnote w:type="continuationNotice" w:id="1">
    <w:p w14:paraId="1ECB5D8C" w14:textId="77777777" w:rsidR="00C75819" w:rsidRDefault="00C75819"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6B4B"/>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6D7B"/>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4DA"/>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4F1"/>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75819"/>
    <w:rsid w:val="00C803FC"/>
    <w:rsid w:val="00C80BC6"/>
    <w:rsid w:val="00C838F1"/>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nvestopedia.com/terms/b/blackscholes.as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77"/>
    <w:rsid w:val="00443969"/>
    <w:rsid w:val="00A4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F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3.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4.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6.xml><?xml version="1.0" encoding="utf-8"?>
<ds:datastoreItem xmlns:ds="http://schemas.openxmlformats.org/officeDocument/2006/customXml" ds:itemID="{A0134248-C475-412D-9C99-D1743EA1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9</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37</cp:revision>
  <cp:lastPrinted>2019-11-12T17:25:00Z</cp:lastPrinted>
  <dcterms:created xsi:type="dcterms:W3CDTF">2020-01-12T19:58:00Z</dcterms:created>
  <dcterms:modified xsi:type="dcterms:W3CDTF">2020-03-06T17:46:00Z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