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0D2237"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0D2237"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0D2237"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 xml:space="preserve">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w:t>
      </w:r>
      <w:proofErr w:type="spellStart"/>
      <w:r w:rsidR="006814EE">
        <w:t>argmax</w:t>
      </w:r>
      <w:proofErr w:type="spellEnd"/>
      <w:r w:rsidR="006814EE">
        <w:t>,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0D2237"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33573220" w:rsidR="008F1DBF" w:rsidRPr="00821F35" w:rsidRDefault="008F1DBF" w:rsidP="008F1DBF">
      <w:r>
        <w:t>Solving the above PDE yields the Bellman value function, which is an optimal value function derived from a corresponding optimal policy.</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w:t>
      </w:r>
      <w:proofErr w:type="spellStart"/>
      <w:r>
        <w:t>premia</w:t>
      </w:r>
      <w:proofErr w:type="spellEnd"/>
      <w:r>
        <w:t xml:space="preserve">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0D2237"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0D2237"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Where now the relative risk aversion is constant</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0D2237"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0E576948" w:rsidR="00177699" w:rsidRDefault="0038389A" w:rsidP="0038389A">
      <w:pPr>
        <w:pStyle w:val="Heading1"/>
      </w:pPr>
      <w:r>
        <w:lastRenderedPageBreak/>
        <w:t>Application 1 – Merton Portfolio Optimization</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3131BBCC" w:rsidR="004F2148" w:rsidRPr="00BB7DB6" w:rsidRDefault="007F602A" w:rsidP="007F602A">
      <w:pPr>
        <w:pStyle w:val="Caption"/>
        <w:jc w:val="center"/>
      </w:pPr>
      <w:r>
        <w:t xml:space="preserve">Figure </w:t>
      </w:r>
      <w:r w:rsidR="000D2237">
        <w:fldChar w:fldCharType="begin"/>
      </w:r>
      <w:r w:rsidR="000D2237">
        <w:instrText xml:space="preserve"> SEQ Figure \* ARABIC </w:instrText>
      </w:r>
      <w:r w:rsidR="000D2237">
        <w:fldChar w:fldCharType="separate"/>
      </w:r>
      <w:r>
        <w:rPr>
          <w:noProof/>
        </w:rPr>
        <w:t>1</w:t>
      </w:r>
      <w:r w:rsidR="000D2237">
        <w:rPr>
          <w:noProof/>
        </w:rPr>
        <w:fldChar w:fldCharType="end"/>
      </w:r>
      <w:r>
        <w:t xml:space="preserve">: Casting Merton’s Portfolio Optimization problem as an MDP. </w:t>
      </w:r>
    </w:p>
    <w:p w14:paraId="6958449B" w14:textId="5EDDD315" w:rsidR="007F602A" w:rsidRDefault="00532DC5" w:rsidP="00532DC5">
      <w:pPr>
        <w:pStyle w:val="Heading2"/>
      </w:pPr>
      <w:r>
        <w:t>Solution</w:t>
      </w:r>
    </w:p>
    <w:p w14:paraId="7EF7C423" w14:textId="089672F3" w:rsidR="00532DC5" w:rsidRDefault="00CA11A4" w:rsidP="00532DC5">
      <w:r>
        <w:t xml:space="preserve">The Merton portfolio problem has an analytical solution which is given in the course slides. This solution is derived from an HJB </w:t>
      </w:r>
      <w:r w:rsidR="00677758">
        <w:t xml:space="preserve">formulation of the problem. In the analytical solution, we see that the optimal allocation </w:t>
      </w:r>
      <w:r w:rsidR="007F59E8">
        <w:t xml:space="preserve">and expected portfolio return are both </w:t>
      </w:r>
      <w:r w:rsidR="00677758">
        <w:t>constant with time, and the fractional consumption depends only on time.</w:t>
      </w:r>
    </w:p>
    <w:p w14:paraId="0EC49A0A" w14:textId="2F392748" w:rsidR="00796EB8" w:rsidRDefault="00796EB8">
      <w:pPr>
        <w:spacing w:after="0"/>
      </w:pPr>
      <w:r>
        <w:br w:type="page"/>
      </w:r>
    </w:p>
    <w:p w14:paraId="3EA4CF98" w14:textId="7F8D4E4D" w:rsidR="00796EB8" w:rsidRDefault="00796EB8" w:rsidP="00796EB8">
      <w:pPr>
        <w:pStyle w:val="Heading1"/>
      </w:pPr>
      <w:r>
        <w:lastRenderedPageBreak/>
        <w:t>Application 2 –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1B595317" w:rsidR="00DA6468" w:rsidRPr="00DA6468" w:rsidRDefault="00DA6468" w:rsidP="00DA6468">
      <w:r>
        <w:t xml:space="preserve">The traditional solution to this problem is given by the Black-Scholes formulas (see e.g. </w:t>
      </w:r>
      <w:hyperlink r:id="rId14"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14265E64" w14:textId="1C0A9455" w:rsidR="005E1CB0" w:rsidRDefault="005E1CB0">
      <w:pPr>
        <w:spacing w:after="0"/>
      </w:pPr>
      <w:r>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55A67A04" w14:textId="65C895BD" w:rsidR="001D4824" w:rsidRPr="001D4824" w:rsidRDefault="009E767A" w:rsidP="001D4824">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bookmarkStart w:id="0" w:name="_GoBack"/>
      <w:bookmarkEnd w:id="0"/>
    </w:p>
    <w:p w14:paraId="0990754F" w14:textId="61BC41FF" w:rsidR="005E1CB0" w:rsidRPr="005E1CB0" w:rsidRDefault="005E1CB0" w:rsidP="005E1CB0">
      <w:hyperlink r:id="rId15" w:history="1">
        <w:r>
          <w:rPr>
            <w:rStyle w:val="Hyperlink"/>
          </w:rPr>
          <w:t>https://medium.com/@zsalloum/monte-carlo-in-reinforcement-learning-the-easy-way-564c53010511</w:t>
        </w:r>
      </w:hyperlink>
    </w:p>
    <w:sectPr w:rsidR="005E1CB0" w:rsidRPr="005E1CB0" w:rsidSect="00FD1241">
      <w:headerReference w:type="default" r:id="rId16"/>
      <w:footerReference w:type="default" r:id="rId17"/>
      <w:headerReference w:type="first" r:id="rId18"/>
      <w:footerReference w:type="first" r:id="rId19"/>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1B986" w14:textId="77777777" w:rsidR="000D2237" w:rsidRDefault="000D2237" w:rsidP="00BF3CA4">
      <w:r>
        <w:separator/>
      </w:r>
    </w:p>
    <w:p w14:paraId="61E74B87" w14:textId="77777777" w:rsidR="000D2237" w:rsidRDefault="000D2237" w:rsidP="00BF3CA4"/>
  </w:endnote>
  <w:endnote w:type="continuationSeparator" w:id="0">
    <w:p w14:paraId="79A762C8" w14:textId="77777777" w:rsidR="000D2237" w:rsidRDefault="000D2237" w:rsidP="00BF3CA4">
      <w:r>
        <w:continuationSeparator/>
      </w:r>
    </w:p>
    <w:p w14:paraId="25858B5E" w14:textId="77777777" w:rsidR="000D2237" w:rsidRDefault="000D2237" w:rsidP="00BF3CA4"/>
  </w:endnote>
  <w:endnote w:type="continuationNotice" w:id="1">
    <w:p w14:paraId="3581767F" w14:textId="77777777" w:rsidR="000D2237" w:rsidRDefault="000D2237"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3D47A9A3" w:rsidR="00C62D69" w:rsidRDefault="00C62D69" w:rsidP="00BF3CA4">
    <w:pPr>
      <w:pStyle w:val="Footer"/>
    </w:pPr>
    <w:r>
      <w:t>CONFIDENTIAL/</w:t>
    </w:r>
    <w:r>
      <w:fldChar w:fldCharType="begin"/>
    </w:r>
    <w:r>
      <w:instrText xml:space="preserve"> DATE \@ "MMMM d, yyyy" </w:instrText>
    </w:r>
    <w:r>
      <w:fldChar w:fldCharType="separate"/>
    </w:r>
    <w:r w:rsidR="005E1CB0">
      <w:rPr>
        <w:noProof/>
      </w:rPr>
      <w:t>February 12,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9E767A">
          <w:rPr>
            <w:noProof/>
          </w:rPr>
          <w:t>7</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E9AB1" w14:textId="77777777" w:rsidR="000D2237" w:rsidRDefault="000D2237" w:rsidP="00BF3CA4">
      <w:r>
        <w:separator/>
      </w:r>
    </w:p>
    <w:p w14:paraId="4AB1598F" w14:textId="77777777" w:rsidR="000D2237" w:rsidRDefault="000D2237" w:rsidP="00BF3CA4"/>
  </w:footnote>
  <w:footnote w:type="continuationSeparator" w:id="0">
    <w:p w14:paraId="06C99252" w14:textId="77777777" w:rsidR="000D2237" w:rsidRDefault="000D2237" w:rsidP="00BF3CA4">
      <w:r>
        <w:continuationSeparator/>
      </w:r>
    </w:p>
    <w:p w14:paraId="7DFEFA60" w14:textId="77777777" w:rsidR="000D2237" w:rsidRDefault="000D2237" w:rsidP="00BF3CA4"/>
  </w:footnote>
  <w:footnote w:type="continuationNotice" w:id="1">
    <w:p w14:paraId="33DB5039" w14:textId="77777777" w:rsidR="000D2237" w:rsidRDefault="000D2237"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70F8"/>
    <w:rsid w:val="001D0EC7"/>
    <w:rsid w:val="001D10E7"/>
    <w:rsid w:val="001D4824"/>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5BCA"/>
    <w:rsid w:val="006670D9"/>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7969"/>
    <w:rsid w:val="00812859"/>
    <w:rsid w:val="0081576E"/>
    <w:rsid w:val="00820244"/>
    <w:rsid w:val="00821F35"/>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BE2"/>
    <w:rsid w:val="00B71E4A"/>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7A89"/>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FE3F00"/>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FE3F00"/>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medium.com/@zsalloum/monte-carlo-in-reinforcement-learning-the-easy-way-564c53010511"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nvestopedia.com/terms/b/blackscholes.asp" TargetMode="Externa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3.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4.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6.xml><?xml version="1.0" encoding="utf-8"?>
<ds:datastoreItem xmlns:ds="http://schemas.openxmlformats.org/officeDocument/2006/customXml" ds:itemID="{A60EB77A-5188-4DD7-99ED-C6BA91C6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7</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22</cp:revision>
  <cp:lastPrinted>2019-11-12T17:25:00Z</cp:lastPrinted>
  <dcterms:created xsi:type="dcterms:W3CDTF">2020-01-12T19:58:00Z</dcterms:created>
  <dcterms:modified xsi:type="dcterms:W3CDTF">2020-02-13T00:51:00Z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