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20" w:lineRule="auto"/>
        <w:contextualSpacing w:val="0"/>
        <w:rPr>
          <w:color w:val="1f497d"/>
          <w:highlight w:val="white"/>
        </w:rPr>
      </w:pPr>
      <w:r w:rsidDel="00000000" w:rsidR="00000000" w:rsidRPr="00000000">
        <w:rPr>
          <w:color w:val="1f497d"/>
          <w:highlight w:val="white"/>
          <w:rtl w:val="0"/>
        </w:rPr>
        <w:t xml:space="preserve">Dear Data Justice Lab,</w:t>
      </w:r>
    </w:p>
    <w:p w:rsidR="00000000" w:rsidDel="00000000" w:rsidP="00000000" w:rsidRDefault="00000000" w:rsidRPr="00000000" w14:paraId="00000001">
      <w:pPr>
        <w:spacing w:after="220" w:lineRule="auto"/>
        <w:contextualSpacing w:val="0"/>
        <w:rPr>
          <w:color w:val="1f497d"/>
          <w:highlight w:val="white"/>
        </w:rPr>
      </w:pPr>
      <w:r w:rsidDel="00000000" w:rsidR="00000000" w:rsidRPr="00000000">
        <w:rPr>
          <w:color w:val="1f497d"/>
          <w:highlight w:val="white"/>
          <w:rtl w:val="0"/>
        </w:rPr>
        <w:t xml:space="preserve">Thank you for your request of 1</w:t>
      </w:r>
      <w:r w:rsidDel="00000000" w:rsidR="00000000" w:rsidRPr="00000000">
        <w:rPr>
          <w:color w:val="1f497d"/>
          <w:highlight w:val="white"/>
          <w:vertAlign w:val="superscript"/>
          <w:rtl w:val="0"/>
        </w:rPr>
        <w:t xml:space="preserve">st</w:t>
      </w:r>
      <w:r w:rsidDel="00000000" w:rsidR="00000000" w:rsidRPr="00000000">
        <w:rPr>
          <w:color w:val="1f497d"/>
          <w:highlight w:val="white"/>
          <w:rtl w:val="0"/>
        </w:rPr>
        <w:t xml:space="preserve"> May and we apologise for the long delay in sending this response.</w:t>
      </w:r>
    </w:p>
    <w:p w:rsidR="00000000" w:rsidDel="00000000" w:rsidP="00000000" w:rsidRDefault="00000000" w:rsidRPr="00000000" w14:paraId="00000002">
      <w:pPr>
        <w:spacing w:after="220" w:lineRule="auto"/>
        <w:contextualSpacing w:val="0"/>
        <w:rPr>
          <w:color w:val="1f497d"/>
          <w:highlight w:val="white"/>
        </w:rPr>
      </w:pPr>
      <w:r w:rsidDel="00000000" w:rsidR="00000000" w:rsidRPr="00000000">
        <w:rPr>
          <w:color w:val="1f497d"/>
          <w:highlight w:val="white"/>
          <w:rtl w:val="0"/>
        </w:rPr>
        <w:t xml:space="preserve">In your request, you asked for:</w:t>
      </w:r>
    </w:p>
    <w:p w:rsidR="00000000" w:rsidDel="00000000" w:rsidP="00000000" w:rsidRDefault="00000000" w:rsidRPr="00000000" w14:paraId="00000003">
      <w:pPr>
        <w:spacing w:after="220" w:lineRule="auto"/>
        <w:contextualSpacing w:val="0"/>
        <w:rPr>
          <w:i w:val="1"/>
          <w:color w:val="1155cc"/>
          <w:highlight w:val="white"/>
          <w:u w:val="single"/>
        </w:rPr>
      </w:pPr>
      <w:r w:rsidDel="00000000" w:rsidR="00000000" w:rsidRPr="00000000">
        <w:rPr>
          <w:i w:val="1"/>
          <w:color w:val="1f497d"/>
          <w:highlight w:val="white"/>
          <w:rtl w:val="0"/>
        </w:rPr>
        <w:t xml:space="preserve">documents relating to data analytics, predictive analytics, algorithmic or automated systems used for risk assessment, predictive analytics, scoring systems or automated decision making within the jurisdiction of the London Borough of Hackney. This could include, *but may not be limited to*, Hackney based systems such as the “Early Help Profiling System” (EHPS), the Children’s Safety Profiling Model, the London Counter Fraud Hub, software and services provided by Xantura to Hackney. We have already submitted a more specific request relating to the “Early Help Profiling System” (EHPS), so please exclude information relating to that system from this request response. Public references to these systems can be found here:</w:t>
      </w:r>
      <w:hyperlink r:id="rId6">
        <w:r w:rsidDel="00000000" w:rsidR="00000000" w:rsidRPr="00000000">
          <w:rPr>
            <w:i w:val="1"/>
            <w:color w:val="1f497d"/>
            <w:highlight w:val="white"/>
            <w:rtl w:val="0"/>
          </w:rPr>
          <w:t xml:space="preserve"> </w:t>
        </w:r>
      </w:hyperlink>
      <w:r w:rsidDel="00000000" w:rsidR="00000000" w:rsidRPr="00000000">
        <w:fldChar w:fldCharType="begin"/>
        <w:instrText xml:space="preserve"> HYPERLINK "https://www.londoncouncils.gov.uk/node/30949" </w:instrText>
        <w:fldChar w:fldCharType="separate"/>
      </w:r>
      <w:r w:rsidDel="00000000" w:rsidR="00000000" w:rsidRPr="00000000">
        <w:rPr>
          <w:i w:val="1"/>
          <w:color w:val="1155cc"/>
          <w:highlight w:val="white"/>
          <w:u w:val="single"/>
          <w:rtl w:val="0"/>
        </w:rPr>
        <w:t xml:space="preserve">https://www.londoncouncils.gov.uk/node/30949</w:t>
      </w:r>
    </w:p>
    <w:p w:rsidR="00000000" w:rsidDel="00000000" w:rsidP="00000000" w:rsidRDefault="00000000" w:rsidRPr="00000000" w14:paraId="00000004">
      <w:pPr>
        <w:ind w:left="1220" w:hanging="360"/>
        <w:contextualSpacing w:val="0"/>
        <w:rPr>
          <w:i w:val="1"/>
          <w:color w:val="1f497d"/>
          <w:highlight w:val="white"/>
        </w:rPr>
      </w:pPr>
      <w:r w:rsidDel="00000000" w:rsidR="00000000" w:rsidRPr="00000000">
        <w:fldChar w:fldCharType="end"/>
      </w: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briefing notes, reports, evaluations, or summaries concerning the systems.</w:t>
      </w:r>
    </w:p>
    <w:p w:rsidR="00000000" w:rsidDel="00000000" w:rsidP="00000000" w:rsidRDefault="00000000" w:rsidRPr="00000000" w14:paraId="00000005">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overviews about how system outputs are produced</w:t>
      </w:r>
    </w:p>
    <w:p w:rsidR="00000000" w:rsidDel="00000000" w:rsidP="00000000" w:rsidRDefault="00000000" w:rsidRPr="00000000" w14:paraId="00000006">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information on safeguarding measures related to the systems. For example, procedures that attempt to ensure a system does not reproduce bias.</w:t>
      </w:r>
    </w:p>
    <w:p w:rsidR="00000000" w:rsidDel="00000000" w:rsidP="00000000" w:rsidRDefault="00000000" w:rsidRPr="00000000" w14:paraId="00000007">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data visualization outputs connected to the systems.</w:t>
      </w:r>
    </w:p>
    <w:p w:rsidR="00000000" w:rsidDel="00000000" w:rsidP="00000000" w:rsidRDefault="00000000" w:rsidRPr="00000000" w14:paraId="00000008">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promotional material, presentation material, or educational material related to the systems.</w:t>
      </w:r>
    </w:p>
    <w:p w:rsidR="00000000" w:rsidDel="00000000" w:rsidP="00000000" w:rsidRDefault="00000000" w:rsidRPr="00000000" w14:paraId="00000009">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contracts relating to the systems.</w:t>
      </w:r>
    </w:p>
    <w:p w:rsidR="00000000" w:rsidDel="00000000" w:rsidP="00000000" w:rsidRDefault="00000000" w:rsidRPr="00000000" w14:paraId="0000000A">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training manuals or materials (e.g. slides, etc.) for staff about data collection, analysis, assessment and reporting as related to the use of the systems.</w:t>
      </w:r>
    </w:p>
    <w:p w:rsidR="00000000" w:rsidDel="00000000" w:rsidP="00000000" w:rsidRDefault="00000000" w:rsidRPr="00000000" w14:paraId="0000000B">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contracts with private companies, private contractors, other government agencies and non-governmental agencies that are connected to the development and ongoing use of the systems.</w:t>
      </w:r>
    </w:p>
    <w:p w:rsidR="00000000" w:rsidDel="00000000" w:rsidP="00000000" w:rsidRDefault="00000000" w:rsidRPr="00000000" w14:paraId="0000000C">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Any reports or summaries related to real or potential costs versus savings associated with use of the systems.</w:t>
      </w:r>
    </w:p>
    <w:p w:rsidR="00000000" w:rsidDel="00000000" w:rsidP="00000000" w:rsidRDefault="00000000" w:rsidRPr="00000000" w14:paraId="0000000D">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The software that comprises the systems.</w:t>
      </w:r>
    </w:p>
    <w:p w:rsidR="00000000" w:rsidDel="00000000" w:rsidP="00000000" w:rsidRDefault="00000000" w:rsidRPr="00000000" w14:paraId="0000000E">
      <w:pPr>
        <w:ind w:left="1220" w:hanging="360"/>
        <w:contextualSpacing w:val="0"/>
        <w:rPr>
          <w:i w:val="1"/>
          <w:color w:val="1f497d"/>
          <w:highlight w:val="white"/>
        </w:rPr>
      </w:pPr>
      <w:r w:rsidDel="00000000" w:rsidR="00000000" w:rsidRPr="00000000">
        <w:rPr>
          <w:rFonts w:ascii="Times New Roman" w:cs="Times New Roman" w:eastAsia="Times New Roman" w:hAnsi="Times New Roman"/>
          <w:color w:val="1f497d"/>
          <w:sz w:val="20"/>
          <w:szCs w:val="20"/>
          <w:highlight w:val="white"/>
          <w:rtl w:val="0"/>
        </w:rPr>
        <w:t xml:space="preserve">·</w:t>
      </w:r>
      <w:r w:rsidDel="00000000" w:rsidR="00000000" w:rsidRPr="00000000">
        <w:rPr>
          <w:rFonts w:ascii="Times New Roman" w:cs="Times New Roman" w:eastAsia="Times New Roman" w:hAnsi="Times New Roman"/>
          <w:color w:val="1f497d"/>
          <w:sz w:val="24"/>
          <w:szCs w:val="24"/>
          <w:highlight w:val="white"/>
          <w:rtl w:val="0"/>
        </w:rPr>
        <w:t xml:space="preserve">     </w:t>
      </w:r>
      <w:r w:rsidDel="00000000" w:rsidR="00000000" w:rsidRPr="00000000">
        <w:rPr>
          <w:i w:val="1"/>
          <w:color w:val="1f497d"/>
          <w:highlight w:val="white"/>
          <w:rtl w:val="0"/>
        </w:rPr>
        <w:t xml:space="preserve">Information on what sources of data the systems use.</w:t>
      </w:r>
    </w:p>
    <w:p w:rsidR="00000000" w:rsidDel="00000000" w:rsidP="00000000" w:rsidRDefault="00000000" w:rsidRPr="00000000" w14:paraId="0000000F">
      <w:pPr>
        <w:spacing w:after="22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10">
      <w:pPr>
        <w:spacing w:after="220" w:lineRule="auto"/>
        <w:contextualSpacing w:val="0"/>
        <w:rPr>
          <w:b w:val="1"/>
          <w:color w:val="1f497d"/>
          <w:highlight w:val="white"/>
        </w:rPr>
      </w:pPr>
      <w:r w:rsidDel="00000000" w:rsidR="00000000" w:rsidRPr="00000000">
        <w:rPr>
          <w:b w:val="1"/>
          <w:color w:val="1f497d"/>
          <w:highlight w:val="white"/>
          <w:rtl w:val="0"/>
        </w:rPr>
        <w:t xml:space="preserve">Our response:</w:t>
      </w:r>
    </w:p>
    <w:p w:rsidR="00000000" w:rsidDel="00000000" w:rsidP="00000000" w:rsidRDefault="00000000" w:rsidRPr="00000000" w14:paraId="00000011">
      <w:pPr>
        <w:spacing w:after="220" w:lineRule="auto"/>
        <w:contextualSpacing w:val="0"/>
        <w:rPr>
          <w:color w:val="1f497d"/>
          <w:highlight w:val="white"/>
        </w:rPr>
      </w:pPr>
      <w:r w:rsidDel="00000000" w:rsidR="00000000" w:rsidRPr="00000000">
        <w:rPr>
          <w:color w:val="1f497d"/>
          <w:highlight w:val="white"/>
          <w:rtl w:val="0"/>
        </w:rPr>
        <w:t xml:space="preserve">In common with other organisations, London Borough of Hackney carries out a range of data analytics projects and systems. These vary in scale and include corporate initiatives and others run directly by Council service teams. In order to identify all of these projects and the documentation that you have requested we would need to contact every service in the Council and then, for each one, request and review the information listed above.</w:t>
      </w:r>
    </w:p>
    <w:p w:rsidR="00000000" w:rsidDel="00000000" w:rsidP="00000000" w:rsidRDefault="00000000" w:rsidRPr="00000000" w14:paraId="00000012">
      <w:pPr>
        <w:spacing w:after="220" w:lineRule="auto"/>
        <w:contextualSpacing w:val="0"/>
        <w:rPr>
          <w:color w:val="1f497d"/>
          <w:highlight w:val="white"/>
        </w:rPr>
      </w:pPr>
      <w:r w:rsidDel="00000000" w:rsidR="00000000" w:rsidRPr="00000000">
        <w:rPr>
          <w:color w:val="1f497d"/>
          <w:highlight w:val="white"/>
          <w:rtl w:val="0"/>
        </w:rPr>
        <w:t xml:space="preserve">The Freedom of Information and Data Protection (Appropriate Limit and Fees) Regulations 2004 has set the appropriate limit as £450 based on a charge at £25 per hour. Section 12 of the Act states that the Council is not obliged to comply with a request for information if the authority estimates that the costs of complying with the request would exceed the appropriate limit.</w:t>
      </w:r>
    </w:p>
    <w:p w:rsidR="00000000" w:rsidDel="00000000" w:rsidP="00000000" w:rsidRDefault="00000000" w:rsidRPr="00000000" w14:paraId="00000013">
      <w:pPr>
        <w:spacing w:after="220" w:lineRule="auto"/>
        <w:contextualSpacing w:val="0"/>
        <w:rPr>
          <w:color w:val="1f497d"/>
          <w:highlight w:val="white"/>
        </w:rPr>
      </w:pPr>
      <w:r w:rsidDel="00000000" w:rsidR="00000000" w:rsidRPr="00000000">
        <w:rPr>
          <w:color w:val="1f497d"/>
          <w:highlight w:val="white"/>
          <w:rtl w:val="0"/>
        </w:rPr>
        <w:t xml:space="preserve">The appropriate limit is represented by the estimated cost of one person spending 2½ working days (or 18 hours) in determining whether the Council holds the information, and locating, retrieving and extracting the information requested. Consequently the Council is not obliged to respond to your request under the Freedom of Information Act 2000.</w:t>
      </w:r>
    </w:p>
    <w:p w:rsidR="00000000" w:rsidDel="00000000" w:rsidP="00000000" w:rsidRDefault="00000000" w:rsidRPr="00000000" w14:paraId="00000014">
      <w:pPr>
        <w:spacing w:after="220" w:lineRule="auto"/>
        <w:contextualSpacing w:val="0"/>
        <w:rPr>
          <w:color w:val="1f497d"/>
          <w:highlight w:val="white"/>
        </w:rPr>
      </w:pPr>
      <w:r w:rsidDel="00000000" w:rsidR="00000000" w:rsidRPr="00000000">
        <w:rPr>
          <w:color w:val="1f497d"/>
          <w:highlight w:val="white"/>
          <w:rtl w:val="0"/>
        </w:rPr>
        <w:t xml:space="preserve">We believe it would take far in excess of 18 hours to identify, gather and collate all the information relating to data analytics projects in Hackney.</w:t>
      </w:r>
    </w:p>
    <w:p w:rsidR="00000000" w:rsidDel="00000000" w:rsidP="00000000" w:rsidRDefault="00000000" w:rsidRPr="00000000" w14:paraId="00000015">
      <w:pPr>
        <w:spacing w:after="220" w:lineRule="auto"/>
        <w:contextualSpacing w:val="0"/>
        <w:rPr>
          <w:color w:val="1f497d"/>
          <w:highlight w:val="white"/>
        </w:rPr>
      </w:pPr>
      <w:r w:rsidDel="00000000" w:rsidR="00000000" w:rsidRPr="00000000">
        <w:rPr>
          <w:color w:val="1f497d"/>
          <w:highlight w:val="white"/>
          <w:rtl w:val="0"/>
        </w:rPr>
        <w:t xml:space="preserve">In the future it may be possible for us to publish a list of data analytics projects, although it is unlikely we would be able to share the full list of documentation you have asked for.</w:t>
      </w:r>
    </w:p>
    <w:p w:rsidR="00000000" w:rsidDel="00000000" w:rsidP="00000000" w:rsidRDefault="00000000" w:rsidRPr="00000000" w14:paraId="00000016">
      <w:pPr>
        <w:spacing w:after="220" w:lineRule="auto"/>
        <w:contextualSpacing w:val="0"/>
        <w:rPr>
          <w:color w:val="1f497d"/>
          <w:highlight w:val="white"/>
        </w:rPr>
      </w:pPr>
      <w:r w:rsidDel="00000000" w:rsidR="00000000" w:rsidRPr="00000000">
        <w:rPr>
          <w:color w:val="1f497d"/>
          <w:highlight w:val="white"/>
          <w:rtl w:val="0"/>
        </w:rPr>
        <w:t xml:space="preserve">In the meantime, we could potentially produce some of the information you have asked for the three named systems if, in a revised request, you were to identify the most important pieces of information. We cannot guarantee this however, and any revised request would be treated as a new request.</w:t>
      </w:r>
    </w:p>
    <w:p w:rsidR="00000000" w:rsidDel="00000000" w:rsidP="00000000" w:rsidRDefault="00000000" w:rsidRPr="00000000" w14:paraId="00000017">
      <w:pPr>
        <w:spacing w:after="220" w:lineRule="auto"/>
        <w:contextualSpacing w:val="0"/>
        <w:rPr>
          <w:color w:val="1f497d"/>
          <w:highlight w:val="white"/>
        </w:rPr>
      </w:pPr>
      <w:r w:rsidDel="00000000" w:rsidR="00000000" w:rsidRPr="00000000">
        <w:rPr>
          <w:color w:val="1f497d"/>
          <w:highlight w:val="white"/>
          <w:rtl w:val="0"/>
        </w:rPr>
        <w:t xml:space="preserve">Alternatively, if you would like to have a more free-ranging discussion about our data analytics plans and approach, not under the Act, we would be happy to put you in touch with a relevant Council officer.</w:t>
      </w:r>
    </w:p>
    <w:p w:rsidR="00000000" w:rsidDel="00000000" w:rsidP="00000000" w:rsidRDefault="00000000" w:rsidRPr="00000000" w14:paraId="00000018">
      <w:pPr>
        <w:contextualSpacing w:val="0"/>
        <w:rPr>
          <w:color w:val="1f497d"/>
        </w:rPr>
      </w:pPr>
      <w:r w:rsidDel="00000000" w:rsidR="00000000" w:rsidRPr="00000000">
        <w:rPr>
          <w:color w:val="1f497d"/>
          <w:rtl w:val="0"/>
        </w:rPr>
        <w:t xml:space="preserve">If you are dissatisfied with this response and wish to appeal, please respond to this email to request an Internal Review.</w:t>
      </w:r>
    </w:p>
    <w:p w:rsidR="00000000" w:rsidDel="00000000" w:rsidP="00000000" w:rsidRDefault="00000000" w:rsidRPr="00000000" w14:paraId="00000019">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1A">
      <w:pPr>
        <w:contextualSpacing w:val="0"/>
        <w:rPr>
          <w:color w:val="1f497d"/>
        </w:rPr>
      </w:pPr>
      <w:r w:rsidDel="00000000" w:rsidR="00000000" w:rsidRPr="00000000">
        <w:rPr>
          <w:color w:val="1f497d"/>
          <w:rtl w:val="0"/>
        </w:rPr>
        <w:t xml:space="preserve">If you are still not satisfied following the Internal Review, you have a right to appeal to the Information Commissioner.</w:t>
      </w:r>
    </w:p>
    <w:p w:rsidR="00000000" w:rsidDel="00000000" w:rsidP="00000000" w:rsidRDefault="00000000" w:rsidRPr="00000000" w14:paraId="0000001B">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1C">
      <w:pPr>
        <w:contextualSpacing w:val="0"/>
        <w:rPr>
          <w:color w:val="1f497d"/>
        </w:rPr>
      </w:pPr>
      <w:r w:rsidDel="00000000" w:rsidR="00000000" w:rsidRPr="00000000">
        <w:rPr>
          <w:color w:val="1f497d"/>
          <w:rtl w:val="0"/>
        </w:rPr>
        <w:t xml:space="preserve">https://ico.org.uk/global/contact-us/email/</w:t>
      </w:r>
    </w:p>
    <w:p w:rsidR="00000000" w:rsidDel="00000000" w:rsidP="00000000" w:rsidRDefault="00000000" w:rsidRPr="00000000" w14:paraId="0000001D">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1E">
      <w:pPr>
        <w:contextualSpacing w:val="0"/>
        <w:rPr>
          <w:color w:val="1f497d"/>
        </w:rPr>
      </w:pPr>
      <w:r w:rsidDel="00000000" w:rsidR="00000000" w:rsidRPr="00000000">
        <w:rPr>
          <w:color w:val="1f497d"/>
          <w:rtl w:val="0"/>
        </w:rPr>
        <w:t xml:space="preserve">Information Commissioner's Office</w:t>
      </w:r>
    </w:p>
    <w:p w:rsidR="00000000" w:rsidDel="00000000" w:rsidP="00000000" w:rsidRDefault="00000000" w:rsidRPr="00000000" w14:paraId="0000001F">
      <w:pPr>
        <w:contextualSpacing w:val="0"/>
        <w:rPr>
          <w:color w:val="1f497d"/>
        </w:rPr>
      </w:pPr>
      <w:r w:rsidDel="00000000" w:rsidR="00000000" w:rsidRPr="00000000">
        <w:rPr>
          <w:color w:val="1f497d"/>
          <w:rtl w:val="0"/>
        </w:rPr>
        <w:t xml:space="preserve">Wycliffe House</w:t>
      </w:r>
    </w:p>
    <w:p w:rsidR="00000000" w:rsidDel="00000000" w:rsidP="00000000" w:rsidRDefault="00000000" w:rsidRPr="00000000" w14:paraId="00000020">
      <w:pPr>
        <w:contextualSpacing w:val="0"/>
        <w:rPr>
          <w:color w:val="1f497d"/>
        </w:rPr>
      </w:pPr>
      <w:r w:rsidDel="00000000" w:rsidR="00000000" w:rsidRPr="00000000">
        <w:rPr>
          <w:color w:val="1f497d"/>
          <w:rtl w:val="0"/>
        </w:rPr>
        <w:t xml:space="preserve">Water Lane</w:t>
      </w:r>
    </w:p>
    <w:p w:rsidR="00000000" w:rsidDel="00000000" w:rsidP="00000000" w:rsidRDefault="00000000" w:rsidRPr="00000000" w14:paraId="00000021">
      <w:pPr>
        <w:contextualSpacing w:val="0"/>
        <w:rPr>
          <w:color w:val="1f497d"/>
        </w:rPr>
      </w:pPr>
      <w:r w:rsidDel="00000000" w:rsidR="00000000" w:rsidRPr="00000000">
        <w:rPr>
          <w:color w:val="1f497d"/>
          <w:rtl w:val="0"/>
        </w:rPr>
        <w:t xml:space="preserve">Wilmslow</w:t>
      </w:r>
    </w:p>
    <w:p w:rsidR="00000000" w:rsidDel="00000000" w:rsidP="00000000" w:rsidRDefault="00000000" w:rsidRPr="00000000" w14:paraId="00000022">
      <w:pPr>
        <w:contextualSpacing w:val="0"/>
        <w:rPr>
          <w:color w:val="1f497d"/>
        </w:rPr>
      </w:pPr>
      <w:r w:rsidDel="00000000" w:rsidR="00000000" w:rsidRPr="00000000">
        <w:rPr>
          <w:color w:val="1f497d"/>
          <w:rtl w:val="0"/>
        </w:rPr>
        <w:t xml:space="preserve">Cheshire</w:t>
      </w:r>
    </w:p>
    <w:p w:rsidR="00000000" w:rsidDel="00000000" w:rsidP="00000000" w:rsidRDefault="00000000" w:rsidRPr="00000000" w14:paraId="00000023">
      <w:pPr>
        <w:contextualSpacing w:val="0"/>
        <w:rPr>
          <w:color w:val="1f497d"/>
        </w:rPr>
      </w:pPr>
      <w:r w:rsidDel="00000000" w:rsidR="00000000" w:rsidRPr="00000000">
        <w:rPr>
          <w:color w:val="1f497d"/>
          <w:rtl w:val="0"/>
        </w:rPr>
        <w:t xml:space="preserve">SK9 5AF</w:t>
      </w:r>
    </w:p>
    <w:p w:rsidR="00000000" w:rsidDel="00000000" w:rsidP="00000000" w:rsidRDefault="00000000" w:rsidRPr="00000000" w14:paraId="00000024">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5">
      <w:pPr>
        <w:contextualSpacing w:val="0"/>
        <w:rPr>
          <w:color w:val="1f497d"/>
        </w:rPr>
      </w:pPr>
      <w:r w:rsidDel="00000000" w:rsidR="00000000" w:rsidRPr="00000000">
        <w:rPr>
          <w:color w:val="1f497d"/>
          <w:rtl w:val="0"/>
        </w:rPr>
        <w:t xml:space="preserve">0303 123 1113</w:t>
      </w:r>
    </w:p>
    <w:p w:rsidR="00000000" w:rsidDel="00000000" w:rsidP="00000000" w:rsidRDefault="00000000" w:rsidRPr="00000000" w14:paraId="00000026">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7">
      <w:pPr>
        <w:contextualSpacing w:val="0"/>
        <w:rPr>
          <w:color w:val="1f497d"/>
        </w:rPr>
      </w:pPr>
      <w:r w:rsidDel="00000000" w:rsidR="00000000" w:rsidRPr="00000000">
        <w:rPr>
          <w:color w:val="1f497d"/>
          <w:rtl w:val="0"/>
        </w:rPr>
        <w:t xml:space="preserve">Kind regards</w:t>
      </w:r>
    </w:p>
    <w:p w:rsidR="00000000" w:rsidDel="00000000" w:rsidP="00000000" w:rsidRDefault="00000000" w:rsidRPr="00000000" w14:paraId="00000028">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9">
      <w:pPr>
        <w:contextualSpacing w:val="0"/>
        <w:rPr>
          <w:color w:val="1f497d"/>
        </w:rPr>
      </w:pPr>
      <w:r w:rsidDel="00000000" w:rsidR="00000000" w:rsidRPr="00000000">
        <w:rPr>
          <w:color w:val="1f497d"/>
          <w:rtl w:val="0"/>
        </w:rPr>
        <w:t xml:space="preserve">Information Management</w:t>
      </w:r>
    </w:p>
    <w:p w:rsidR="00000000" w:rsidDel="00000000" w:rsidP="00000000" w:rsidRDefault="00000000" w:rsidRPr="00000000" w14:paraId="0000002A">
      <w:pPr>
        <w:contextualSpacing w:val="0"/>
        <w:rPr>
          <w:color w:val="1f497d"/>
        </w:rPr>
      </w:pPr>
      <w:r w:rsidDel="00000000" w:rsidR="00000000" w:rsidRPr="00000000">
        <w:rPr>
          <w:color w:val="1f497d"/>
          <w:rtl w:val="0"/>
        </w:rPr>
        <w:t xml:space="preserve">ICT Services</w:t>
      </w:r>
    </w:p>
    <w:p w:rsidR="00000000" w:rsidDel="00000000" w:rsidP="00000000" w:rsidRDefault="00000000" w:rsidRPr="00000000" w14:paraId="0000002B">
      <w:pPr>
        <w:contextualSpacing w:val="0"/>
        <w:rPr>
          <w:color w:val="1f497d"/>
        </w:rPr>
      </w:pPr>
      <w:r w:rsidDel="00000000" w:rsidR="00000000" w:rsidRPr="00000000">
        <w:rPr>
          <w:color w:val="1f497d"/>
          <w:rtl w:val="0"/>
        </w:rPr>
        <w:t xml:space="preserve">London Borough of Hackney</w:t>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ndoncouncils.gov.uk/node/30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