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before="0" w:line="276"/>
        <w:jc w:val="center"/>
      </w:pPr>
      <w:r>
        <w:rPr>
          <w:rFonts w:ascii="Calibri" w:cs="Calibri" w:eastAsia="Calibri" w:hAnsi="Calibri"/>
          <w:b/>
          <w:bCs/>
          <w:i w:val="false"/>
          <w:iCs w:val="false"/>
          <w:sz w:val="22"/>
          <w:szCs w:val="22"/>
        </w:rPr>
        <w:t xml:space="preserve">UNIVERSIDADE FEDERAL DE SANTA CATARINA</w:t>
      </w:r>
    </w:p>
    <w:p>
      <w:pPr>
        <w:spacing w:after="200" w:before="0" w:line="276"/>
        <w:jc w:val="center"/>
      </w:pPr>
      <w:r>
        <w:rPr>
          <w:rFonts w:ascii="Calibri" w:cs="Calibri" w:eastAsia="Calibri" w:hAnsi="Calibri"/>
          <w:b w:val="false"/>
          <w:bCs w:val="false"/>
          <w:i w:val="false"/>
          <w:iCs w:val="false"/>
          <w:sz w:val="20"/>
          <w:szCs w:val="20"/>
        </w:rPr>
        <w:t xml:space="preserve">PROGRAMA DE PÓS-GRADUAÇÃO EM DIREITO (PPGD/UFSC)</w:t>
      </w:r>
    </w:p>
    <w:p>
      <w:pPr>
        <w:spacing w:after="800"/>
      </w:pPr>
    </w:p>
    <w:p>
      <w:pPr>
        <w:spacing w:after="200" w:before="0" w:line="276"/>
        <w:jc w:val="center"/>
      </w:pPr>
      <w:r>
        <w:rPr>
          <w:rFonts w:ascii="Calibri" w:cs="Calibri" w:eastAsia="Calibri" w:hAnsi="Calibri"/>
          <w:b/>
          <w:bCs/>
          <w:i w:val="false"/>
          <w:iCs w:val="false"/>
          <w:sz w:val="36"/>
          <w:szCs w:val="36"/>
        </w:rPr>
        <w:t xml:space="preserve">APÊNDICE METODOLÓGICO</w:t>
      </w:r>
    </w:p>
    <w:p>
      <w:pPr>
        <w:spacing w:after="200"/>
      </w:pPr>
    </w:p>
    <w:p>
      <w:pPr>
        <w:spacing w:after="200" w:before="0" w:line="276"/>
        <w:jc w:val="center"/>
      </w:pPr>
      <w:r>
        <w:rPr>
          <w:rFonts w:ascii="Calibri" w:cs="Calibri" w:eastAsia="Calibri" w:hAnsi="Calibri"/>
          <w:b/>
          <w:bCs/>
          <w:i w:val="false"/>
          <w:iCs w:val="false"/>
          <w:sz w:val="26"/>
          <w:szCs w:val="26"/>
        </w:rPr>
        <w:t xml:space="preserve">TOOLKIT COMPUTACIONAL PARA ANÁLISE ICONOGRÁFICA QUANTITATIVA</w:t>
      </w:r>
    </w:p>
    <w:p>
      <w:pPr>
        <w:spacing w:after="400"/>
      </w:pPr>
    </w:p>
    <w:p>
      <w:pPr>
        <w:spacing w:after="200" w:before="0" w:line="276"/>
        <w:jc w:val="center"/>
      </w:pPr>
      <w:r>
        <w:rPr>
          <w:rFonts w:ascii="Calibri" w:cs="Calibri" w:eastAsia="Calibri" w:hAnsi="Calibri"/>
          <w:b/>
          <w:bCs/>
          <w:sz w:val="22"/>
          <w:szCs w:val="22"/>
        </w:rPr>
        <w:t xml:space="preserve">Tese: </w:t>
      </w:r>
      <w:r>
        <w:rPr>
          <w:rFonts w:ascii="Calibri" w:cs="Calibri" w:eastAsia="Calibri" w:hAnsi="Calibri"/>
          <w:i/>
          <w:iCs/>
          <w:sz w:val="22"/>
          <w:szCs w:val="22"/>
        </w:rPr>
        <w:t xml:space="preserve">“Contrato Sexual Visual &amp; Regime Iconocrático: Alegorias Femininas na Cultura Jurídica (1789–2024)”</w:t>
      </w:r>
    </w:p>
    <w:p>
      <w:pPr>
        <w:spacing w:after="2000"/>
      </w:pPr>
    </w:p>
    <w:p>
      <w:pPr>
        <w:spacing w:after="200" w:before="0" w:line="276"/>
        <w:jc w:val="center"/>
      </w:pPr>
      <w:r>
        <w:rPr>
          <w:rFonts w:ascii="Calibri" w:cs="Calibri" w:eastAsia="Calibri" w:hAnsi="Calibri"/>
          <w:b w:val="false"/>
          <w:bCs w:val="false"/>
          <w:i w:val="false"/>
          <w:iCs w:val="false"/>
          <w:sz w:val="22"/>
          <w:szCs w:val="22"/>
        </w:rPr>
        <w:t xml:space="preserve">Florianópolis, 2026</w:t>
      </w:r>
    </w:p>
    <w:p>
      <w:r>
        <w:br w:type="page"/>
      </w:r>
    </w:p>
    <w:p>
      <w:pPr>
        <w:spacing w:after="400" w:before="0" w:line="276"/>
        <w:jc w:val="center"/>
      </w:pPr>
      <w:r>
        <w:rPr>
          <w:rFonts w:ascii="Calibri" w:cs="Calibri" w:eastAsia="Calibri" w:hAnsi="Calibri"/>
          <w:b/>
          <w:bCs/>
          <w:i w:val="false"/>
          <w:iCs w:val="false"/>
          <w:sz w:val="28"/>
          <w:szCs w:val="28"/>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pPr>
      <w:r>
        <w:rPr>
          <w:rFonts w:ascii="Calibri" w:cs="Calibri" w:eastAsia="Calibri" w:hAnsi="Calibri"/>
          <w:b/>
          <w:bCs/>
          <w:color w:val="1a1a2e"/>
          <w:sz w:val="28"/>
          <w:szCs w:val="28"/>
        </w:rPr>
        <w:t xml:space="preserve">1. Introdução e Justificativa</w:t>
      </w:r>
    </w:p>
    <w:p>
      <w:pPr>
        <w:spacing w:after="200" w:before="0" w:line="276"/>
        <w:jc w:val="both"/>
      </w:pPr>
      <w:r>
        <w:rPr>
          <w:rFonts w:ascii="Calibri" w:cs="Calibri" w:eastAsia="Calibri" w:hAnsi="Calibri"/>
          <w:b w:val="false"/>
          <w:bCs w:val="false"/>
          <w:i w:val="false"/>
          <w:iCs w:val="false"/>
          <w:sz w:val="22"/>
          <w:szCs w:val="22"/>
        </w:rPr>
        <w:t xml:space="preserve">A presente tese de doutorado, intitulada “Contrato Sexual Visual &amp; Regime Iconocrático: Alegorias Femininas na Cultura Jurídica (1789–2024)”, desenvolvida no âmbito do Programa de Pós-Graduação em Direito da Universidade Federal de Santa Catarina (PPGD/UFSC), investiga como as alegorias femininas do poder estatal — Marianne, Justitia, Columbia, a República e Britannia — operam como dispositivos visuais que simultaneamente legitimam e invisibilizam o contrato sexual subjacente à ordem jurídica moderna. Para conduzir esta investigação com rigor metodológico, tornou-se necessário desenvolver um conjunto de ferramentas computacionais capazes de operacionalizar categorias analíticas oriundas da iconologia warburguiana, da crítica feminista do direito e da teoria crítica racial.</w:t>
      </w:r>
    </w:p>
    <w:p>
      <w:pPr>
        <w:spacing w:after="200" w:before="0" w:line="276"/>
        <w:jc w:val="both"/>
      </w:pPr>
      <w:r>
        <w:rPr>
          <w:rFonts w:ascii="Calibri" w:cs="Calibri" w:eastAsia="Calibri" w:hAnsi="Calibri"/>
          <w:b w:val="false"/>
          <w:bCs w:val="false"/>
          <w:i w:val="false"/>
          <w:iCs w:val="false"/>
          <w:sz w:val="22"/>
          <w:szCs w:val="22"/>
        </w:rPr>
        <w:t xml:space="preserve">A lacuna metodológica que este toolkit busca preencher é significativa. Na intersecção entre estudos visuais, teoria jurídica e humanidades digitais, não existe ferramenta que combine a análise iconológica de tradição warburguiana (Warburg, 1929; Didi-Huberman, 2002) com a codificação quantitativa de alegorias de gênero no Estado. As ferramentas existentes no campo das humanidades digitais — como o Iconclass Browser ou plataformas de análise de imagens — não oferecem indicadores específicos para capturar dimensões como a corporalidade feminina (FEI), a idealização racial (WI/RI) ou a vulnerabilidade maternal (MVI) presentes nas alegorias jurídicas.</w:t>
      </w:r>
    </w:p>
    <w:p>
      <w:pPr>
        <w:spacing w:after="200" w:before="0" w:line="276"/>
        <w:jc w:val="both"/>
      </w:pPr>
      <w:r>
        <w:rPr>
          <w:rFonts w:ascii="Calibri" w:cs="Calibri" w:eastAsia="Calibri" w:hAnsi="Calibri"/>
          <w:b w:val="false"/>
          <w:bCs w:val="false"/>
          <w:i w:val="false"/>
          <w:iCs w:val="false"/>
          <w:sz w:val="22"/>
          <w:szCs w:val="22"/>
        </w:rPr>
        <w:t xml:space="preserve">O método adotado pela tese é designado como “iconológico-forense”, combinando a leitura profunda (close reading) das imagens — em diálogo com Aby Warburg, Erwin Panofsky e Georges Didi-Huberman — com a codificação sistemática de dez indicadores quantitativos que permitem comparações transversais entre países, regimes políticos e suportes materiais. Este enfoque misto (mixed-method) responde à exigência de se analisar um corpus de 300 a 500 imagens distribuídas por cinco países (França, Brasil, Estados Unidos, Reino Unido e Alemanha), três tipos de regime (normativo, militar/autoritário e transitório) e múltiplos suportes (moedas, selos, monumentos, pinturas oficiais, cartazes e mídia digital).</w:t>
      </w:r>
    </w:p>
    <w:p>
      <w:pPr>
        <w:spacing w:after="200" w:before="0" w:line="276"/>
        <w:jc w:val="both"/>
      </w:pPr>
      <w:r>
        <w:rPr>
          <w:rFonts w:ascii="Calibri" w:cs="Calibri" w:eastAsia="Calibri" w:hAnsi="Calibri"/>
          <w:b w:val="false"/>
          <w:bCs w:val="false"/>
          <w:i w:val="false"/>
          <w:iCs w:val="false"/>
          <w:sz w:val="22"/>
          <w:szCs w:val="22"/>
        </w:rPr>
        <w:t xml:space="preserve">O toolkit foi integralmente desenvolvido em Python 3.10+, utilizando exclusivamente bibliotecas de código aberto. Esta escolha responde a três imperativos acadêmicos: (a) reprodutibilidade, permitindo que outros pesquisadores repliquem e verifiquem os resultados; (b) transparência, com todo o código-fonte disponível para inspeção da banca e da comunidade científica; e (c) acessibilidade, não exigindo licenças comerciais de software. O presente apêndice documenta cada módulo, suas justificativas teóricas, regras operacionais e decisões de design, visando oferecer à banca examinadora uma visão completa e crítica do aparato metodológico empregado.</w:t>
      </w:r>
    </w:p>
    <w:p>
      <w:pPr>
        <w:spacing w:after="200" w:before="0" w:line="276"/>
        <w:jc w:val="both"/>
      </w:pPr>
      <w:r>
        <w:rPr>
          <w:rFonts w:ascii="Calibri" w:cs="Calibri" w:eastAsia="Calibri" w:hAnsi="Calibri"/>
          <w:b w:val="false"/>
          <w:bCs w:val="false"/>
          <w:i w:val="false"/>
          <w:iCs w:val="false"/>
          <w:sz w:val="22"/>
          <w:szCs w:val="22"/>
        </w:rPr>
        <w:t xml:space="preserve">Cabe ressaltar que o desenvolvimento do toolkit não constitui um fim em si mesmo, mas um meio para garantir a validade interna e externa da pesquisa. Cada módulo corresponde a uma etapa específica do cronograma da tese, desde a constituição do corpus (Meses 4–6) até a análise estatística final (Meses 13–18), passando pela codificação inter-codificadores (Meses 9–10) e pela integração com o padrão internacional Iconclass. A documentação que se segue reflete este percurso, apresentando não apenas o “como”, mas sobretudo o “por quê” de cada decisão arquitetural e analítica.</w:t>
      </w:r>
    </w:p>
    <w:p>
      <w:r>
        <w:br w:type="page"/>
      </w:r>
    </w:p>
    <w:p>
      <w:pPr>
        <w:pStyle w:val="Heading1"/>
        <w:spacing w:after="240" w:before="360"/>
      </w:pPr>
      <w:r>
        <w:rPr>
          <w:rFonts w:ascii="Calibri" w:cs="Calibri" w:eastAsia="Calibri" w:hAnsi="Calibri"/>
          <w:b/>
          <w:bCs/>
          <w:color w:val="1a1a2e"/>
          <w:sz w:val="28"/>
          <w:szCs w:val="28"/>
        </w:rPr>
        <w:t xml:space="preserve">2. Arquitetura do Sistema</w:t>
      </w:r>
    </w:p>
    <w:p>
      <w:pPr>
        <w:spacing w:after="200" w:before="0" w:line="276"/>
        <w:jc w:val="both"/>
      </w:pPr>
      <w:r>
        <w:rPr>
          <w:rFonts w:ascii="Calibri" w:cs="Calibri" w:eastAsia="Calibri" w:hAnsi="Calibri"/>
          <w:b w:val="false"/>
          <w:bCs w:val="false"/>
          <w:i w:val="false"/>
          <w:iCs w:val="false"/>
          <w:sz w:val="22"/>
          <w:szCs w:val="22"/>
        </w:rPr>
        <w:t xml:space="preserve">O toolkit é composto por seis módulos interdependentes, cada um responsável por uma etapa específica do fluxo de pesquisa: (1) corpus.py, para gestão e validação do acervo de imagens; (2) codificacao.py, que implementa o sistema de dez indicadores de codificação; (3) estatistica.py, responsável pelas análises descritivas e inferenciais; (4) kappa.py, dedicado ao cálculo de confiabilidade inter-codificadores; (5) iconclass_.py, que realiza a ponte entre o sistema de codificação próprio e o padrão internacional Iconclass; e (6) matriz.py, que gerencia a matriz de evidências proveniente das revisões sistemáticas. Todos os módulos são orquestrados por um ponto de entrada unificado (main.py) que oferece uma interface de linha de comando (CLI).</w:t>
      </w:r>
    </w:p>
    <w:p>
      <w:pPr>
        <w:spacing w:after="200" w:before="0" w:line="276"/>
        <w:jc w:val="both"/>
      </w:pPr>
      <w:r>
        <w:rPr>
          <w:rFonts w:ascii="Calibri" w:cs="Calibri" w:eastAsia="Calibri" w:hAnsi="Calibri"/>
          <w:b w:val="false"/>
          <w:bCs w:val="false"/>
          <w:i w:val="false"/>
          <w:iCs w:val="false"/>
          <w:sz w:val="22"/>
          <w:szCs w:val="22"/>
        </w:rPr>
        <w:t xml:space="preserve">O fluxo de dados segue um pipeline sequencial com retroalimentações. O pesquisador inicia pela constituição do corpus, adicionando imagens com seus metadados (país, figura alegórica, suporte, ano, fonte). Uma vez que o corpus atinge o checkpoint mínimo de validação (≥300 imagens, ≥50 por país, todos os três regimes representados), procede-se à etapa de codificação, na qual cada imagem recebe valores nos dez indicadores. Os dados codificados alimentam simultaneamente o módulo de estatística (para testes de hipóteses), o módulo de kappa (para verificação de confiabilidade entre codificadores) e o módulo Iconclass (para mapeamento ao padrão internacional). A matriz de evidências opera em paralelo, integrando achados bibliográficos das nove revisões sistemáticas previstas na tese.</w:t>
      </w:r>
    </w:p>
    <w:p>
      <w:pPr>
        <w:spacing w:after="200" w:before="0" w:line="276"/>
        <w:jc w:val="both"/>
      </w:pPr>
      <w:r>
        <w:rPr>
          <w:rFonts w:ascii="Calibri" w:cs="Calibri" w:eastAsia="Calibri" w:hAnsi="Calibri"/>
          <w:b w:val="false"/>
          <w:bCs w:val="false"/>
          <w:i w:val="false"/>
          <w:iCs w:val="false"/>
          <w:sz w:val="22"/>
          <w:szCs w:val="22"/>
        </w:rPr>
        <w:t xml:space="preserve">As escolhas tecnológicas foram guiadas por critérios de reprodutibilidade, maturidade e adequação ao campo das humanidades digitais. Python 3.10+ foi escolhido como linguagem principal por ser a mais utilizada em projetos de humanidades digitais, além de oferecer um ecossistema robusto de bibliotecas científicas. As dependências centrais incluem: pandas (versão ≥1.5) para manipulação de dados tabulares; scipy (versão ≥1.7) para testes estatísticos não-paramétricos; scikit-learn para métricas de concordância como o Cohen’s Kappa; matplotlib e seaborn para visualizações estatísticas; e a biblioteca padrão do Python para operações de sistema de arquivos e serialização JSON.</w:t>
      </w:r>
    </w:p>
    <w:p>
      <w:pPr>
        <w:spacing w:after="200" w:before="0" w:line="276"/>
        <w:jc w:val="both"/>
      </w:pPr>
      <w:r>
        <w:rPr>
          <w:rFonts w:ascii="Calibri" w:cs="Calibri" w:eastAsia="Calibri" w:hAnsi="Calibri"/>
          <w:b w:val="false"/>
          <w:bCs w:val="false"/>
          <w:i w:val="false"/>
          <w:iCs w:val="false"/>
          <w:sz w:val="22"/>
          <w:szCs w:val="22"/>
        </w:rPr>
        <w:t xml:space="preserve">A opção por ferramentas de código aberto não é meramente pragmática, mas epistemológica. Em uma tese que investiga regimes de visibilidade e poder, a transparência do aparato analítico constitui em si mesma um posicionamento metodológico. Diferentemente de softwares proprietários como SPSS ou NVivo, cujos algoritmos internos são opacos, o toolkit aqui documentado permite inspeção integral de cada cálculo, cada regra de validação e cada árvore de decisão empregada na codificação. As bibliotecas selecionadas (pandas, scipy, scikit-learn, matplotlib, seaborn) são amplamente validadas pela comunidade científica internacional e possuem documentação extensa, garantindo que futuras replicações possam ser conduzidas sem dependência do presente pesquisador.</w:t>
      </w:r>
    </w:p>
    <w:p>
      <w:r>
        <w:br w:type="page"/>
      </w:r>
    </w:p>
    <w:p>
      <w:pPr>
        <w:pStyle w:val="Heading1"/>
        <w:spacing w:after="240" w:before="360"/>
      </w:pPr>
      <w:r>
        <w:rPr>
          <w:rFonts w:ascii="Calibri" w:cs="Calibri" w:eastAsia="Calibri" w:hAnsi="Calibri"/>
          <w:b/>
          <w:bCs/>
          <w:color w:val="1a1a2e"/>
          <w:sz w:val="28"/>
          <w:szCs w:val="28"/>
        </w:rPr>
        <w:t xml:space="preserve">3. Módulo de Gestão do Corpus (corpus.py)</w:t>
      </w:r>
    </w:p>
    <w:p>
      <w:pPr>
        <w:spacing w:after="200" w:before="0" w:line="276"/>
        <w:jc w:val="both"/>
      </w:pPr>
      <w:r>
        <w:rPr>
          <w:rFonts w:ascii="Calibri" w:cs="Calibri" w:eastAsia="Calibri" w:hAnsi="Calibri"/>
          <w:b w:val="false"/>
          <w:bCs w:val="false"/>
          <w:i w:val="false"/>
          <w:iCs w:val="false"/>
          <w:sz w:val="22"/>
          <w:szCs w:val="22"/>
        </w:rPr>
        <w:t xml:space="preserve">O módulo corpus.py constitui o alicerce do toolkit, sendo responsável pela gestão sistemática de um acervo de 300 a 500 imagens que compõem o corpus iconográfico da tese. Estas imagens são distribuídas por cinco países (França, Brasil, Estados Unidos, Reino Unido e Alemanha), três tipos de regime político (normativo, militar/autoritário e transitório) e múltiplos suportes materiais (moedas, selos, monumentos, pinturas oficiais, cartazes e mídia digital). A complexidade combinatória destas dimensões exige uma estrutura de dados rigorosa que previna erros de classificação e garanta a completude do corpus.</w:t>
      </w:r>
    </w:p>
    <w:p>
      <w:pPr>
        <w:spacing w:after="200" w:before="0" w:line="276"/>
        <w:jc w:val="both"/>
      </w:pPr>
      <w:r>
        <w:rPr>
          <w:rFonts w:ascii="Calibri" w:cs="Calibri" w:eastAsia="Calibri" w:hAnsi="Calibri"/>
          <w:b w:val="false"/>
          <w:bCs w:val="false"/>
          <w:i w:val="false"/>
          <w:iCs w:val="false"/>
          <w:sz w:val="22"/>
          <w:szCs w:val="22"/>
        </w:rPr>
        <w:t xml:space="preserve">O modelo de dados central é implementado como uma dataclass Python denominada ImagemCorpus, contendo 13 campos estruturados: Image_ID (identificador único alfanumérico), Country (código ISO do país: FR, BR, US, GB, DE), Figure (figura alegórica: Marianne, Justitia, Columbia, República, Britannia), Support (suporte material: moeda, selo, monumento, pintura, cartaz, digital), Year (ano de produção ou estimativa), Source_URL (URL da fonte digital), Rights (regime de direitos autorais), File_path (caminho relativo do arquivo de imagem), Regime_preliminary (classificação preliminar do regime político), Description (descrição iconográfica breve), Artist (artista ou autor, quando identificado), Collection (coleção ou acervo de origem) e Added_date (data de inserção no corpus).</w:t>
      </w:r>
    </w:p>
    <w:p>
      <w:pPr>
        <w:spacing w:after="200" w:before="0" w:line="276"/>
        <w:jc w:val="both"/>
      </w:pPr>
      <w:r>
        <w:rPr>
          <w:rFonts w:ascii="Calibri" w:cs="Calibri" w:eastAsia="Calibri" w:hAnsi="Calibri"/>
          <w:b w:val="false"/>
          <w:bCs w:val="false"/>
          <w:i w:val="false"/>
          <w:iCs w:val="false"/>
          <w:sz w:val="22"/>
          <w:szCs w:val="22"/>
        </w:rPr>
        <w:t xml:space="preserve">As regras de validação implementadas servem como salvaguardas contra inconsistências que comprometeriam a análise comparativa. O campo Country aceita exclusivamente os códigos dos cinco países estudados; o campo Figure é restrito às cinco alegorias mapeadas; o campo Year deve situar-se no intervalo 1789–2024; e o campo Support deve corresponder a uma das seis categorias predefinidas. Estas restrições não são arbitrárias, mas decorrem diretamente do recorte temporal e geográfico da tese, garantindo que toda imagem inserida no corpus seja comparável com as demais dentro dos eixos analíticos propostos.</w:t>
      </w:r>
    </w:p>
    <w:p>
      <w:pPr>
        <w:spacing w:after="200" w:before="0" w:line="276"/>
        <w:jc w:val="both"/>
      </w:pPr>
      <w:r>
        <w:rPr>
          <w:rFonts w:ascii="Calibri" w:cs="Calibri" w:eastAsia="Calibri" w:hAnsi="Calibri"/>
          <w:b w:val="false"/>
          <w:bCs w:val="false"/>
          <w:i w:val="false"/>
          <w:iCs w:val="false"/>
          <w:sz w:val="22"/>
          <w:szCs w:val="22"/>
        </w:rPr>
        <w:t xml:space="preserve">A organização física dos arquivos segue o padrão hierárquico /corpus/{country}/, de modo que as imagens francesas residem em /corpus/FR/, as brasileiras em /corpus/BR/, e assim por diante. A convenção de nomenclatura dos arquivos obedece ao formato: {PAÍS}_{FIGURA}_{ANO}_{SUPORTE}_{SEQUENCIAL}.jpg, como por exemplo FR_Marianne_1792_moeda_001.jpg. Esta convenção torna o arquivo autoexplicativo, permitindo identificação visual rápida mesmo fora do ambiente do toolkit, e facilita operações de backup e migração.</w:t>
      </w:r>
    </w:p>
    <w:p>
      <w:pPr>
        <w:spacing w:after="200" w:before="0" w:line="276"/>
        <w:jc w:val="both"/>
      </w:pPr>
      <w:r>
        <w:rPr>
          <w:rFonts w:ascii="Calibri" w:cs="Calibri" w:eastAsia="Calibri" w:hAnsi="Calibri"/>
          <w:b w:val="false"/>
          <w:bCs w:val="false"/>
          <w:i w:val="false"/>
          <w:iCs w:val="false"/>
          <w:sz w:val="22"/>
          <w:szCs w:val="22"/>
        </w:rPr>
        <w:t xml:space="preserve">O sistema de checkpoint de validação opera em três níveis: (a) o corpus deve conter no mínimo 300 imagens para que as análises estatísticas tenham poder suficiente; (b) cada país deve ter no mínimo 50 imagens para permitir comparações intra-país significativas; e (c) os três tipos de regime devem estar representados em cada país para viabilizar a análise comparativa por regime. Estes checkpoints estão alinhados com o cronograma da tese, devendo ser atingidos entre os Meses 4 e 6 da pesquisa. O toolkit emite relatórios detalhados de progresso indicando lacunas específicas a serem preenchidas.</w:t>
      </w:r>
    </w:p>
    <w:p>
      <w:r>
        <w:br w:type="page"/>
      </w:r>
    </w:p>
    <w:p>
      <w:pPr>
        <w:pStyle w:val="Heading1"/>
        <w:spacing w:after="240" w:before="360"/>
      </w:pPr>
      <w:r>
        <w:rPr>
          <w:rFonts w:ascii="Calibri" w:cs="Calibri" w:eastAsia="Calibri" w:hAnsi="Calibri"/>
          <w:b/>
          <w:bCs/>
          <w:color w:val="1a1a2e"/>
          <w:sz w:val="28"/>
          <w:szCs w:val="28"/>
        </w:rPr>
        <w:t xml:space="preserve">4. Sistema de Codificação: Os 10 Indicadores (codificacao.py)</w:t>
      </w:r>
    </w:p>
    <w:p>
      <w:pPr>
        <w:spacing w:after="200" w:before="0" w:line="276"/>
        <w:jc w:val="both"/>
      </w:pPr>
      <w:r>
        <w:rPr>
          <w:rFonts w:ascii="Calibri" w:cs="Calibri" w:eastAsia="Calibri" w:hAnsi="Calibri"/>
          <w:b w:val="false"/>
          <w:bCs w:val="false"/>
          <w:i w:val="false"/>
          <w:iCs w:val="false"/>
          <w:sz w:val="22"/>
          <w:szCs w:val="22"/>
        </w:rPr>
        <w:t xml:space="preserve">O módulo codificacao.py implementa o coração analítico do toolkit: um sistema de dez indicadores que operacionalizam as categorias teóricas centrais da tese em variáveis mensuráveis. Cada indicador foi desenhado para capturar uma dimensão específica das alegorias femininas no direito, articulando tradições teóricas distintas — a crítica do contrato sexual (Pateman, 1988), a economia icônica (Mondzain, 1996), a iconologia warburguiana (Warburg, 1929; Didi-Huberman, 2002), o contrato racial (Mills, 1997) e a história das alegorias republicanas (Agulhon, 1979; Warner, 1985). O sistema de codificação foi concebido para ser utilizado tanto pelo pesquisador principal quanto por codificadores independentes, viabilizando o cálculo de confiabilidade inter-codificadores (Seção 6).</w:t>
      </w:r>
    </w:p>
    <w:p>
      <w:pPr>
        <w:spacing w:after="200" w:before="0" w:line="276"/>
        <w:jc w:val="both"/>
      </w:pPr>
      <w:r>
        <w:rPr>
          <w:rFonts w:ascii="Calibri" w:cs="Calibri" w:eastAsia="Calibri" w:hAnsi="Calibri"/>
          <w:b w:val="false"/>
          <w:bCs w:val="false"/>
          <w:i w:val="false"/>
          <w:iCs w:val="false"/>
          <w:sz w:val="22"/>
          <w:szCs w:val="22"/>
        </w:rPr>
        <w:t xml:space="preserve">A lógica de design dos indicadores segue dois princípios fundamentais. Primeiro, cada indicador deve ser operacionalizável: sua definição deve ser suficientemente precisa para que dois codificadores independentes, diante da mesma imagem, cheguem ao mesmo valor na grande maioria dos casos (Kappa ≥ 0,80). Segundo, cada indicador deve ser teoricamente ancorado: não se trata de medir propriedades visuais arbitrárias, mas de quantificar dimensões que a literatura identifica como constitutivas do regime iconocrático. A tabela a seguir apresenta os dez indicadores com suas definições operacionais completas.</w:t>
      </w:r>
    </w:p>
    <w:p>
      <w:pPr>
        <w:pStyle w:val="Heading2"/>
        <w:spacing w:after="200" w:before="300"/>
      </w:pPr>
      <w:r>
        <w:rPr>
          <w:rFonts w:ascii="Calibri" w:cs="Calibri" w:eastAsia="Calibri" w:hAnsi="Calibri"/>
          <w:b/>
          <w:bCs/>
          <w:color w:val="16213e"/>
          <w:sz w:val="24"/>
          <w:szCs w:val="24"/>
        </w:rPr>
        <w:t xml:space="preserve">4.1 Tabela dos Indicadores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300"/>
        <w:gridCol w:w="800"/>
        <w:gridCol w:w="700"/>
        <w:gridCol w:w="3226"/>
        <w:gridCol w:w="1300"/>
      </w:tblGrid>
      <w:tr>
        <w:tc>
          <w:tcPr>
            <w:tcW w:type="dxa" w:w="7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spacing w:after="20"/>
              <w:jc w:val="center"/>
            </w:pPr>
            <w:r>
              <w:rPr>
                <w:rFonts w:ascii="Calibri" w:cs="Calibri" w:eastAsia="Calibri" w:hAnsi="Calibri"/>
                <w:b/>
                <w:bCs/>
                <w:color w:val="FFFFFF"/>
                <w:sz w:val="16"/>
                <w:szCs w:val="16"/>
              </w:rPr>
              <w:t xml:space="preserve">Código</w:t>
            </w:r>
          </w:p>
        </w:tc>
        <w:tc>
          <w:tcPr>
            <w:tcW w:type="dxa" w:w="10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spacing w:after="20"/>
              <w:jc w:val="center"/>
            </w:pPr>
            <w:r>
              <w:rPr>
                <w:rFonts w:ascii="Calibri" w:cs="Calibri" w:eastAsia="Calibri" w:hAnsi="Calibri"/>
                <w:b/>
                <w:bCs/>
                <w:color w:val="FFFFFF"/>
                <w:sz w:val="16"/>
                <w:szCs w:val="16"/>
              </w:rPr>
              <w:t xml:space="preserve">Nome (EN)</w:t>
            </w:r>
          </w:p>
        </w:tc>
        <w:tc>
          <w:tcPr>
            <w:tcW w:type="dxa" w:w="13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spacing w:after="20"/>
              <w:jc w:val="center"/>
            </w:pPr>
            <w:r>
              <w:rPr>
                <w:rFonts w:ascii="Calibri" w:cs="Calibri" w:eastAsia="Calibri" w:hAnsi="Calibri"/>
                <w:b/>
                <w:bCs/>
                <w:color w:val="FFFFFF"/>
                <w:sz w:val="16"/>
                <w:szCs w:val="16"/>
              </w:rPr>
              <w:t xml:space="preserve">Nome (PT)</w:t>
            </w:r>
          </w:p>
        </w:tc>
        <w:tc>
          <w:tcPr>
            <w:tcW w:type="dxa" w:w="8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spacing w:after="20"/>
              <w:jc w:val="center"/>
            </w:pPr>
            <w:r>
              <w:rPr>
                <w:rFonts w:ascii="Calibri" w:cs="Calibri" w:eastAsia="Calibri" w:hAnsi="Calibri"/>
                <w:b/>
                <w:bCs/>
                <w:color w:val="FFFFFF"/>
                <w:sz w:val="16"/>
                <w:szCs w:val="16"/>
              </w:rPr>
              <w:t xml:space="preserve">Tipo</w:t>
            </w:r>
          </w:p>
        </w:tc>
        <w:tc>
          <w:tcPr>
            <w:tcW w:type="dxa" w:w="7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spacing w:after="20"/>
              <w:jc w:val="center"/>
            </w:pPr>
            <w:r>
              <w:rPr>
                <w:rFonts w:ascii="Calibri" w:cs="Calibri" w:eastAsia="Calibri" w:hAnsi="Calibri"/>
                <w:b/>
                <w:bCs/>
                <w:color w:val="FFFFFF"/>
                <w:sz w:val="16"/>
                <w:szCs w:val="16"/>
              </w:rPr>
              <w:t xml:space="preserve">Escala</w:t>
            </w:r>
          </w:p>
        </w:tc>
        <w:tc>
          <w:tcPr>
            <w:tcW w:type="dxa" w:w="3226"/>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spacing w:after="20"/>
              <w:jc w:val="center"/>
            </w:pPr>
            <w:r>
              <w:rPr>
                <w:rFonts w:ascii="Calibri" w:cs="Calibri" w:eastAsia="Calibri" w:hAnsi="Calibri"/>
                <w:b/>
                <w:bCs/>
                <w:color w:val="FFFFFF"/>
                <w:sz w:val="16"/>
                <w:szCs w:val="16"/>
              </w:rPr>
              <w:t xml:space="preserve">Definição Operacional</w:t>
            </w:r>
          </w:p>
        </w:tc>
        <w:tc>
          <w:tcPr>
            <w:tcW w:type="dxa" w:w="13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spacing w:after="20"/>
              <w:jc w:val="center"/>
            </w:pPr>
            <w:r>
              <w:rPr>
                <w:rFonts w:ascii="Calibri" w:cs="Calibri" w:eastAsia="Calibri" w:hAnsi="Calibri"/>
                <w:b/>
                <w:bCs/>
                <w:color w:val="FFFFFF"/>
                <w:sz w:val="16"/>
                <w:szCs w:val="16"/>
              </w:rPr>
              <w:t xml:space="preserve">Painéis</w:t>
            </w:r>
          </w:p>
        </w:tc>
      </w:tr>
      <w:tr>
        <w:tc>
          <w:tcPr>
            <w:tcW w:type="dxa" w:w="7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FEI</w:t>
            </w:r>
          </w:p>
        </w:tc>
        <w:tc>
          <w:tcPr>
            <w:tcW w:type="dxa" w:w="10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iCs/>
                <w:sz w:val="15"/>
                <w:szCs w:val="15"/>
              </w:rPr>
              <w:t xml:space="preserve">Feminine Embodiment Index</w:t>
            </w:r>
          </w:p>
        </w:tc>
        <w:tc>
          <w:tcPr>
            <w:tcW w:type="dxa" w:w="13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Índice de Corporalidade Feminina</w:t>
            </w:r>
          </w:p>
        </w:tc>
        <w:tc>
          <w:tcPr>
            <w:tcW w:type="dxa" w:w="8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Ordinal</w:t>
            </w:r>
          </w:p>
        </w:tc>
        <w:tc>
          <w:tcPr>
            <w:tcW w:type="dxa" w:w="7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0–3</w:t>
            </w:r>
          </w:p>
        </w:tc>
        <w:tc>
          <w:tcPr>
            <w:tcW w:type="dxa" w:w="3226"/>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0 = abstrato/geométrico (símbolo sem corpo); 1 = corpo sugerido por drapejamento; 2 = corpo visível (seios/cintura); 3 = corpo enfatizado (nudez/sensualidade)</w:t>
            </w:r>
          </w:p>
        </w:tc>
        <w:tc>
          <w:tcPr>
            <w:tcW w:type="dxa" w:w="13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I, II, III</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CII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iCs/>
                <w:sz w:val="15"/>
                <w:szCs w:val="15"/>
              </w:rPr>
              <w:t xml:space="preserve">Classical Ideal Index</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Índice de Ideal Clássico</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Ordinal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0–3</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0 = medieval/barroco/moderno (sem traços clássicos); 1 = elementos clássicos mistos; 2 = predominância clássica; 3 = clássico puro (toga, perfil greco-romano)</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I, IV</w:t>
            </w:r>
          </w:p>
        </w:tc>
      </w:tr>
      <w:tr>
        <w:tc>
          <w:tcPr>
            <w:tcW w:type="dxa" w:w="7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PRI</w:t>
            </w:r>
          </w:p>
        </w:tc>
        <w:tc>
          <w:tcPr>
            <w:tcW w:type="dxa" w:w="10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iCs/>
                <w:sz w:val="15"/>
                <w:szCs w:val="15"/>
              </w:rPr>
              <w:t xml:space="preserve">Posture &amp; Realm Index</w:t>
            </w:r>
          </w:p>
        </w:tc>
        <w:tc>
          <w:tcPr>
            <w:tcW w:type="dxa" w:w="13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Índice de Postura e Domínio</w:t>
            </w:r>
          </w:p>
        </w:tc>
        <w:tc>
          <w:tcPr>
            <w:tcW w:type="dxa" w:w="8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Categórico</w:t>
            </w:r>
          </w:p>
        </w:tc>
        <w:tc>
          <w:tcPr>
            <w:tcW w:type="dxa" w:w="7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3 cat.</w:t>
            </w:r>
          </w:p>
        </w:tc>
        <w:tc>
          <w:tcPr>
            <w:tcW w:type="dxa" w:w="3226"/>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serena (passividade digna, estática); militante (ação combativa, dinâmica); sacrificial (sofrimento, entrega, vulnerabilidade)</w:t>
            </w:r>
          </w:p>
        </w:tc>
        <w:tc>
          <w:tcPr>
            <w:tcW w:type="dxa" w:w="13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II, V</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SMI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iCs/>
                <w:sz w:val="15"/>
                <w:szCs w:val="15"/>
              </w:rPr>
              <w:t xml:space="preserve">Symbolic Material Index</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Índice de Material Simbólico</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Ordinal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0–3</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Contagem de atributos simbólicos presentes: balança, espada, venda, livro, fasces, tocha, coroa, barrete frígio, etc. 0 = nenhum; 1 = um; 2 = dois; 3 = três ou mais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III, IV</w:t>
            </w:r>
          </w:p>
        </w:tc>
      </w:tr>
      <w:tr>
        <w:tc>
          <w:tcPr>
            <w:tcW w:type="dxa" w:w="7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SMS</w:t>
            </w:r>
          </w:p>
        </w:tc>
        <w:tc>
          <w:tcPr>
            <w:tcW w:type="dxa" w:w="10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iCs/>
                <w:sz w:val="15"/>
                <w:szCs w:val="15"/>
              </w:rPr>
              <w:t xml:space="preserve">Symbolic Meaning Score</w:t>
            </w:r>
          </w:p>
        </w:tc>
        <w:tc>
          <w:tcPr>
            <w:tcW w:type="dxa" w:w="13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Escore de Significado Simbólico</w:t>
            </w:r>
          </w:p>
        </w:tc>
        <w:tc>
          <w:tcPr>
            <w:tcW w:type="dxa" w:w="8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Categórico</w:t>
            </w:r>
          </w:p>
        </w:tc>
        <w:tc>
          <w:tcPr>
            <w:tcW w:type="dxa" w:w="7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3 cat.</w:t>
            </w:r>
          </w:p>
        </w:tc>
        <w:tc>
          <w:tcPr>
            <w:tcW w:type="dxa" w:w="3226"/>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Cruzamento de PRI com contexto material: serena (atributos de paz/justiça); militante (atributos de combate/liberdade); sacrificial (atributos de sofrimento/martirízio)</w:t>
            </w:r>
          </w:p>
        </w:tc>
        <w:tc>
          <w:tcPr>
            <w:tcW w:type="dxa" w:w="13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III, V</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AMCP</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iCs/>
                <w:sz w:val="15"/>
                <w:szCs w:val="15"/>
              </w:rPr>
              <w:t xml:space="preserve">Armament &amp; Crisis Profile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Perfil de Armamento e Crise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Ordinal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0–3</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0 = sem armas; 1 = armamento defensivo (escudo, égide); 2 = armamento ofensivo (espada empunhada, lança); 3 = arsenal completo (múltiplas armas + postura combativa)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II, V, VI</w:t>
            </w:r>
          </w:p>
        </w:tc>
      </w:tr>
      <w:tr>
        <w:tc>
          <w:tcPr>
            <w:tcW w:type="dxa" w:w="7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MVI</w:t>
            </w:r>
          </w:p>
        </w:tc>
        <w:tc>
          <w:tcPr>
            <w:tcW w:type="dxa" w:w="10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iCs/>
                <w:sz w:val="15"/>
                <w:szCs w:val="15"/>
              </w:rPr>
              <w:t xml:space="preserve">Maternal-Vulnerability Index</w:t>
            </w:r>
          </w:p>
        </w:tc>
        <w:tc>
          <w:tcPr>
            <w:tcW w:type="dxa" w:w="13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Índice de Vulnerabilidade Maternal</w:t>
            </w:r>
          </w:p>
        </w:tc>
        <w:tc>
          <w:tcPr>
            <w:tcW w:type="dxa" w:w="8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Ordinal</w:t>
            </w:r>
          </w:p>
        </w:tc>
        <w:tc>
          <w:tcPr>
            <w:tcW w:type="dxa" w:w="7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0–3</w:t>
            </w:r>
          </w:p>
        </w:tc>
        <w:tc>
          <w:tcPr>
            <w:tcW w:type="dxa" w:w="3226"/>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0 = nenhuma vulnerabilidade; 1 = vulnerabilidade sugerida (expressão facial, gestão protetiva); 2 = seio exposto (amamentamento alegórico); 3 = ferida/morta (sacrifício corporal explícito)</w:t>
            </w:r>
          </w:p>
        </w:tc>
        <w:tc>
          <w:tcPr>
            <w:tcW w:type="dxa" w:w="13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II, V, VII</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WI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iCs/>
                <w:sz w:val="15"/>
                <w:szCs w:val="15"/>
              </w:rPr>
              <w:t xml:space="preserve">Whiteness Index</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Índice de Branquitude</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Ordinal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0–3</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0 = ambíguo/diverso (traços não-europeus ou indeterminados); 1 = traços clássicos (pele clara, nariz reto); 2 = branquitude explícita (feições europeias marcadas); 3 = branquitude + hierarquia (contraste com figuras racializadas)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IV, VIII</w:t>
            </w:r>
          </w:p>
        </w:tc>
      </w:tr>
      <w:tr>
        <w:tc>
          <w:tcPr>
            <w:tcW w:type="dxa" w:w="7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RI</w:t>
            </w:r>
          </w:p>
        </w:tc>
        <w:tc>
          <w:tcPr>
            <w:tcW w:type="dxa" w:w="10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iCs/>
                <w:sz w:val="15"/>
                <w:szCs w:val="15"/>
              </w:rPr>
              <w:t xml:space="preserve">Racial Idealisation</w:t>
            </w:r>
          </w:p>
        </w:tc>
        <w:tc>
          <w:tcPr>
            <w:tcW w:type="dxa" w:w="13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Idealização Racial</w:t>
            </w:r>
          </w:p>
        </w:tc>
        <w:tc>
          <w:tcPr>
            <w:tcW w:type="dxa" w:w="8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Binário</w:t>
            </w:r>
          </w:p>
        </w:tc>
        <w:tc>
          <w:tcPr>
            <w:tcW w:type="dxa" w:w="7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0/1</w:t>
            </w:r>
          </w:p>
        </w:tc>
        <w:tc>
          <w:tcPr>
            <w:tcW w:type="dxa" w:w="3226"/>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0 = não se conforma ao ideal clássico branco / apresenta diversidade; 1 = reproduz o ideal clássico branco (pele alabastro, traços greco-romanos, cabelo liso)</w:t>
            </w:r>
          </w:p>
        </w:tc>
        <w:tc>
          <w:tcPr>
            <w:tcW w:type="dxa" w:w="13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IV, VIII</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AI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iCs/>
                <w:sz w:val="15"/>
                <w:szCs w:val="15"/>
              </w:rPr>
              <w:t xml:space="preserve">Allegory-Biography Index</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Índice Alegoria-Biografia</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Ordinal</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center"/>
            </w:pPr>
            <w:r>
              <w:rPr>
                <w:rFonts w:ascii="Calibri" w:cs="Calibri" w:eastAsia="Calibri" w:hAnsi="Calibri"/>
                <w:i w:val="false"/>
                <w:iCs w:val="false"/>
                <w:sz w:val="15"/>
                <w:szCs w:val="15"/>
              </w:rPr>
              <w:t xml:space="preserve">0–3</w:t>
            </w:r>
          </w:p>
        </w:tc>
        <w:tc>
          <w:tcPr>
            <w:tcW w:type="dxa" w:w="3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0 = alegoria pura (sem referência a pessoa real); 1 = alegoria nomeada (ex.: “Mariannes” genéricas); 2 = inspirada em pessoa real (modelo identificado); 3 = pessoa real como alegoria (ex.: Brigitte Bardot como Marianne)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20"/>
              <w:jc w:val="left"/>
            </w:pPr>
            <w:r>
              <w:rPr>
                <w:rFonts w:ascii="Calibri" w:cs="Calibri" w:eastAsia="Calibri" w:hAnsi="Calibri"/>
                <w:i w:val="false"/>
                <w:iCs w:val="false"/>
                <w:sz w:val="15"/>
                <w:szCs w:val="15"/>
              </w:rPr>
              <w:t xml:space="preserve">IX</w:t>
            </w:r>
          </w:p>
        </w:tc>
      </w:tr>
    </w:tbl>
    <w:p>
      <w:pPr>
        <w:spacing w:after="200"/>
      </w:pPr>
    </w:p>
    <w:p>
      <w:pPr>
        <w:pStyle w:val="Heading2"/>
        <w:spacing w:after="200" w:before="300"/>
      </w:pPr>
      <w:r>
        <w:rPr>
          <w:rFonts w:ascii="Calibri" w:cs="Calibri" w:eastAsia="Calibri" w:hAnsi="Calibri"/>
          <w:b/>
          <w:bCs/>
          <w:color w:val="16213e"/>
          <w:sz w:val="24"/>
          <w:szCs w:val="24"/>
        </w:rPr>
        <w:t xml:space="preserve">4.2 Árvores de Decisão e Fundamentação Teórica</w:t>
      </w:r>
    </w:p>
    <w:p>
      <w:pPr>
        <w:pStyle w:val="Heading3"/>
        <w:spacing w:after="160" w:before="240"/>
      </w:pPr>
      <w:r>
        <w:rPr>
          <w:rFonts w:ascii="Calibri" w:cs="Calibri" w:eastAsia="Calibri" w:hAnsi="Calibri"/>
          <w:b/>
          <w:bCs/>
          <w:i/>
          <w:iCs/>
          <w:color w:val="1a1a2e"/>
          <w:sz w:val="22"/>
          <w:szCs w:val="22"/>
        </w:rPr>
        <w:t xml:space="preserve">4.2.1 FEI — Índice de Corporalidade Feminina</w:t>
      </w:r>
    </w:p>
    <w:p>
      <w:pPr>
        <w:spacing w:after="200" w:before="0" w:line="276"/>
        <w:jc w:val="both"/>
      </w:pPr>
      <w:r>
        <w:rPr>
          <w:rFonts w:ascii="Calibri" w:cs="Calibri" w:eastAsia="Calibri" w:hAnsi="Calibri"/>
          <w:b w:val="false"/>
          <w:bCs w:val="false"/>
          <w:i w:val="false"/>
          <w:iCs w:val="false"/>
          <w:sz w:val="22"/>
          <w:szCs w:val="22"/>
        </w:rPr>
        <w:t xml:space="preserve">O FEI (Feminine Embodiment Index) operacionaliza a tese central de Carole Pateman (1988) sobre o contrato sexual: a ordem jurídica moderna funda-se na subordinação do corpo feminino, que é simultaneamente mobilizado como símbolo do Estado e apagado como sujeito político. A árvore de decisão do FEI procede em quatro níveis: primeiro, verifica-se se a representao é abstrata ou geométrica (FEI=0), como no caso de símbolos heráldicos sem figura humana; segundo, se o corpo é apenas sugerido por drapejamentos que ocultam a forma (FEI=1), como nas Mariannes de moedas convencionais; terceiro, se o corpo é visível com marcação de seios ou cintura (FEI=2), como na Liberté de Delacroix; e quarto, se há ênfase na nudez ou sensualidade (FEI=3), como em certas alegorias acadêmicas do século XIX.</w:t>
      </w:r>
    </w:p>
    <w:p>
      <w:pPr>
        <w:spacing w:after="200" w:before="0" w:line="276"/>
        <w:jc w:val="both"/>
      </w:pPr>
      <w:r>
        <w:rPr>
          <w:rFonts w:ascii="Calibri" w:cs="Calibri" w:eastAsia="Calibri" w:hAnsi="Calibri"/>
          <w:b w:val="false"/>
          <w:bCs w:val="false"/>
          <w:i w:val="false"/>
          <w:iCs w:val="false"/>
          <w:sz w:val="22"/>
          <w:szCs w:val="22"/>
        </w:rPr>
        <w:t xml:space="preserve">A graduação do FEI permite mensurar aquilo que Marina Warner (1985) denomina a “paradoxal desnudez da virtude”: quanto mais a alegoria feminina se despoja de roupas, mais ela supostamente se aproxima da verdade e da pureza, mas simultaneamente mais se oferece ao olhar masculino como objeto de contemplação. O cruzamento do FEI com o suporte material (Seção 5, Hipótese H3) permite testar se os suportes de circulação íntima (moedas, selos) demandam uma feminilidade mais contida do que os monumentos públicos — o que Pateman chamaria de modulação do contrato sexual conforme o espaço de visibilidade.</w:t>
      </w:r>
    </w:p>
    <w:p>
      <w:pPr>
        <w:pStyle w:val="Heading3"/>
        <w:spacing w:after="160" w:before="240"/>
      </w:pPr>
      <w:r>
        <w:rPr>
          <w:rFonts w:ascii="Calibri" w:cs="Calibri" w:eastAsia="Calibri" w:hAnsi="Calibri"/>
          <w:b/>
          <w:bCs/>
          <w:i/>
          <w:iCs/>
          <w:color w:val="1a1a2e"/>
          <w:sz w:val="22"/>
          <w:szCs w:val="22"/>
        </w:rPr>
        <w:t xml:space="preserve">4.2.2 AMCP — Perfil de Armamento e Crise</w:t>
      </w:r>
    </w:p>
    <w:p>
      <w:pPr>
        <w:spacing w:after="200" w:before="0" w:line="276"/>
        <w:jc w:val="both"/>
      </w:pPr>
      <w:r>
        <w:rPr>
          <w:rFonts w:ascii="Calibri" w:cs="Calibri" w:eastAsia="Calibri" w:hAnsi="Calibri"/>
          <w:b w:val="false"/>
          <w:bCs w:val="false"/>
          <w:i w:val="false"/>
          <w:iCs w:val="false"/>
          <w:sz w:val="22"/>
          <w:szCs w:val="22"/>
        </w:rPr>
        <w:t xml:space="preserve">O AMCP (Armament &amp; Crisis Profile) quantifica a relação entre regimes políticos de exceção e a militarização da imagem feminina alegórica. A hipótese subjacente, informada pela iconologia warburguiana (Warburg, 1929), é que as Pathosformeln (fórmulas de patético) migram entre épocas e contextos, de modo que regimes militares tendem a recrutar a energia visual da guerreira clássica (Atena/Minerva) para suas alegorias nacionais. A árvore de decisão opera da seguinte forma: se a figura não porta nenhuma arma (AMCP=0); se porta armamento defensivo como escudo ou égide (AMCP=1); se porta armamento ofensivo como espada empunhada ou lança (AMCP=2); e se apresenta arsenal completo com múltiplas armas combinadas a uma postura combativa (AMCP=3).</w:t>
      </w:r>
    </w:p>
    <w:p>
      <w:pPr>
        <w:spacing w:after="200" w:before="0" w:line="276"/>
        <w:jc w:val="both"/>
      </w:pPr>
      <w:r>
        <w:rPr>
          <w:rFonts w:ascii="Calibri" w:cs="Calibri" w:eastAsia="Calibri" w:hAnsi="Calibri"/>
          <w:b w:val="false"/>
          <w:bCs w:val="false"/>
          <w:i w:val="false"/>
          <w:iCs w:val="false"/>
          <w:sz w:val="22"/>
          <w:szCs w:val="22"/>
        </w:rPr>
        <w:t xml:space="preserve">A relação entre AMCP e tipo de regime constitui a Hipótese H1 da tese: espera-se que regimes militares/autoritários apresentem valores de AMCP significativamente superiores aos regimes normativos. Esta hipótese é inspirada pela observação de Agulhon (1979) sobre as transformações de Marianne entre períodos de paz e guerra na França, e pela análise de Goodrich (2014) sobre os emblemas jurídicos como dispositivos de poder soberano.</w:t>
      </w:r>
    </w:p>
    <w:p>
      <w:pPr>
        <w:pStyle w:val="Heading3"/>
        <w:spacing w:after="160" w:before="240"/>
      </w:pPr>
      <w:r>
        <w:rPr>
          <w:rFonts w:ascii="Calibri" w:cs="Calibri" w:eastAsia="Calibri" w:hAnsi="Calibri"/>
          <w:b/>
          <w:bCs/>
          <w:i/>
          <w:iCs/>
          <w:color w:val="1a1a2e"/>
          <w:sz w:val="22"/>
          <w:szCs w:val="22"/>
        </w:rPr>
        <w:t xml:space="preserve">4.2.3 WI — Índice de Branquitude</w:t>
      </w:r>
    </w:p>
    <w:p>
      <w:pPr>
        <w:spacing w:after="200" w:before="0" w:line="276"/>
        <w:jc w:val="both"/>
      </w:pPr>
      <w:r>
        <w:rPr>
          <w:rFonts w:ascii="Calibri" w:cs="Calibri" w:eastAsia="Calibri" w:hAnsi="Calibri"/>
          <w:b w:val="false"/>
          <w:bCs w:val="false"/>
          <w:i w:val="false"/>
          <w:iCs w:val="false"/>
          <w:sz w:val="22"/>
          <w:szCs w:val="22"/>
        </w:rPr>
        <w:t xml:space="preserve">O WI (Whiteness Index) operacionaliza a contribuição de Charles Mills (1997) sobre o contrato racial: a ordem política moderna não apenas subordina o feminino, mas o faz através de uma idealização racial específica. A árvore de decisão do WI distingue quatro níveis: (WI=0) quando os traços são ambíguos ou não-europeus, como em alegorias indígenas ou afrodescendentes; (WI=1) quando há traços clássicos (pele clara, nariz reto) sem hierarquização racial explícita; (WI=2) quando a branquitude é explícita com feições marcadamente europeias; e (WI=3) quando a branquitude é acompanhada de hierarquização racial, tipicamente pela presença de figuras racializadas em posição subalterna ao redor da alegoria branca.</w:t>
      </w:r>
    </w:p>
    <w:p>
      <w:pPr>
        <w:spacing w:after="200" w:before="0" w:line="276"/>
        <w:jc w:val="both"/>
      </w:pPr>
      <w:r>
        <w:rPr>
          <w:rFonts w:ascii="Calibri" w:cs="Calibri" w:eastAsia="Calibri" w:hAnsi="Calibri"/>
          <w:b w:val="false"/>
          <w:bCs w:val="false"/>
          <w:i w:val="false"/>
          <w:iCs w:val="false"/>
          <w:sz w:val="22"/>
          <w:szCs w:val="22"/>
        </w:rPr>
        <w:t xml:space="preserve">O cruzamento entre WI e CII (Hipótese H2) testa a tese de que o “clássico” funciona como código racial: quanto mais uma alegoria se aproxima do ideal greco-romano (CII alto), mais ela tende a reproduzir a branquitude (WI alto). Esta correlação, se confirmada estatisticamente, reforçaria a leitura de Mills de que o universalismo jurídico ocidental opera através de uma estética racial específica, naturalizando a branquitude como padrão de beleza e verdade.</w:t>
      </w:r>
    </w:p>
    <w:p>
      <w:pPr>
        <w:pStyle w:val="Heading3"/>
        <w:spacing w:after="160" w:before="240"/>
      </w:pPr>
      <w:r>
        <w:rPr>
          <w:rFonts w:ascii="Calibri" w:cs="Calibri" w:eastAsia="Calibri" w:hAnsi="Calibri"/>
          <w:b/>
          <w:bCs/>
          <w:i/>
          <w:iCs/>
          <w:color w:val="1a1a2e"/>
          <w:sz w:val="22"/>
          <w:szCs w:val="22"/>
        </w:rPr>
        <w:t xml:space="preserve">4.2.4 AI — Índice Alegoria-Biografia</w:t>
      </w:r>
    </w:p>
    <w:p>
      <w:pPr>
        <w:spacing w:after="200" w:before="0" w:line="276"/>
        <w:jc w:val="both"/>
      </w:pPr>
      <w:r>
        <w:rPr>
          <w:rFonts w:ascii="Calibri" w:cs="Calibri" w:eastAsia="Calibri" w:hAnsi="Calibri"/>
          <w:b w:val="false"/>
          <w:bCs w:val="false"/>
          <w:i w:val="false"/>
          <w:iCs w:val="false"/>
          <w:sz w:val="22"/>
          <w:szCs w:val="22"/>
        </w:rPr>
        <w:t xml:space="preserve">O AI (Allegory-Biography Index) captura uma dimensão original desta tese: o processo histórico pelo qual alegorias femininas do Estado deixam de ser figuras puramente simbólicas para se tornarem personas biográficas, frequentemente encarnadas por celebridades ou modelos reais. A árvore de decisão distingue: (AI=0) alegoria pura, sem qualquer referência a uma pessoa real, como a Justitia convencional; (AI=1) alegoria nomeada, que recebe um nome próprio mas sem correspondência biográfica, como as “Mariannes” genéricas; (AI=2) alegoria inspirada em pessoa real, cujo modelo pode ser identificado nos registros históricos; e (AI=3) pessoa real como alegoria, como nos casos em que Brigitte Bardot, Catherine Deneuve ou Laetitia Casta serviram de modelo para bustos oficiais de Marianne.</w:t>
      </w:r>
    </w:p>
    <w:p>
      <w:pPr>
        <w:spacing w:after="200" w:before="0" w:line="276"/>
        <w:jc w:val="both"/>
      </w:pPr>
      <w:r>
        <w:rPr>
          <w:rFonts w:ascii="Calibri" w:cs="Calibri" w:eastAsia="Calibri" w:hAnsi="Calibri"/>
          <w:b w:val="false"/>
          <w:bCs w:val="false"/>
          <w:i w:val="false"/>
          <w:iCs w:val="false"/>
          <w:sz w:val="22"/>
          <w:szCs w:val="22"/>
        </w:rPr>
        <w:t xml:space="preserve">A Hipótese H5 da tese postula que o AI aumenta ao longo do tempo (1789→2024), refletindo uma tendência moderna de “biografizar” a alegoria — o que constitui, argumenta-se, uma nova forma de contrato sexual visual em que mulheres reais são chamadas a encarnar o Estado, mas nos termos definidos pelo olhar masculino institucional. A análise de tendência temporal será realizada por regressão linear (Seção 5).</w:t>
      </w:r>
    </w:p>
    <w:p>
      <w:pPr>
        <w:pStyle w:val="Heading2"/>
        <w:spacing w:after="200" w:before="300"/>
      </w:pPr>
      <w:r>
        <w:rPr>
          <w:rFonts w:ascii="Calibri" w:cs="Calibri" w:eastAsia="Calibri" w:hAnsi="Calibri"/>
          <w:b/>
          <w:bCs/>
          <w:color w:val="16213e"/>
          <w:sz w:val="24"/>
          <w:szCs w:val="24"/>
        </w:rPr>
        <w:t xml:space="preserve">4.3 Manual de Codificação e Conectores Teóricos</w:t>
      </w:r>
    </w:p>
    <w:p>
      <w:pPr>
        <w:spacing w:after="200" w:before="0" w:line="276"/>
        <w:jc w:val="both"/>
      </w:pPr>
      <w:r>
        <w:rPr>
          <w:rFonts w:ascii="Calibri" w:cs="Calibri" w:eastAsia="Calibri" w:hAnsi="Calibri"/>
          <w:b w:val="false"/>
          <w:bCs w:val="false"/>
          <w:i w:val="false"/>
          <w:iCs w:val="false"/>
          <w:sz w:val="22"/>
          <w:szCs w:val="22"/>
        </w:rPr>
        <w:t xml:space="preserve">O módulo codificacao.py inclui uma funcionalidade de geração automática de manual de codificação, produzindo um documento formatado que pode ser entregue a codificadores independentes. O manual contém, para cada indicador: a definição operacional completa, a árvore de decisão com exemplos ilustrativos, as regras de desempate para casos ambíguos e os conectores teóricos que justificam a existência do indicador. Esta funcionalidade é essencial para o protocolo de confiabilidade inter-codificadores (Seção 6), pois garante que todos os codificadores operam com as mesmas definições.</w:t>
      </w:r>
    </w:p>
    <w:p>
      <w:pPr>
        <w:spacing w:after="200" w:before="0" w:line="276"/>
        <w:jc w:val="both"/>
      </w:pPr>
      <w:r>
        <w:rPr>
          <w:rFonts w:ascii="Calibri" w:cs="Calibri" w:eastAsia="Calibri" w:hAnsi="Calibri"/>
          <w:b w:val="false"/>
          <w:bCs w:val="false"/>
          <w:i w:val="false"/>
          <w:iCs w:val="false"/>
          <w:sz w:val="22"/>
          <w:szCs w:val="22"/>
        </w:rPr>
        <w:t xml:space="preserve">Os conectores teóricos vinculam cada indicador ao quadro conceitual da tese. O FEI e o MVI ancoram-se na teoria do contrato sexual de Pateman (1988) e na análise de Warner (1985) sobre a desnudez alegórica; o CII dialoga com a iconologia de Warburg (1929) e a economia icônica de Mondzain (1996/2005); o AMCP conecta-se à análise warburguiana das Pathosformeln e à história das alegorias republicanas de Agulhon (1979); o WI e o RI operacionalizam o contrato racial de Mills (1997); e o AI articula-se com a crítica feminista da cultura visual e com a teoria dos emblemas jurídicos de Goodrich (2014). O PRI, o SMI e o SMS funcionam como indicadores de mediação, capturando a materialidade simbólica e a postura corporal que articulam as demais dimensões.</w:t>
      </w:r>
    </w:p>
    <w:p>
      <w:pPr>
        <w:spacing w:after="200" w:before="0" w:line="276"/>
        <w:jc w:val="both"/>
      </w:pPr>
      <w:r>
        <w:rPr>
          <w:rFonts w:ascii="Calibri" w:cs="Calibri" w:eastAsia="Calibri" w:hAnsi="Calibri"/>
          <w:b w:val="false"/>
          <w:bCs w:val="false"/>
          <w:i w:val="false"/>
          <w:iCs w:val="false"/>
          <w:sz w:val="22"/>
          <w:szCs w:val="22"/>
        </w:rPr>
        <w:t xml:space="preserve">A relação entre os indicadores e os painéis da tese (coluna “Painéis Relacionados” na tabela) garante que cada indicador contribui para pelo menos uma das hipóteses em teste. O Painel I (O Corpo da Nação) mobiliza primariamente FEI e CII; o Painel II (A Guerreira e a Mãe) cruza PRI, AMCP e MVI; o Painel IV (O Clássico como Código Racial) depende de CII, WI e RI; e o Painel IX (Da Alegoria à Celebridade) centra-se no AI. Esta estrutura garante que não há indicadores orfãos nem hipóteses sem suporte empírico.</w:t>
      </w:r>
    </w:p>
    <w:p>
      <w:r>
        <w:br w:type="page"/>
      </w:r>
    </w:p>
    <w:p>
      <w:pPr>
        <w:pStyle w:val="Heading1"/>
        <w:spacing w:after="240" w:before="360"/>
      </w:pPr>
      <w:r>
        <w:rPr>
          <w:rFonts w:ascii="Calibri" w:cs="Calibri" w:eastAsia="Calibri" w:hAnsi="Calibri"/>
          <w:b/>
          <w:bCs/>
          <w:color w:val="1a1a2e"/>
          <w:sz w:val="28"/>
          <w:szCs w:val="28"/>
        </w:rPr>
        <w:t xml:space="preserve">5. Análise Estatística (estatistica.py)</w:t>
      </w:r>
    </w:p>
    <w:p>
      <w:pPr>
        <w:spacing w:after="200" w:before="0" w:line="276"/>
        <w:jc w:val="both"/>
      </w:pPr>
      <w:r>
        <w:rPr>
          <w:rFonts w:ascii="Calibri" w:cs="Calibri" w:eastAsia="Calibri" w:hAnsi="Calibri"/>
          <w:b w:val="false"/>
          <w:bCs w:val="false"/>
          <w:i w:val="false"/>
          <w:iCs w:val="false"/>
          <w:sz w:val="22"/>
          <w:szCs w:val="22"/>
        </w:rPr>
        <w:t xml:space="preserve">O módulo estatistica.py é responsável por toda a análise quantitativa dos dados codificados, compreendendo duas etapas complementares: a estatística descritiva, que caracteriza o corpus em termos de frequências, médias e distribuições; e a estatística inferencial, que testa as cinco hipóteses centrais da tese. A escolha dos testes estatísticos foi guiada pela natureza dos dados: como a maioria dos indicadores é ordinal (escalas 0–3), os testes não-paramétricos são preferíveis aos paramétricos, que pressupõem normalidade e intervalos iguais entre os níveis da escala.</w:t>
      </w:r>
    </w:p>
    <w:p>
      <w:pPr>
        <w:spacing w:after="200" w:before="0" w:line="276"/>
        <w:jc w:val="both"/>
      </w:pPr>
      <w:r>
        <w:rPr>
          <w:rFonts w:ascii="Calibri" w:cs="Calibri" w:eastAsia="Calibri" w:hAnsi="Calibri"/>
          <w:b w:val="false"/>
          <w:bCs w:val="false"/>
          <w:i w:val="false"/>
          <w:iCs w:val="false"/>
          <w:sz w:val="22"/>
          <w:szCs w:val="22"/>
        </w:rPr>
        <w:t xml:space="preserve">Na etapa descritiva, o módulo calcula: distribuições de frequência para cada indicador, segmentadas por país, regime e suporte; médias e desvios-padrão (com a ressalva de que médias de variáveis ordinais são interpretadas com cautela); tabulações cruzadas (cross-tabulations) entre pares de indicadores relevantes; e medianas, que para dados ordinais constituem a medida de tendência central mais apropriada. Estes resultados descritivos fornecem a base empírica sobre a qual as hipóteses inferenciais serão testadas.</w:t>
      </w:r>
    </w:p>
    <w:p>
      <w:pPr>
        <w:pStyle w:val="Heading2"/>
        <w:spacing w:after="200" w:before="300"/>
      </w:pPr>
      <w:r>
        <w:rPr>
          <w:rFonts w:ascii="Calibri" w:cs="Calibri" w:eastAsia="Calibri" w:hAnsi="Calibri"/>
          <w:b/>
          <w:bCs/>
          <w:color w:val="16213e"/>
          <w:sz w:val="24"/>
          <w:szCs w:val="24"/>
        </w:rPr>
        <w:t xml:space="preserve">5.1 Tabela das Hipóteses e Testes Estatísticos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3426"/>
      </w:tblGrid>
      <w:tr>
        <w:tc>
          <w:tcPr>
            <w:tcW w:type="dxa" w:w="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spacing w:after="40"/>
              <w:jc w:val="center"/>
            </w:pPr>
            <w:r>
              <w:rPr>
                <w:rFonts w:ascii="Calibri" w:cs="Calibri" w:eastAsia="Calibri" w:hAnsi="Calibri"/>
                <w:b/>
                <w:bCs/>
                <w:i w:val="false"/>
                <w:iCs w:val="false"/>
                <w:color w:val="FFFFFF"/>
                <w:sz w:val="18"/>
                <w:szCs w:val="18"/>
              </w:rPr>
              <w:t xml:space="preserve">Hip.</w:t>
            </w:r>
          </w:p>
        </w:tc>
        <w:tc>
          <w:tcPr>
            <w:tcW w:type="dxa" w:w="26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spacing w:after="40"/>
              <w:jc w:val="left"/>
            </w:pPr>
            <w:r>
              <w:rPr>
                <w:rFonts w:ascii="Calibri" w:cs="Calibri" w:eastAsia="Calibri" w:hAnsi="Calibri"/>
                <w:b/>
                <w:bCs/>
                <w:i w:val="false"/>
                <w:iCs w:val="false"/>
                <w:color w:val="FFFFFF"/>
                <w:sz w:val="18"/>
                <w:szCs w:val="18"/>
              </w:rPr>
              <w:t xml:space="preserve">Descrição</w:t>
            </w:r>
          </w:p>
        </w:tc>
        <w:tc>
          <w:tcPr>
            <w:tcW w:type="dxa" w:w="240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spacing w:after="40"/>
              <w:jc w:val="left"/>
            </w:pPr>
            <w:r>
              <w:rPr>
                <w:rFonts w:ascii="Calibri" w:cs="Calibri" w:eastAsia="Calibri" w:hAnsi="Calibri"/>
                <w:b/>
                <w:bCs/>
                <w:i w:val="false"/>
                <w:iCs w:val="false"/>
                <w:color w:val="FFFFFF"/>
                <w:sz w:val="18"/>
                <w:szCs w:val="18"/>
              </w:rPr>
              <w:t xml:space="preserve">Teste Estatístico</w:t>
            </w:r>
          </w:p>
        </w:tc>
        <w:tc>
          <w:tcPr>
            <w:tcW w:type="dxa" w:w="3426"/>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spacing w:after="40"/>
              <w:jc w:val="left"/>
            </w:pPr>
            <w:r>
              <w:rPr>
                <w:rFonts w:ascii="Calibri" w:cs="Calibri" w:eastAsia="Calibri" w:hAnsi="Calibri"/>
                <w:b/>
                <w:bCs/>
                <w:i w:val="false"/>
                <w:iCs w:val="false"/>
                <w:color w:val="FFFFFF"/>
                <w:sz w:val="18"/>
                <w:szCs w:val="18"/>
              </w:rPr>
              <w:t xml:space="preserve">Justificativa do Teste</w:t>
            </w:r>
          </w:p>
        </w:tc>
      </w:tr>
      <w:tr>
        <w:tc>
          <w:tcPr>
            <w:tcW w:type="dxa" w:w="6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center"/>
            </w:pPr>
            <w:r>
              <w:rPr>
                <w:rFonts w:ascii="Calibri" w:cs="Calibri" w:eastAsia="Calibri" w:hAnsi="Calibri"/>
                <w:b/>
                <w:bCs/>
                <w:i w:val="false"/>
                <w:iCs w:val="false"/>
                <w:sz w:val="18"/>
                <w:szCs w:val="18"/>
              </w:rPr>
              <w:t xml:space="preserve">H1</w:t>
            </w:r>
          </w:p>
        </w:tc>
        <w:tc>
          <w:tcPr>
            <w:tcW w:type="dxa" w:w="26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Regimes militares apresentam AMCP e MVI mais altos que regimes normativos</w:t>
            </w:r>
          </w:p>
        </w:tc>
        <w:tc>
          <w:tcPr>
            <w:tcW w:type="dxa" w:w="24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Kruskal-Wallis (3 grupos) + Mann-Whitney U (comparações par a par)</w:t>
            </w:r>
          </w:p>
        </w:tc>
        <w:tc>
          <w:tcPr>
            <w:tcW w:type="dxa" w:w="3426"/>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Testes não-paramétricos adequados para dados ordinais (escala 0–3) sem pressuposto de normalidade. Kruskal-Wallis compara 3 regimes simultaneamente; Mann-Whitney U realiza comparações post-hoc.</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center"/>
            </w:pPr>
            <w:r>
              <w:rPr>
                <w:rFonts w:ascii="Calibri" w:cs="Calibri" w:eastAsia="Calibri" w:hAnsi="Calibri"/>
                <w:b/>
                <w:bCs/>
                <w:i w:val="false"/>
                <w:iCs w:val="false"/>
                <w:sz w:val="18"/>
                <w:szCs w:val="18"/>
              </w:rPr>
              <w:t xml:space="preserve">H2</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Correlação positiva entre CII e WI (“clássico como código racial”)</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Correlação de Spearman (ρ)</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Spearman é a correlação de ordem adequada para variáveis ordinais, não exigindo linearidade nem normalidade bivariada. Testa monotonicidade entre idealização clássica e branquitude.</w:t>
            </w:r>
          </w:p>
        </w:tc>
      </w:tr>
      <w:tr>
        <w:tc>
          <w:tcPr>
            <w:tcW w:type="dxa" w:w="6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center"/>
            </w:pPr>
            <w:r>
              <w:rPr>
                <w:rFonts w:ascii="Calibri" w:cs="Calibri" w:eastAsia="Calibri" w:hAnsi="Calibri"/>
                <w:b/>
                <w:bCs/>
                <w:i w:val="false"/>
                <w:iCs w:val="false"/>
                <w:sz w:val="18"/>
                <w:szCs w:val="18"/>
              </w:rPr>
              <w:t xml:space="preserve">H3</w:t>
            </w:r>
          </w:p>
        </w:tc>
        <w:tc>
          <w:tcPr>
            <w:tcW w:type="dxa" w:w="26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Suportes de circulação íntima (moedas/selos) têm FEI menor que monumentos</w:t>
            </w:r>
          </w:p>
        </w:tc>
        <w:tc>
          <w:tcPr>
            <w:tcW w:type="dxa" w:w="24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Mann-Whitney U</w:t>
            </w:r>
          </w:p>
        </w:tc>
        <w:tc>
          <w:tcPr>
            <w:tcW w:type="dxa" w:w="3426"/>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Comparação entre dois grupos independentes (suporte íntimo vs. monumental) em variável ordinal. Testa se a rotina fraterna exige feminilidade atenuada nos objetos cotidianos.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center"/>
            </w:pPr>
            <w:r>
              <w:rPr>
                <w:rFonts w:ascii="Calibri" w:cs="Calibri" w:eastAsia="Calibri" w:hAnsi="Calibri"/>
                <w:b/>
                <w:bCs/>
                <w:i w:val="false"/>
                <w:iCs w:val="false"/>
                <w:sz w:val="18"/>
                <w:szCs w:val="18"/>
              </w:rPr>
              <w:t xml:space="preserve">H4</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Brasil e EUA têm RI=1 em ≥80% das imagens pós-1889</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Teste binomial</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Teste exato para proporções em uma amostra. Verifica se a proporção observada de RI=1 é significativamente ≥ 80%, testando a hipótese de que nações de colonização recente naturalizam a branquitude alegórica.</w:t>
            </w:r>
          </w:p>
        </w:tc>
      </w:tr>
      <w:tr>
        <w:tc>
          <w:tcPr>
            <w:tcW w:type="dxa" w:w="6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center"/>
            </w:pPr>
            <w:r>
              <w:rPr>
                <w:rFonts w:ascii="Calibri" w:cs="Calibri" w:eastAsia="Calibri" w:hAnsi="Calibri"/>
                <w:b/>
                <w:bCs/>
                <w:i w:val="false"/>
                <w:iCs w:val="false"/>
                <w:sz w:val="18"/>
                <w:szCs w:val="18"/>
              </w:rPr>
              <w:t xml:space="preserve">H5</w:t>
            </w:r>
          </w:p>
        </w:tc>
        <w:tc>
          <w:tcPr>
            <w:tcW w:type="dxa" w:w="26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AI aumenta ao longo do tempo (1789→2024)</w:t>
            </w:r>
          </w:p>
        </w:tc>
        <w:tc>
          <w:tcPr>
            <w:tcW w:type="dxa" w:w="2400"/>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Regressão linear simples (AI ~ Ano)</w:t>
            </w:r>
          </w:p>
        </w:tc>
        <w:tc>
          <w:tcPr>
            <w:tcW w:type="dxa" w:w="3426"/>
            <w:tcBorders>
              <w:top w:val="single" w:color="999999" w:sz="1"/>
              <w:left w:val="single" w:color="999999" w:sz="1"/>
              <w:bottom w:val="single" w:color="999999" w:sz="1"/>
              <w:right w:val="single" w:color="999999" w:sz="1"/>
            </w:tcBorders>
            <w:shd w:fill="F2F4F8" w:val="clear"/>
            <w:tcMar>
              <w:top w:type="dxa" w:w="60"/>
              <w:left w:type="dxa" w:w="100"/>
              <w:bottom w:type="dxa" w:w="60"/>
              <w:right w:type="dxa" w:w="100"/>
            </w:tcMar>
          </w:tcPr>
          <w:p>
            <w:pPr>
              <w:spacing w:after="40"/>
              <w:jc w:val="left"/>
            </w:pPr>
            <w:r>
              <w:rPr>
                <w:rFonts w:ascii="Calibri" w:cs="Calibri" w:eastAsia="Calibri" w:hAnsi="Calibri"/>
                <w:b w:val="false"/>
                <w:bCs w:val="false"/>
                <w:i w:val="false"/>
                <w:iCs w:val="false"/>
                <w:sz w:val="18"/>
                <w:szCs w:val="18"/>
              </w:rPr>
              <w:t xml:space="preserve">Regressão avalia tendência temporal do índice alegoria-biografia. Apesar de AI ser ordinal, a regressão sobre o tempo captura a direção e a força da tendência secular de biografização das alegorias.</w:t>
            </w:r>
          </w:p>
        </w:tc>
      </w:tr>
    </w:tbl>
    <w:p>
      <w:pPr>
        <w:spacing w:after="200"/>
      </w:pPr>
    </w:p>
    <w:p>
      <w:pPr>
        <w:spacing w:after="200" w:before="0" w:line="276"/>
        <w:jc w:val="both"/>
      </w:pPr>
      <w:r>
        <w:rPr>
          <w:rFonts w:ascii="Calibri" w:cs="Calibri" w:eastAsia="Calibri" w:hAnsi="Calibri"/>
          <w:b w:val="false"/>
          <w:bCs w:val="false"/>
          <w:i w:val="false"/>
          <w:iCs w:val="false"/>
          <w:sz w:val="22"/>
          <w:szCs w:val="22"/>
        </w:rPr>
        <w:t xml:space="preserve">A lógica de cada teste merece detalhamento. Para a Hipótese H1, o Kruskal-Wallis é empregado como análogo não-paramétrico da ANOVA de um fator, comparando as distribuições de AMCP e MVI entre os três tipos de regime (normativo, militar/autoritário, transitório). Em caso de resultado significativo (p &lt; 0,05), comparações post-hoc par a par são realizadas com Mann-Whitney U, aplicando correção de Bonferroni para controlar a taxa de erro tipo I. A direção esperada é que regimes militares apresentem medianas superiores em ambos os indicadores, refletindo a militarização e a vulnerabilização do corpo feminino alegórico em períodos de exceção.</w:t>
      </w:r>
    </w:p>
    <w:p>
      <w:pPr>
        <w:spacing w:after="200" w:before="0" w:line="276"/>
        <w:jc w:val="both"/>
      </w:pPr>
      <w:r>
        <w:rPr>
          <w:rFonts w:ascii="Calibri" w:cs="Calibri" w:eastAsia="Calibri" w:hAnsi="Calibri"/>
          <w:b w:val="false"/>
          <w:bCs w:val="false"/>
          <w:i w:val="false"/>
          <w:iCs w:val="false"/>
          <w:sz w:val="22"/>
          <w:szCs w:val="22"/>
        </w:rPr>
        <w:t xml:space="preserve">Para a Hipótese H2, a correlação de Spearman (ρ) entre CII e WI testa se a adesão ao ideal clássico greco-romano está monotonicamente associada à branquitude da figura alegórica. Uma correlação positiva forte (ρ &gt; 0,5) e significativa confirmaria a tese de que o “clássico” funciona como código racial na iconografia jurídica. A Hipótese H3 emprega Mann-Whitney U para comparar os valores de FEI entre suportes de circulação íntima (moedas e selos, manuseados cotidianamente) e monumentos (expostos no espaço público). A hipótese patemniana é que a “rotina fraterna” do contrato sexual exige uma feminilidade mais contida nos objetos de uso cotidiano.</w:t>
      </w:r>
    </w:p>
    <w:p>
      <w:pPr>
        <w:pStyle w:val="Heading2"/>
        <w:spacing w:after="200" w:before="300"/>
      </w:pPr>
      <w:r>
        <w:rPr>
          <w:rFonts w:ascii="Calibri" w:cs="Calibri" w:eastAsia="Calibri" w:hAnsi="Calibri"/>
          <w:b/>
          <w:bCs/>
          <w:color w:val="16213e"/>
          <w:sz w:val="24"/>
          <w:szCs w:val="24"/>
        </w:rPr>
        <w:t xml:space="preserve">5.2 Suite de Visualização</w:t>
      </w:r>
    </w:p>
    <w:p>
      <w:pPr>
        <w:spacing w:after="200" w:before="0" w:line="276"/>
        <w:jc w:val="both"/>
      </w:pPr>
      <w:r>
        <w:rPr>
          <w:rFonts w:ascii="Calibri" w:cs="Calibri" w:eastAsia="Calibri" w:hAnsi="Calibri"/>
          <w:b w:val="false"/>
          <w:bCs w:val="false"/>
          <w:i w:val="false"/>
          <w:iCs w:val="false"/>
          <w:sz w:val="22"/>
          <w:szCs w:val="22"/>
        </w:rPr>
        <w:t xml:space="preserve">O módulo estatistica.py gera automaticamente seis tipos de gráficos, cada um escolhido por sua adequação ao tipo de dado e à pergunta de pesquisa: (1) gráficos de barras mostrando distribuições de frequência por indicador, segmentados por país ou regime; (2) heatmap de correlações (Spearman) entre todos os indicadores ordinais, revelando padrões de co-ocorrência; (3) boxplots de indicadores-chave por tipo de regime, visualizando as diferenças testadas em H1; (4) boxplots por país, permitindo comparações geográficas; (5) scatterplot de CII × WI com linha de tendência, correspondendo à H2; e (6) gráfico de tendência temporal do AI (1789–2024) com linha de regressão, correspondendo à H5. Todos os gráficos são produzidos em alta resolução (300 DPI) nos formatos PNG e PDF, utilizando seaborn para estética e matplotlib para customização fina.</w:t>
      </w:r>
    </w:p>
    <w:p>
      <w:pPr>
        <w:spacing w:after="200" w:before="0" w:line="276"/>
        <w:jc w:val="both"/>
      </w:pPr>
      <w:r>
        <w:rPr>
          <w:rFonts w:ascii="Calibri" w:cs="Calibri" w:eastAsia="Calibri" w:hAnsi="Calibri"/>
          <w:b w:val="false"/>
          <w:bCs w:val="false"/>
          <w:i w:val="false"/>
          <w:iCs w:val="false"/>
          <w:sz w:val="22"/>
          <w:szCs w:val="22"/>
        </w:rPr>
        <w:t xml:space="preserve">A funcionalidade de geração de relatório completo consolida todas as análises — descritivas e inferenciais — em um único documento estruturado, incluindo tabelas de resultados, valores-p, tamanhos de efeito e interpretações preliminares. Este relatório serve como base para a redação do capítulo de resultados da tese e pode ser compartilhado com o orientador para discussão interina dos achados.</w:t>
      </w:r>
    </w:p>
    <w:p>
      <w:r>
        <w:br w:type="page"/>
      </w:r>
    </w:p>
    <w:p>
      <w:pPr>
        <w:pStyle w:val="Heading1"/>
        <w:spacing w:after="240" w:before="360"/>
      </w:pPr>
      <w:r>
        <w:rPr>
          <w:rFonts w:ascii="Calibri" w:cs="Calibri" w:eastAsia="Calibri" w:hAnsi="Calibri"/>
          <w:b/>
          <w:bCs/>
          <w:color w:val="1a1a2e"/>
          <w:sz w:val="28"/>
          <w:szCs w:val="28"/>
        </w:rPr>
        <w:t xml:space="preserve">6. Confiabilidade Inter-Codificadores (kappa.py)</w:t>
      </w:r>
    </w:p>
    <w:p>
      <w:pPr>
        <w:spacing w:after="200" w:before="0" w:line="276"/>
        <w:jc w:val="both"/>
      </w:pPr>
      <w:r>
        <w:rPr>
          <w:rFonts w:ascii="Calibri" w:cs="Calibri" w:eastAsia="Calibri" w:hAnsi="Calibri"/>
          <w:b w:val="false"/>
          <w:bCs w:val="false"/>
          <w:i w:val="false"/>
          <w:iCs w:val="false"/>
          <w:sz w:val="22"/>
          <w:szCs w:val="22"/>
        </w:rPr>
        <w:t xml:space="preserve">O módulo kappa.py implementa o protocolo de confiabilidade inter-codificadores, elemento essencial para a validação do sistema de codificação. Em qualquer estudo que empregue codificação manual de dados visuais, a confiabilidade entre codificadores é a pedra angular da credibilidade científica: se dois codificadores independentes, utilizando o mesmo manual, não chegam a resultados consistentes, o sistema de codificação carece de validade. O padrão adotado nesta tese é o coeficiente Kappa de Cohen (1960), com interpretação conforme os benchmarks de Landis e Koch (1977).</w:t>
      </w:r>
    </w:p>
    <w:p>
      <w:pPr>
        <w:spacing w:after="200" w:before="0" w:line="276"/>
        <w:jc w:val="both"/>
      </w:pPr>
      <w:r>
        <w:rPr>
          <w:rFonts w:ascii="Calibri" w:cs="Calibri" w:eastAsia="Calibri" w:hAnsi="Calibri"/>
          <w:b w:val="false"/>
          <w:bCs w:val="false"/>
          <w:i w:val="false"/>
          <w:iCs w:val="false"/>
          <w:sz w:val="22"/>
          <w:szCs w:val="22"/>
        </w:rPr>
        <w:t xml:space="preserve">A implementação distingue entre dois tipos de Kappa conforme a natureza do indicador. Para indicadores ordinais (FEI, CII, SMI, AMCP, MVI, WI e AI, todos em escala 0–3), utiliza-se o Kappa ponderado com pesos lineares. A ponderação linear é adequada porque, nestas escalas, a discordância entre valores adjacentes (ex.: 1 vs. 2) é menos grave que a discordância entre valores distantes (ex.: 0 vs. 3). Para indicadores categóricos (PRI e SMS, cada um com três categorias nominais) e binários (RI, com valores 0/1), utiliza-se o Kappa não-ponderado, pois não há ordenação inerente entre as categorias.</w:t>
      </w:r>
    </w:p>
    <w:p>
      <w:pPr>
        <w:spacing w:after="200" w:before="0" w:line="276"/>
        <w:jc w:val="both"/>
      </w:pPr>
      <w:r>
        <w:rPr>
          <w:rFonts w:ascii="Calibri" w:cs="Calibri" w:eastAsia="Calibri" w:hAnsi="Calibri"/>
          <w:b w:val="false"/>
          <w:bCs w:val="false"/>
          <w:i w:val="false"/>
          <w:iCs w:val="false"/>
          <w:sz w:val="22"/>
          <w:szCs w:val="22"/>
        </w:rPr>
        <w:t xml:space="preserve">Os limiares de classificação adotados seguem a escala de Landis e Koch (1977), com ajuste para a exigência desta pesquisa: Kappa ≥ 0,80 é classificado como “excelente” e constitui o objetivo mínimo para cada indicador; Kappa entre 0,60 e 0,79 é “moderado” e sinaliza necessidade de revisão do manual de codificação para o indicador em questão; Kappa inferior a 0,60 é “baixo” e exige reformulação da definição operacional ou exclusão do indicador. O limiar de 0,80 é mais rigoroso que o habitualmente aceito em ciências sociais (onde 0,60–0,70 é frequentemente considerado suficiente), refletindo a aspiração desta tese à precisão quantitativa.</w:t>
      </w:r>
    </w:p>
    <w:p>
      <w:pPr>
        <w:spacing w:after="200" w:before="0" w:line="276"/>
        <w:jc w:val="both"/>
      </w:pPr>
      <w:r>
        <w:rPr>
          <w:rFonts w:ascii="Calibri" w:cs="Calibri" w:eastAsia="Calibri" w:hAnsi="Calibri"/>
          <w:b w:val="false"/>
          <w:bCs w:val="false"/>
          <w:i w:val="false"/>
          <w:iCs w:val="false"/>
          <w:sz w:val="22"/>
          <w:szCs w:val="22"/>
        </w:rPr>
        <w:t xml:space="preserve">O módulo inclui funcionalidades avançadas de identificação de discordâncias e monitoramento de deriva. A identificação de discordâncias lista todas as imagens onde os codificadores divergiram acima de um limiar configurável (por padrão, discordância ≥ 2 pontos na escala ordinal), gerando insumos para reuniões de consenso entre os codificadores. O monitoramento de deriva opera por janela deslizante de 100 imagens, calculando o Kappa móvel para detectar degradamento progressivo da concordância ao longo do tempo — fenômeno comum em projetos de codificação prolongados, onde a fadiga do codificador pode comprometer a consistência.</w:t>
      </w:r>
    </w:p>
    <w:p>
      <w:pPr>
        <w:spacing w:after="200" w:before="0" w:line="276"/>
        <w:jc w:val="both"/>
      </w:pPr>
      <w:r>
        <w:rPr>
          <w:rFonts w:ascii="Calibri" w:cs="Calibri" w:eastAsia="Calibri" w:hAnsi="Calibri"/>
          <w:b w:val="false"/>
          <w:bCs w:val="false"/>
          <w:i w:val="false"/>
          <w:iCs w:val="false"/>
          <w:sz w:val="22"/>
          <w:szCs w:val="22"/>
        </w:rPr>
        <w:t xml:space="preserve">No cronograma da tese, o protocolo de confiabilidade inter-codificadores está previsto para os Meses 9–10. O procedimento compreende: (a) treinamento dos codificadores independentes com o manual gerado pelo módulo codificacao.py; (b) codificação piloto de 50 imagens com cálculo de Kappa prelimimnar; (c) reunião de consenso e ajuste do manual se necessário; (d) codificação completa do corpus com monitoramento contínuo de deriva; e (e) relatório final de confiabilidade com Kappa por indicador e identificação de padrões de discordância.</w:t>
      </w:r>
    </w:p>
    <w:p>
      <w:r>
        <w:br w:type="page"/>
      </w:r>
    </w:p>
    <w:p>
      <w:pPr>
        <w:pStyle w:val="Heading1"/>
        <w:spacing w:after="240" w:before="360"/>
      </w:pPr>
      <w:r>
        <w:rPr>
          <w:rFonts w:ascii="Calibri" w:cs="Calibri" w:eastAsia="Calibri" w:hAnsi="Calibri"/>
          <w:b/>
          <w:bCs/>
          <w:color w:val="1a1a2e"/>
          <w:sz w:val="28"/>
          <w:szCs w:val="28"/>
        </w:rPr>
        <w:t xml:space="preserve">7. Integração Iconclass (iconclass_.py)</w:t>
      </w:r>
    </w:p>
    <w:p>
      <w:pPr>
        <w:spacing w:after="200" w:before="0" w:line="276"/>
        <w:jc w:val="both"/>
      </w:pPr>
      <w:r>
        <w:rPr>
          <w:rFonts w:ascii="Calibri" w:cs="Calibri" w:eastAsia="Calibri" w:hAnsi="Calibri"/>
          <w:b w:val="false"/>
          <w:bCs w:val="false"/>
          <w:i w:val="false"/>
          <w:iCs w:val="false"/>
          <w:sz w:val="22"/>
          <w:szCs w:val="22"/>
        </w:rPr>
        <w:t xml:space="preserve">O módulo iconclass_.py realiza a ponte entre o sistema de codificação próprio desta tese e o Iconclass, o sistema internacional de classificação iconográfica desenvolvido pelo Henri van de Waal e mantido pelo Rijksbureau voor Kunsthistorische Documentatie (RKD). O Iconclass é o padrão de facto para catalogação de conteúdo visual em museus, bibliotecas e projetos de humanidades digitais em todo o mundo, organizado em uma hierarquia alfanumérica que vai de categorias amplas (ex.: 11 = Religião Cristã) a descrições altamente específicas (ex.: 44B62(SWORD) = Espada como símbolo de Justiça).</w:t>
      </w:r>
    </w:p>
    <w:p>
      <w:pPr>
        <w:spacing w:after="200" w:before="0" w:line="276"/>
        <w:jc w:val="both"/>
      </w:pPr>
      <w:r>
        <w:rPr>
          <w:rFonts w:ascii="Calibri" w:cs="Calibri" w:eastAsia="Calibri" w:hAnsi="Calibri"/>
          <w:b w:val="false"/>
          <w:bCs w:val="false"/>
          <w:i w:val="false"/>
          <w:iCs w:val="false"/>
          <w:sz w:val="22"/>
          <w:szCs w:val="22"/>
        </w:rPr>
        <w:t xml:space="preserve">A integração com o Iconclass serve a dois propósitos estratégicos para a tese. Primeiro, garante a comparabilidade internacional dos resultados: outros pesquisadores que utilizem o Iconclass poderão localizar o corpus desta tese dentro da taxonomia global, facilitando estudos comparativos e meta-análises. Segundo, insere a tese no ecossistema das humanidades digitais, demonstrando que a pesquisa jurídica pode dialogar com os padrões e infraestruturas da história da arte computacional, área em rápido crescimento.</w:t>
      </w:r>
    </w:p>
    <w:p>
      <w:pPr>
        <w:spacing w:after="200" w:before="0" w:line="276"/>
        <w:jc w:val="both"/>
      </w:pPr>
      <w:r>
        <w:rPr>
          <w:rFonts w:ascii="Calibri" w:cs="Calibri" w:eastAsia="Calibri" w:hAnsi="Calibri"/>
          <w:b w:val="false"/>
          <w:bCs w:val="false"/>
          <w:i w:val="false"/>
          <w:iCs w:val="false"/>
          <w:sz w:val="22"/>
          <w:szCs w:val="22"/>
        </w:rPr>
        <w:t xml:space="preserve">O módulo contém um conjunto pré-mapeado de códigos Iconclass organizado por seis temas centrais da tese: (1) alegorias femininas (31A — mulher, 31AA — mulher ideal, 44A3 — Justiça como mulher); (2) justiça e direito (44B6 — Justiça, 44B62 — atributos da Justiça); (3) mulher e corpo (31D — corpo humano feminino); (4) soberania e Estado (44A — governo, 44C — legislação); (5) atributos simbólicos (49L — atributos de figuras personificadas); e (6) suportes materiais (48A98 — numismática, 49M — heráldica).</w:t>
      </w:r>
    </w:p>
    <w:p>
      <w:pPr>
        <w:spacing w:after="200" w:before="0" w:line="276"/>
        <w:jc w:val="both"/>
      </w:pPr>
      <w:r>
        <w:rPr>
          <w:rFonts w:ascii="Calibri" w:cs="Calibri" w:eastAsia="Calibri" w:hAnsi="Calibri"/>
          <w:b w:val="false"/>
          <w:bCs w:val="false"/>
          <w:i w:val="false"/>
          <w:iCs w:val="false"/>
          <w:sz w:val="22"/>
          <w:szCs w:val="22"/>
        </w:rPr>
        <w:t xml:space="preserve">O motor de sugestão automática opera a partir dos valores dos indicadores atribuídos a cada imagem. Por exemplo, uma imagem codificada com FEI=3 (corpo enfatizado) e AMCP=2 (armamento ofensivo) receberá sugestões de códigos Iconclass relacionados a alegorias femininas armadas com ênfase corporal (31AA + 45C). Uma imagem com WI=3 (branquitude + hierarquia) receberá códigos relacionados a hierarquias sociais representadas visualmente. O pesquisador pode aceitar, rejeitar ou modificar cada sugestão, mantendo o controle intelectual sobre a classificação final.</w:t>
      </w:r>
    </w:p>
    <w:p>
      <w:pPr>
        <w:spacing w:after="200" w:before="0" w:line="276"/>
        <w:jc w:val="both"/>
      </w:pPr>
      <w:r>
        <w:rPr>
          <w:rFonts w:ascii="Calibri" w:cs="Calibri" w:eastAsia="Calibri" w:hAnsi="Calibri"/>
          <w:b w:val="false"/>
          <w:bCs w:val="false"/>
          <w:i w:val="false"/>
          <w:iCs w:val="false"/>
          <w:sz w:val="22"/>
          <w:szCs w:val="22"/>
        </w:rPr>
        <w:t xml:space="preserve">A implementação do mapeamento indicador-Iconclass segue uma lógica de correspondência múltipla: cada valor de cada indicador pode mapear para um ou mais códigos Iconclass, e cada código Iconclass pode ser sugerido por múltiplos indicadores. Esta relação many-to-many reflete a complexidade inerente à classificação iconográfica, onde uma mesma imagem pode legitimamente receber múltiplas categorias. O módulo registra todas as decisões de aceitação/rejeição de sugestões, criando um log de auditoria que pode ser inspecionado pela banca ou por futuros pesquisadores.</w:t>
      </w:r>
    </w:p>
    <w:p>
      <w:r>
        <w:br w:type="page"/>
      </w:r>
    </w:p>
    <w:p>
      <w:pPr>
        <w:pStyle w:val="Heading1"/>
        <w:spacing w:after="240" w:before="360"/>
      </w:pPr>
      <w:r>
        <w:rPr>
          <w:rFonts w:ascii="Calibri" w:cs="Calibri" w:eastAsia="Calibri" w:hAnsi="Calibri"/>
          <w:b/>
          <w:bCs/>
          <w:color w:val="1a1a2e"/>
          <w:sz w:val="28"/>
          <w:szCs w:val="28"/>
        </w:rPr>
        <w:t xml:space="preserve">8. Matriz de Evidências (matriz.py)</w:t>
      </w:r>
    </w:p>
    <w:p>
      <w:pPr>
        <w:spacing w:after="200" w:before="0" w:line="276"/>
        <w:jc w:val="both"/>
      </w:pPr>
      <w:r>
        <w:rPr>
          <w:rFonts w:ascii="Calibri" w:cs="Calibri" w:eastAsia="Calibri" w:hAnsi="Calibri"/>
          <w:b w:val="false"/>
          <w:bCs w:val="false"/>
          <w:i w:val="false"/>
          <w:iCs w:val="false"/>
          <w:sz w:val="22"/>
          <w:szCs w:val="22"/>
        </w:rPr>
        <w:t xml:space="preserve">O módulo matriz.py gerencia a matriz de evidências proveniente das nove revisões sistemáticas previstas na Fase 1 da tese (Meses 1–12). A revisão sistemática é o método escolhido para mapear a literatura existente sobre cada um dos temas centrais da tese — contrato sexual, iconografia jurídica, alegorias de gênero, teoria crítica racial, Iconclass, entre outros — de forma exaustiva, reprodutível e transparente. A matriz de evidências consolida os achados de todas as revisões em uma estrutura tabular única, facilitando a identificação de padrões transversais e lacunas na literatura.</w:t>
      </w:r>
    </w:p>
    <w:p>
      <w:pPr>
        <w:spacing w:after="200" w:before="0" w:line="276"/>
        <w:jc w:val="both"/>
      </w:pPr>
      <w:r>
        <w:rPr>
          <w:rFonts w:ascii="Calibri" w:cs="Calibri" w:eastAsia="Calibri" w:hAnsi="Calibri"/>
          <w:b w:val="false"/>
          <w:bCs w:val="false"/>
          <w:i w:val="false"/>
          <w:iCs w:val="false"/>
          <w:sz w:val="22"/>
          <w:szCs w:val="22"/>
        </w:rPr>
        <w:t xml:space="preserve">A estrutura da matriz compreende 13 colunas, alinhadas com o fluxo de trabalho da plataforma Elicit (ferramenta de revisão sistemática assistida por inteligência artificial): ID (identificador sequencial da evidência), Review_number (número da revisão sistemática de origem, 1–9), Authors (autores do estudo), Year (ano de publicação), Title (título do trabalho), Journal (periódico ou editora), DOI (identificador digital), Country_focus (país ou região de foco do estudo), Key_finding (achado principal), Relevance_score (escore de relevância de 1 a 5), Theoretical_framework (quadro teórico empregado), Methodology (metodologia do estudo) e Notes (observações do pesquisador).</w:t>
      </w:r>
    </w:p>
    <w:p>
      <w:pPr>
        <w:spacing w:after="200" w:before="0" w:line="276"/>
        <w:jc w:val="both"/>
      </w:pPr>
      <w:r>
        <w:rPr>
          <w:rFonts w:ascii="Calibri" w:cs="Calibri" w:eastAsia="Calibri" w:hAnsi="Calibri"/>
          <w:b w:val="false"/>
          <w:bCs w:val="false"/>
          <w:i w:val="false"/>
          <w:iCs w:val="false"/>
          <w:sz w:val="22"/>
          <w:szCs w:val="22"/>
        </w:rPr>
        <w:t xml:space="preserve">A funcionalidade de análise de lacunas (gap analysis) constitui uma contribuição original do toolkit. A partir da matriz preenchida, o módulo identifica automaticamente: (a) países subrepresentados na literatura (por exemplo, se há poucos estudos sobre alegorias jurídicas no Brasil comparado à França); (b) períodos históricos com lacunas (por exemplo, a ausência de estudos sobre alegorias em regimes transitórios); (c) quadros teóricos pouco explorados (por exemplo, a escassez de aplicações do contrato racial de Mills à iconografia jurídica); e (d) cruzamentos temáticos inexplorados (por exemplo, a intersecção entre gênero e raça nas alegorias de justiça). Estas lacunas constituem, em si mesmas, justificativas para a presente tese.</w:t>
      </w:r>
    </w:p>
    <w:p>
      <w:pPr>
        <w:spacing w:after="200" w:before="0" w:line="276"/>
        <w:jc w:val="both"/>
      </w:pPr>
      <w:r>
        <w:rPr>
          <w:rFonts w:ascii="Calibri" w:cs="Calibri" w:eastAsia="Calibri" w:hAnsi="Calibri"/>
          <w:b w:val="false"/>
          <w:bCs w:val="false"/>
          <w:i w:val="false"/>
          <w:iCs w:val="false"/>
          <w:sz w:val="22"/>
          <w:szCs w:val="22"/>
        </w:rPr>
        <w:t xml:space="preserve">O módulo oferece exportação em formato ABNT (Associação Brasileira de Normas Técnicas), gerando referências bibliográficas formatadas conforme a NBR 6023:2018 a partir dos metadados da matriz. Esta funcionalidade elimina a necessidade de reformatação manual das referências ao transcrever os achados das revisões para o texto da tese, reduzindo erros e economizando tempo. A integração entre a matriz de evidências e o corpus iconográfico permite, ainda, vincular evidências bibliográficas a imagens específicas, criando um tecido analítico que conecta teoria e empírico de forma rastreavel.</w:t>
      </w:r>
    </w:p>
    <w:p>
      <w:pPr>
        <w:spacing w:after="200" w:before="0" w:line="276"/>
        <w:jc w:val="both"/>
      </w:pPr>
      <w:r>
        <w:rPr>
          <w:rFonts w:ascii="Calibri" w:cs="Calibri" w:eastAsia="Calibri" w:hAnsi="Calibri"/>
          <w:b w:val="false"/>
          <w:bCs w:val="false"/>
          <w:i w:val="false"/>
          <w:iCs w:val="false"/>
          <w:sz w:val="22"/>
          <w:szCs w:val="22"/>
        </w:rPr>
        <w:t xml:space="preserve">A integração entre corpus e matriz de evidências opera bidirecionalmente. De um lado, os achados bibliográficos orientam a seleção e a codificação das imagens: por exemplo, se a revisão sistemática sobre o contrato racial identifica que Mills (1997) analisa a “brancura” como pressuposto do contrato social, isso informa a operacionalização do WI. De outro lado, os resultados da codificação podem revelar padrões não antecipados pela literatura, gerando novos termos de busca para revisões complementares. Esta circularidade hermeneutica é característica do método iconológico-forense proposto pela tese.</w:t>
      </w:r>
    </w:p>
    <w:p>
      <w:r>
        <w:br w:type="page"/>
      </w:r>
    </w:p>
    <w:p>
      <w:pPr>
        <w:pStyle w:val="Heading1"/>
        <w:spacing w:after="240" w:before="360"/>
      </w:pPr>
      <w:r>
        <w:rPr>
          <w:rFonts w:ascii="Calibri" w:cs="Calibri" w:eastAsia="Calibri" w:hAnsi="Calibri"/>
          <w:b/>
          <w:bCs/>
          <w:color w:val="1a1a2e"/>
          <w:sz w:val="28"/>
          <w:szCs w:val="28"/>
        </w:rPr>
        <w:t xml:space="preserve">9. Interface de Linha de Comando (main.py)</w:t>
      </w:r>
    </w:p>
    <w:p>
      <w:pPr>
        <w:spacing w:after="200" w:before="0" w:line="276"/>
        <w:jc w:val="both"/>
      </w:pPr>
      <w:r>
        <w:rPr>
          <w:rFonts w:ascii="Calibri" w:cs="Calibri" w:eastAsia="Calibri" w:hAnsi="Calibri"/>
          <w:b w:val="false"/>
          <w:bCs w:val="false"/>
          <w:i w:val="false"/>
          <w:iCs w:val="false"/>
          <w:sz w:val="22"/>
          <w:szCs w:val="22"/>
        </w:rPr>
        <w:t xml:space="preserve">O módulo main.py constitui o ponto de entrada unificado do toolkit, oferecendo uma interface de linha de comando (CLI) que orquestra todos os módulos descritos nas seções anteriores. A CLI foi projetada segundo o princípio de “convenção sobre configuração”: o pesquisador pode executar operações complexas com comandos simples, enquanto opções avançadas permanecem acessíveis para personalização. A arquitetura de comandos e subcomandos segue a estrutura hierárquica dos módulos do toolkit.</w:t>
      </w:r>
    </w:p>
    <w:p>
      <w:pPr>
        <w:spacing w:after="200" w:before="0" w:line="276"/>
        <w:jc w:val="both"/>
      </w:pPr>
      <w:r>
        <w:rPr>
          <w:rFonts w:ascii="Calibri" w:cs="Calibri" w:eastAsia="Calibri" w:hAnsi="Calibri"/>
          <w:b w:val="false"/>
          <w:bCs w:val="false"/>
          <w:i w:val="false"/>
          <w:iCs w:val="false"/>
          <w:sz w:val="22"/>
          <w:szCs w:val="22"/>
        </w:rPr>
        <w:t xml:space="preserve">O toolkit disponibiliza oito comandos principais: (1) corpus, para operações de gestão do acervo (adicionar imagens, validar metadados, verificar checkpoints, gerar relatórios de progresso); (2) codificar, para codificação interativa ou em lote das imagens (atribuir valores aos 10 indicadores, gerar manual de codificação); (3) estatistica, para análises descritivas e inferenciais (calcular frequências, executar testes de hipóteses, gerar visualizações); (4) kappa, para cálculo de confiabilidade (computar Kappa por indicador, identificar discordâncias, monitorar deriva); (5) iconclass, para mapeamento ao padrão internacional (sugerir códigos, exportar classificações); (6) matriz, para gestão da matriz de evidências (adicionar entradas, analisar lacunas, exportar ABNT); (7) relatorio, para geração de relatórios consolidados; e (8) config, para configuração do ambiente de trabalho.</w:t>
      </w:r>
    </w:p>
    <w:p>
      <w:pPr>
        <w:spacing w:after="200" w:before="0" w:line="276"/>
        <w:jc w:val="both"/>
      </w:pPr>
      <w:r>
        <w:rPr>
          <w:rFonts w:ascii="Calibri" w:cs="Calibri" w:eastAsia="Calibri" w:hAnsi="Calibri"/>
          <w:b w:val="false"/>
          <w:bCs w:val="false"/>
          <w:i w:val="false"/>
          <w:iCs w:val="false"/>
          <w:sz w:val="22"/>
          <w:szCs w:val="22"/>
        </w:rPr>
        <w:t xml:space="preserve">A unificação dos módulos em uma única CLI oferece três vantagens práticas. Primeira, reduz a curva de aprendizado: o pesquisador não precisa memorizar scripts separados para cada operação. Segunda, garante consistência de dados: todos os módulos operam sobre o mesmo diretório de trabalho e compartilham o mesmo corpus de dados, eliminando riscos de dessincronia. Terceira, facilita a documentação e a reprodutibilidade: cada sessão de trabalho pode ser registrada como uma sequência de comandos CLI que outro pesquisador pode reexecutar integralmente.</w:t>
      </w:r>
    </w:p>
    <w:p>
      <w:pPr>
        <w:spacing w:after="200" w:before="0" w:line="276"/>
        <w:jc w:val="both"/>
      </w:pPr>
      <w:r>
        <w:rPr>
          <w:rFonts w:ascii="Calibri" w:cs="Calibri" w:eastAsia="Calibri" w:hAnsi="Calibri"/>
          <w:b w:val="false"/>
          <w:bCs w:val="false"/>
          <w:i w:val="false"/>
          <w:iCs w:val="false"/>
          <w:sz w:val="22"/>
          <w:szCs w:val="22"/>
        </w:rPr>
        <w:t xml:space="preserve">Exemplos de fluxos de trabalho típicos ilustram a integração entre os módulos. Um fluxo inicial de constituição do corpus compreenderia: (a) python main.py corpus add --file imagem.jpg --country FR --figure Marianne --year 1792 --support moeda; (b) python main.py corpus validate; (c) python main.py corpus checkpoint. Um fluxo de codificação incluiria: (a) python main.py codificar --image FR_Marianne_1792_moeda_001; (b) python main.py kappa calculate; (c) python main.py kappa drift. E um fluxo de análise final compreenderia: (a) python main.py estatistica describe; (b) python main.py estatistica test --hypothesis H1; (c) python main.py estatistica plot --type heatmap; (d) python main.py relatorio generate.</w:t>
      </w:r>
    </w:p>
    <w:p>
      <w:pPr>
        <w:spacing w:after="200" w:before="0" w:line="276"/>
        <w:jc w:val="both"/>
      </w:pPr>
      <w:r>
        <w:rPr>
          <w:rFonts w:ascii="Calibri" w:cs="Calibri" w:eastAsia="Calibri" w:hAnsi="Calibri"/>
          <w:b w:val="false"/>
          <w:bCs w:val="false"/>
          <w:i w:val="false"/>
          <w:iCs w:val="false"/>
          <w:sz w:val="22"/>
          <w:szCs w:val="22"/>
        </w:rPr>
        <w:t xml:space="preserve">A CLI também inclui funcionalidades auxiliares como ajuda contextual (flag --help em qualquer nível), modo verboso (flag --verbose para diagnóstico), e exportação em múltiplos formatos (CSV, JSON, XLSX). Estas funcionalidades asseguram que o toolkit é utilizável tanto por pesquisadores com familiaridade técnica quanto por aqueles que necessitam de orientação passo a passo.</w:t>
      </w:r>
    </w:p>
    <w:p>
      <w:r>
        <w:br w:type="page"/>
      </w:r>
    </w:p>
    <w:p>
      <w:pPr>
        <w:pStyle w:val="Heading1"/>
        <w:spacing w:after="240" w:before="360"/>
      </w:pPr>
      <w:r>
        <w:rPr>
          <w:rFonts w:ascii="Calibri" w:cs="Calibri" w:eastAsia="Calibri" w:hAnsi="Calibri"/>
          <w:b/>
          <w:bCs/>
          <w:color w:val="1a1a2e"/>
          <w:sz w:val="28"/>
          <w:szCs w:val="28"/>
        </w:rPr>
        <w:t xml:space="preserve">10. Limitações e Desenvolvimentos Futuros</w:t>
      </w:r>
    </w:p>
    <w:p>
      <w:pPr>
        <w:spacing w:after="200" w:before="0" w:line="276"/>
        <w:jc w:val="both"/>
      </w:pPr>
      <w:r>
        <w:rPr>
          <w:rFonts w:ascii="Calibri" w:cs="Calibri" w:eastAsia="Calibri" w:hAnsi="Calibri"/>
          <w:b w:val="false"/>
          <w:bCs w:val="false"/>
          <w:i w:val="false"/>
          <w:iCs w:val="false"/>
          <w:sz w:val="22"/>
          <w:szCs w:val="22"/>
        </w:rPr>
        <w:t xml:space="preserve">O toolkit apresenta limitações que devem ser explicitadas com transparência. A primeira é a ausência de uma interface gráfica (GUI): toda a interação ocorre via linha de comando, o que pode constituir uma barreira para pesquisadores sem experiência em programação. A segunda é o armazenamento baseado em arquivos (JSON/CSV): para corpus de grande escala (acima de 1.000 imagens), um banco de dados relacional ofereceria desempenho e integridade superiores. A terceira limitação é a ausência de integração com APIs de reconhecimento de imagem (como Google Vision ou CLIP), que poderiam auxiliar na codificação preliminar, embora não substituam o julgamento humano para indicadores teoricamente fundamentados.</w:t>
      </w:r>
    </w:p>
    <w:p>
      <w:pPr>
        <w:spacing w:after="200" w:before="0" w:line="276"/>
        <w:jc w:val="both"/>
      </w:pPr>
      <w:r>
        <w:rPr>
          <w:rFonts w:ascii="Calibri" w:cs="Calibri" w:eastAsia="Calibri" w:hAnsi="Calibri"/>
          <w:b w:val="false"/>
          <w:bCs w:val="false"/>
          <w:i w:val="false"/>
          <w:iCs w:val="false"/>
          <w:sz w:val="22"/>
          <w:szCs w:val="22"/>
        </w:rPr>
        <w:t xml:space="preserve">Uma quarta limitação concerne a especificidade do sistema de codificação: os dez indicadores foram desenhados para o objeto específico desta tese (alegorias femininas na cultura jurídica) e não são diretamente transferíveis para outros domínios iconográficos sem adaptação. Por fim, o toolkit não incorpora análise automática de imagens (computer vision), operando exclusivamente com codificação humana assistida por árvores de decisão. Esta é, paradoxalmente, tanto uma limitação (menor velocidade) quanto uma força (maior profundidade interpretativa), alinhando-se com a tradição iconológica que privilegia a análise humana sobre a automação.</w:t>
      </w:r>
    </w:p>
    <w:p>
      <w:pPr>
        <w:spacing w:after="200" w:before="0" w:line="276"/>
        <w:jc w:val="both"/>
      </w:pPr>
      <w:r>
        <w:rPr>
          <w:rFonts w:ascii="Calibri" w:cs="Calibri" w:eastAsia="Calibri" w:hAnsi="Calibri"/>
          <w:b w:val="false"/>
          <w:bCs w:val="false"/>
          <w:i w:val="false"/>
          <w:iCs w:val="false"/>
          <w:sz w:val="22"/>
          <w:szCs w:val="22"/>
        </w:rPr>
        <w:t xml:space="preserve">Os desenvolvimentos futuros planejados incluem: (a) implementação de uma interface gráfica web utilizando framework como Streamlit ou Flask, tornando o toolkit acessível a pesquisadores sem conhecimento de programação; (b) migração do armazenamento para SQLite ou PostgreSQL, melhorando o desempenho e a integridade referencial; (c) integração com APIs de reconhecimento de imagem para pré-codificação assistida, gerando sugestões que o codificador humano aceita ou rejeita; (d) conectores com repositórios digitais (Europeana, Digital Public Library of America, Brasiliana Iconográfica) para facilitar a constituição do corpus; e (e) publicação do toolkit como pacote Python (pip install) com documentação completa e testes automatizados.</w:t>
      </w:r>
    </w:p>
    <w:p>
      <w:pPr>
        <w:spacing w:after="200" w:before="0" w:line="276"/>
        <w:jc w:val="both"/>
      </w:pPr>
      <w:r>
        <w:rPr>
          <w:rFonts w:ascii="Calibri" w:cs="Calibri" w:eastAsia="Calibri" w:hAnsi="Calibri"/>
          <w:b w:val="false"/>
          <w:bCs w:val="false"/>
          <w:i w:val="false"/>
          <w:iCs w:val="false"/>
          <w:sz w:val="22"/>
          <w:szCs w:val="22"/>
        </w:rPr>
        <w:t xml:space="preserve">A adaptabilidade do toolkit para outros projetos de pesquisa é uma aspiração explícita. Embora os indicadores atuais sejam específicos da tese, a arquitetura modular permite que pesquisadores substituam os dez indicadores por outros adequados a seus objetos de estudo, mantendo toda a infraestrutura de gestão de corpus, confiabilidade inter-codificadores, análise estatística e integração Iconclass. Projetos possíveis incluem: análise de representações de masculinidade no direito penal; iconografia de fronteiras e migração; alegorias de soberania em contextos pós-coloniais; e representações visuais de direitos humanos em organizações internacionais.</w:t>
      </w:r>
    </w:p>
    <w:p>
      <w:pPr>
        <w:spacing w:after="200" w:before="0" w:line="276"/>
        <w:jc w:val="both"/>
      </w:pPr>
      <w:r>
        <w:rPr>
          <w:rFonts w:ascii="Calibri" w:cs="Calibri" w:eastAsia="Calibri" w:hAnsi="Calibri"/>
          <w:b w:val="false"/>
          <w:bCs w:val="false"/>
          <w:i w:val="false"/>
          <w:iCs w:val="false"/>
          <w:sz w:val="22"/>
          <w:szCs w:val="22"/>
        </w:rPr>
        <w:t xml:space="preserve">Em síntese, o toolkit aqui documentado constitui um aparato metodológico inovador que busca responder à escassez de ferramentas computacionais para a análise iconológica no direito. Suas limitações são reconhecidas e endereçadas em um roteiro de desenvolvimento que se estende além do horizonte temporal da tese, visando contribuir de forma duradoura para o campo emergente das humanidades jurídicas digitais.</w:t>
      </w:r>
    </w:p>
    <w:p>
      <w:r>
        <w:br w:type="page"/>
      </w:r>
    </w:p>
    <w:p>
      <w:pPr>
        <w:pStyle w:val="Heading1"/>
        <w:spacing w:after="240" w:before="360"/>
      </w:pPr>
      <w:r>
        <w:rPr>
          <w:rFonts w:ascii="Calibri" w:cs="Calibri" w:eastAsia="Calibri" w:hAnsi="Calibri"/>
          <w:b/>
          <w:bCs/>
          <w:color w:val="1a1a2e"/>
          <w:sz w:val="28"/>
          <w:szCs w:val="28"/>
        </w:rPr>
        <w:t xml:space="preserve">Referências Bibliográficas</w:t>
      </w:r>
    </w:p>
    <w:p>
      <w:pPr>
        <w:spacing w:after="120" w:before="0" w:line="240"/>
        <w:ind w:left="720" w:hanging="720"/>
        <w:jc w:val="left"/>
      </w:pPr>
      <w:r>
        <w:rPr>
          <w:rFonts w:ascii="Calibri" w:cs="Calibri" w:eastAsia="Calibri" w:hAnsi="Calibri"/>
          <w:b w:val="false"/>
          <w:bCs w:val="false"/>
          <w:i w:val="false"/>
          <w:iCs w:val="false"/>
          <w:sz w:val="22"/>
          <w:szCs w:val="22"/>
        </w:rPr>
        <w:t xml:space="preserve">AGULHON, Maurice. Marianne au combat: l’imagerie et la symbolique républicaines de 1789 à 1880. Paris: Flammarion, 1979.</w:t>
      </w:r>
    </w:p>
    <w:p>
      <w:pPr>
        <w:spacing w:after="120" w:before="0" w:line="240"/>
        <w:ind w:left="720" w:hanging="720"/>
        <w:jc w:val="left"/>
      </w:pPr>
      <w:r>
        <w:rPr>
          <w:rFonts w:ascii="Calibri" w:cs="Calibri" w:eastAsia="Calibri" w:hAnsi="Calibri"/>
          <w:b w:val="false"/>
          <w:bCs w:val="false"/>
          <w:i w:val="false"/>
          <w:iCs w:val="false"/>
          <w:sz w:val="22"/>
          <w:szCs w:val="22"/>
        </w:rPr>
        <w:t xml:space="preserve">COHEN, Jacob. A Coefficient of Agreement for Nominal Scales. Educational and Psychological Measurement, v. 20, n. 1, p. 37–46, 1960.</w:t>
      </w:r>
    </w:p>
    <w:p>
      <w:pPr>
        <w:spacing w:after="120" w:before="0" w:line="240"/>
        <w:ind w:left="720" w:hanging="720"/>
        <w:jc w:val="left"/>
      </w:pPr>
      <w:r>
        <w:rPr>
          <w:rFonts w:ascii="Calibri" w:cs="Calibri" w:eastAsia="Calibri" w:hAnsi="Calibri"/>
          <w:b w:val="false"/>
          <w:bCs w:val="false"/>
          <w:i w:val="false"/>
          <w:iCs w:val="false"/>
          <w:sz w:val="22"/>
          <w:szCs w:val="22"/>
        </w:rPr>
        <w:t xml:space="preserve">DIDI-HUBERMAN, Georges. L’image survivante: histoire de l’art et temps des fantômes selon Aby Warburg. Paris: Minuit, 2002.</w:t>
      </w:r>
    </w:p>
    <w:p>
      <w:pPr>
        <w:spacing w:after="120" w:before="0" w:line="240"/>
        <w:ind w:left="720" w:hanging="720"/>
        <w:jc w:val="left"/>
      </w:pPr>
      <w:r>
        <w:rPr>
          <w:rFonts w:ascii="Calibri" w:cs="Calibri" w:eastAsia="Calibri" w:hAnsi="Calibri"/>
          <w:b w:val="false"/>
          <w:bCs w:val="false"/>
          <w:i w:val="false"/>
          <w:iCs w:val="false"/>
          <w:sz w:val="22"/>
          <w:szCs w:val="22"/>
        </w:rPr>
        <w:t xml:space="preserve">GOODRICH, Peter. Legal Emblems and the Art of Law: Obiter Depicta as the Vision of Governance. Cambridge: Cambridge University Press, 2014.</w:t>
      </w:r>
    </w:p>
    <w:p>
      <w:pPr>
        <w:spacing w:after="120" w:before="0" w:line="240"/>
        <w:ind w:left="720" w:hanging="720"/>
        <w:jc w:val="left"/>
      </w:pPr>
      <w:r>
        <w:rPr>
          <w:rFonts w:ascii="Calibri" w:cs="Calibri" w:eastAsia="Calibri" w:hAnsi="Calibri"/>
          <w:b w:val="false"/>
          <w:bCs w:val="false"/>
          <w:i w:val="false"/>
          <w:iCs w:val="false"/>
          <w:sz w:val="22"/>
          <w:szCs w:val="22"/>
        </w:rPr>
        <w:t xml:space="preserve">LANDIS, J. Richard; KOCH, Gary G. The Measurement of Observer Agreement for Categorical Data. Biometrics, v. 33, n. 1, p. 159–174, 1977.</w:t>
      </w:r>
    </w:p>
    <w:p>
      <w:pPr>
        <w:spacing w:after="120" w:before="0" w:line="240"/>
        <w:ind w:left="720" w:hanging="720"/>
        <w:jc w:val="left"/>
      </w:pPr>
      <w:r>
        <w:rPr>
          <w:rFonts w:ascii="Calibri" w:cs="Calibri" w:eastAsia="Calibri" w:hAnsi="Calibri"/>
          <w:b w:val="false"/>
          <w:bCs w:val="false"/>
          <w:i w:val="false"/>
          <w:iCs w:val="false"/>
          <w:sz w:val="22"/>
          <w:szCs w:val="22"/>
        </w:rPr>
        <w:t xml:space="preserve">MILLS, Charles W. The Racial Contract. Ithaca: Cornell University Press, 1997.</w:t>
      </w:r>
    </w:p>
    <w:p>
      <w:pPr>
        <w:spacing w:after="120" w:before="0" w:line="240"/>
        <w:ind w:left="720" w:hanging="720"/>
        <w:jc w:val="left"/>
      </w:pPr>
      <w:r>
        <w:rPr>
          <w:rFonts w:ascii="Calibri" w:cs="Calibri" w:eastAsia="Calibri" w:hAnsi="Calibri"/>
          <w:b w:val="false"/>
          <w:bCs w:val="false"/>
          <w:i w:val="false"/>
          <w:iCs w:val="false"/>
          <w:sz w:val="22"/>
          <w:szCs w:val="22"/>
        </w:rPr>
        <w:t xml:space="preserve">MONDZAIN, Marie-José. Image, icône, économie: les sources byzantines de l’imaginaire contemporain. Paris: Seuil, 1996. [Tradução inglesa: Image, Icon, Economy: The Byzantine Origins of the Contemporary Imaginary. Stanford: Stanford University Press, 2005.]</w:t>
      </w:r>
    </w:p>
    <w:p>
      <w:pPr>
        <w:spacing w:after="120" w:before="0" w:line="240"/>
        <w:ind w:left="720" w:hanging="720"/>
        <w:jc w:val="left"/>
      </w:pPr>
      <w:r>
        <w:rPr>
          <w:rFonts w:ascii="Calibri" w:cs="Calibri" w:eastAsia="Calibri" w:hAnsi="Calibri"/>
          <w:b w:val="false"/>
          <w:bCs w:val="false"/>
          <w:i w:val="false"/>
          <w:iCs w:val="false"/>
          <w:sz w:val="22"/>
          <w:szCs w:val="22"/>
        </w:rPr>
        <w:t xml:space="preserve">PATEMAN, Carole. The Sexual Contract. Stanford: Stanford University Press, 1988.</w:t>
      </w:r>
    </w:p>
    <w:p>
      <w:pPr>
        <w:spacing w:after="120" w:before="0" w:line="240"/>
        <w:ind w:left="720" w:hanging="720"/>
        <w:jc w:val="left"/>
      </w:pPr>
      <w:r>
        <w:rPr>
          <w:rFonts w:ascii="Calibri" w:cs="Calibri" w:eastAsia="Calibri" w:hAnsi="Calibri"/>
          <w:b w:val="false"/>
          <w:bCs w:val="false"/>
          <w:i w:val="false"/>
          <w:iCs w:val="false"/>
          <w:sz w:val="22"/>
          <w:szCs w:val="22"/>
        </w:rPr>
        <w:t xml:space="preserve">WARBURG, Aby. Bilderatlas Mnemosyne [1929]. In: WARNKE, Martin; BRINK, Claudia (Orgs.). Der Bilderatlas Mnemosyne. Berlin: Akademie Verlag, 2000.</w:t>
      </w:r>
    </w:p>
    <w:p>
      <w:pPr>
        <w:spacing w:after="120" w:before="0" w:line="240"/>
        <w:ind w:left="720" w:hanging="720"/>
        <w:jc w:val="left"/>
      </w:pPr>
      <w:r>
        <w:rPr>
          <w:rFonts w:ascii="Calibri" w:cs="Calibri" w:eastAsia="Calibri" w:hAnsi="Calibri"/>
          <w:b w:val="false"/>
          <w:bCs w:val="false"/>
          <w:i w:val="false"/>
          <w:iCs w:val="false"/>
          <w:sz w:val="22"/>
          <w:szCs w:val="22"/>
        </w:rPr>
        <w:t xml:space="preserve">WARNER, Marina. Monuments and Maidens: The Allegory of the Female Form. London: Weidenfeld &amp; Nicolson, 1985.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Apêndice Metodológico — Toolkit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a1a2e"/>
      <w:sz w:val="28"/>
      <w:szCs w:val="28"/>
    </w:rPr>
  </w:style>
  <w:style w:type="paragraph" w:styleId="Heading2">
    <w:name w:val="Heading 2"/>
    <w:basedOn w:val="Normal"/>
    <w:next w:val="Normal"/>
    <w:qFormat/>
    <w:pPr>
      <w:spacing w:after="200" w:before="300"/>
      <w:outlineLvl w:val="1"/>
    </w:pPr>
    <w:rPr>
      <w:rFonts w:ascii="Calibri" w:cs="Calibri" w:eastAsia="Calibri" w:hAnsi="Calibri"/>
      <w:b/>
      <w:bCs/>
      <w:color w:val="16213e"/>
      <w:sz w:val="24"/>
      <w:szCs w:val="24"/>
    </w:rPr>
  </w:style>
  <w:style w:type="paragraph" w:styleId="Heading3">
    <w:name w:val="Heading 3"/>
    <w:basedOn w:val="Normal"/>
    <w:next w:val="Normal"/>
    <w:qFormat/>
    <w:pPr>
      <w:spacing w:after="160" w:before="240"/>
      <w:outlineLvl w:val="2"/>
    </w:pPr>
    <w:rPr>
      <w:rFonts w:ascii="Calibri" w:cs="Calibri" w:eastAsia="Calibri" w:hAnsi="Calibri"/>
      <w:b/>
      <w:bCs/>
      <w:i/>
      <w:i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2026-03-08T21:39:53.773Z</dcterms:created>
  <dcterms:modified xsi:type="dcterms:W3CDTF">2026-03-08T21:39:53.774Z</dcterms:modified>
</cp:coreProperties>
</file>

<file path=docProps/custom.xml><?xml version="1.0" encoding="utf-8"?>
<Properties xmlns="http://schemas.openxmlformats.org/officeDocument/2006/custom-properties" xmlns:vt="http://schemas.openxmlformats.org/officeDocument/2006/docPropsVTypes"/>
</file>