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 Malleus Maleficarum e a constru����o da bruxaria como tipo penal: o caso Maria Gon��alves Cajada como objeto historiogr��fico</w:t>
      </w:r>
    </w:p>
    <w:p>
      <w:pPr>
        <w:pStyle w:val="Author"/>
      </w:pPr>
      <w:r>
        <w:t xml:space="preserve">Ana Vit��ria Vanzin Mendes</w:t>
      </w:r>
    </w:p>
    <w:bookmarkStart w:id="39" w:name="Xabd2f897522453e0449a36fe98a11fc447e5368"/>
    <w:p>
      <w:pPr>
        <w:pStyle w:val="Heading1"/>
      </w:pPr>
      <w:r>
        <w:t xml:space="preserve">O Malleus Maleficarum e a construção da bruxaria como tipo penal: o caso Maria Gonçalves Cajada como objeto historiográfico</w:t>
      </w:r>
    </w:p>
    <w:p>
      <w:pPr>
        <w:pStyle w:val="FirstParagraph"/>
      </w:pPr>
      <w:r>
        <w:rPr>
          <w:bCs/>
          <w:b/>
        </w:rPr>
        <w:t xml:space="preserve">Ana Vitória Vanzin Mendes</w:t>
      </w:r>
      <w:r>
        <w:t xml:space="preserve"> </w:t>
      </w:r>
      <w:r>
        <w:t xml:space="preserve">PPGD/UFSC — Disciplina DIR410346 (História do Direito Penal e da Justiça Criminal)</w:t>
      </w:r>
    </w:p>
    <w:p>
      <w:r>
        <w:pict>
          <v:rect style="width:0;height:1.5pt" o:hralign="center" o:hrstd="t" o:hr="t"/>
        </w:pict>
      </w:r>
    </w:p>
    <w:bookmarkStart w:id="20" w:name="resumo"/>
    <w:p>
      <w:pPr>
        <w:pStyle w:val="Heading2"/>
      </w:pPr>
      <w:r>
        <w:t xml:space="preserve">Resumo</w:t>
      </w:r>
    </w:p>
    <w:p>
      <w:pPr>
        <w:pStyle w:val="FirstParagraph"/>
      </w:pPr>
      <w:r>
        <w:t xml:space="preserve">O artigo toma a bruxaria não como fenômeno preexistente à sua criminalização, mas como categoria jurídico-penal historicamente construída e circulada. Argumenta-se que o</w:t>
      </w:r>
      <w:r>
        <w:t xml:space="preserve"> </w:t>
      </w:r>
      <w:r>
        <w:rPr>
          <w:iCs/>
          <w:i/>
        </w:rPr>
        <w:t xml:space="preserve">Malleus Maleficarum</w:t>
      </w:r>
      <w:r>
        <w:t xml:space="preserve"> </w:t>
      </w:r>
      <w:r>
        <w:t xml:space="preserve">(1487) opera uma síntese de cinco tradições fragmentadas —</w:t>
      </w:r>
      <w:r>
        <w:t xml:space="preserve"> </w:t>
      </w:r>
      <w:r>
        <w:rPr>
          <w:iCs/>
          <w:i/>
        </w:rPr>
        <w:t xml:space="preserve">maleficium</w:t>
      </w:r>
      <w:r>
        <w:t xml:space="preserve">, heresia, demonolatria,</w:t>
      </w:r>
      <w:r>
        <w:t xml:space="preserve"> </w:t>
      </w:r>
      <w:r>
        <w:rPr>
          <w:iCs/>
          <w:i/>
        </w:rPr>
        <w:t xml:space="preserve">lamiae/strigae</w:t>
      </w:r>
      <w:r>
        <w:t xml:space="preserve"> </w:t>
      </w:r>
      <w:r>
        <w:t xml:space="preserve">e pacto diabólico — num tipo penal compósito, que deve ser lido como um programa iconográfico: uma imagem que se faz passar por realidade e cuja força consiste em apagar os rastros da própria fabricação. O caso de Maria Gonçalves Cajada (Bahia, 1591-1593) é tomado como caso-pivô e objeto historiográfico, no qual se observa a deformação atlântica do tipo, a sobrevivência da justiça negociada no interior do aparato hegemônico e a agência processual da ré. O marco teórico articula Sbriccoli (dialética entre justiça negociada e hegemônica), Meccarelli (</w:t>
      </w:r>
      <w:r>
        <w:rPr>
          <w:iCs/>
          <w:i/>
        </w:rPr>
        <w:t xml:space="preserve">arbitrium iudicis</w:t>
      </w:r>
      <w:r>
        <w:t xml:space="preserve">) e Susan Sontag (a imagem como fabricação), esta última mobilizada como lente heurística declarada. Conclui-se pela incompletude da hegemonia, pela historicidade e deformação do tipo penal e pelo degredo como modalidade de circulação punitiva.</w:t>
      </w:r>
    </w:p>
    <w:p>
      <w:pPr>
        <w:pStyle w:val="BodyText"/>
      </w:pPr>
      <w:r>
        <w:rPr>
          <w:bCs/>
          <w:b/>
        </w:rPr>
        <w:t xml:space="preserve">Palavras-chave:</w:t>
      </w:r>
      <w:r>
        <w:t xml:space="preserve"> </w:t>
      </w:r>
      <w:r>
        <w:t xml:space="preserve">história do direito penal; bruxaria; Malleus Maleficarum; justiça hegemônica; Inquisição colonial.</w:t>
      </w:r>
    </w:p>
    <w:p>
      <w:r>
        <w:pict>
          <v:rect style="width:0;height:1.5pt" o:hralign="center" o:hrstd="t" o:hr="t"/>
        </w:pict>
      </w:r>
    </w:p>
    <w:bookmarkEnd w:id="20"/>
    <w:bookmarkStart w:id="21" w:name="abstract"/>
    <w:p>
      <w:pPr>
        <w:pStyle w:val="Heading2"/>
      </w:pPr>
      <w:r>
        <w:t xml:space="preserve">Abstract</w:t>
      </w:r>
    </w:p>
    <w:p>
      <w:pPr>
        <w:pStyle w:val="FirstParagraph"/>
      </w:pPr>
      <w:r>
        <w:t xml:space="preserve">The article approaches witchcraft not as a phenomenon preceding its criminalization, but as a juridical-criminal category historically constructed and circulated. It argues that the</w:t>
      </w:r>
      <w:r>
        <w:t xml:space="preserve"> </w:t>
      </w:r>
      <w:r>
        <w:rPr>
          <w:iCs/>
          <w:i/>
        </w:rPr>
        <w:t xml:space="preserve">Malleus Maleficarum</w:t>
      </w:r>
      <w:r>
        <w:t xml:space="preserve"> </w:t>
      </w:r>
      <w:r>
        <w:t xml:space="preserve">(1487) synthesizes five fragmented traditions —</w:t>
      </w:r>
      <w:r>
        <w:t xml:space="preserve"> </w:t>
      </w:r>
      <w:r>
        <w:rPr>
          <w:iCs/>
          <w:i/>
        </w:rPr>
        <w:t xml:space="preserve">maleficium</w:t>
      </w:r>
      <w:r>
        <w:t xml:space="preserve">, heresy, demonolatry,</w:t>
      </w:r>
      <w:r>
        <w:t xml:space="preserve"> </w:t>
      </w:r>
      <w:r>
        <w:rPr>
          <w:iCs/>
          <w:i/>
        </w:rPr>
        <w:t xml:space="preserve">lamiae/strigae</w:t>
      </w:r>
      <w:r>
        <w:t xml:space="preserve"> </w:t>
      </w:r>
      <w:r>
        <w:t xml:space="preserve">and the diabolical pact — into a composite criminal type that should be read as an iconographic program: an image that passes for reality and whose force lies in erasing the traces of its own making. The case of Maria Gonçalves Cajada (Bahia, 1591-1593) is taken as a pivot case and historiographical object, revealing the Atlantic deformation of the type, the survival of negotiated justice within the hegemonic apparatus, and the procedural agency of the defendant. The theoretical framework articulates Sbriccoli (dialectic between negotiated and hegemonic justice), Meccarelli (</w:t>
      </w:r>
      <w:r>
        <w:rPr>
          <w:iCs/>
          <w:i/>
        </w:rPr>
        <w:t xml:space="preserve">arbitrium iudicis</w:t>
      </w:r>
      <w:r>
        <w:t xml:space="preserve">) and Susan Sontag (the image as fabrication), the latter mobilized as a declared heuristic lens. The conclusions address the incompleteness of hegemony, the historicity and deformation of the criminal type, and exile (</w:t>
      </w:r>
      <w:r>
        <w:rPr>
          <w:iCs/>
          <w:i/>
        </w:rPr>
        <w:t xml:space="preserve">degredo</w:t>
      </w:r>
      <w:r>
        <w:t xml:space="preserve">) as a mode of punitive circulation.</w:t>
      </w:r>
    </w:p>
    <w:p>
      <w:pPr>
        <w:pStyle w:val="BodyText"/>
      </w:pPr>
      <w:r>
        <w:rPr>
          <w:bCs/>
          <w:b/>
        </w:rPr>
        <w:t xml:space="preserve">Keywords:</w:t>
      </w:r>
      <w:r>
        <w:t xml:space="preserve"> </w:t>
      </w:r>
      <w:r>
        <w:t xml:space="preserve">history of criminal law; witchcraft; Malleus Maleficarum; hegemonic justice; colonial Inquisition.</w:t>
      </w:r>
    </w:p>
    <w:p>
      <w:r>
        <w:pict>
          <v:rect style="width:0;height:1.5pt" o:hralign="center" o:hrstd="t" o:hr="t"/>
        </w:pict>
      </w:r>
    </w:p>
    <w:bookmarkEnd w:id="21"/>
    <w:bookmarkStart w:id="22" w:name="introdução-o-problema-historiográfico"/>
    <w:p>
      <w:pPr>
        <w:pStyle w:val="Heading2"/>
      </w:pPr>
      <w:r>
        <w:t xml:space="preserve">1. Introdução: o problema historiográfico</w:t>
      </w:r>
    </w:p>
    <w:p>
      <w:pPr>
        <w:pStyle w:val="FirstParagraph"/>
      </w:pPr>
      <w:r>
        <w:t xml:space="preserve">A análise historiográfica do direito penal exige o abandono das categorias naturalizadas pela dogmática contemporânea. Quando nos voltamos para a chamada</w:t>
      </w:r>
      <w:r>
        <w:t xml:space="preserve"> </w:t>
      </w:r>
      <w:r>
        <w:t xml:space="preserve">“</w:t>
      </w:r>
      <w:r>
        <w:t xml:space="preserve">caça às bruxas</w:t>
      </w:r>
      <w:r>
        <w:t xml:space="preserve">”</w:t>
      </w:r>
      <w:r>
        <w:t xml:space="preserve"> </w:t>
      </w:r>
      <w:r>
        <w:t xml:space="preserve">na Europa moderna e sua recepção no espaço atlântico colonial, deparamo-nos não com uma realidade fática preexistente, mas com um complexo processo de criminalização e construção doutrinária de um tipo penal. A bruxaria não é um objeto que a lei encontrou no mundo; é um objeto que a lei produziu. O problema historiográfico que orienta este artigo é, portanto, duplo: como uma categoria penal se estabiliza doutrinariamente e como ela se transforma ao circular entre contextos jurídicos distintos.</w:t>
      </w:r>
    </w:p>
    <w:p>
      <w:pPr>
        <w:pStyle w:val="BodyText"/>
      </w:pPr>
      <w:r>
        <w:t xml:space="preserve">A tese aqui defendida é que o</w:t>
      </w:r>
      <w:r>
        <w:t xml:space="preserve"> </w:t>
      </w:r>
      <w:r>
        <w:rPr>
          <w:iCs/>
          <w:i/>
        </w:rPr>
        <w:t xml:space="preserve">Malleus Maleficarum</w:t>
      </w:r>
      <w:r>
        <w:t xml:space="preserve"> </w:t>
      </w:r>
      <w:r>
        <w:t xml:space="preserve">(1487), de Heinrich Institoris (Kramer), opera uma síntese teológico-processual inédita que funde tradições até então fragmentadas num tipo penal compósito e totalizante. O método proposto para lê-lo é o que se chamará aqui de leitura iconográfica do tipo penal: o tipo compósito não é apenas construção dogmática, mas um programa iconográfico — uma imagem que se estabiliza doutrinariamente e se apresenta como prova de si mesma. Para tanto, articula-se o referencial de Mario Sbriccoli sobre a justiça criminal com a teoria da imagem de Susan Sontag, mobilizada como lente heurística declarada.</w:t>
      </w:r>
    </w:p>
    <w:p>
      <w:pPr>
        <w:pStyle w:val="BodyText"/>
      </w:pPr>
      <w:r>
        <w:t xml:space="preserve">O artigo tem como caso-pivô e objeto historiográfico o processo de Maria Gonçalves Cajada, instruído pela Inquisição portuguesa na Bahia entre 1591 e 1593. A escolha não é arbitrária. Cajada é o ponto de inflexão em que o tipo compósito europeu, nascido de uma derrota processual — o caso Scheuberin (Innsbruck, 1485) —, se deforma ao cruzar o Atlântico; e é o antecedente direto da racialização posterior do tipo, visível no processo de Luzia Pinta (Sabará, 1739). Cajada é, assim, o caso em que o método se demonstra: nele se observam, simultaneamente, a imposição da justiça hegemônica, a sobrevivência da justiça negociada e a agência de uma ré que resiste no interior da moldura que o aparato quer fixar nela.</w:t>
      </w:r>
    </w:p>
    <w:bookmarkEnd w:id="22"/>
    <w:bookmarkStart w:id="28" w:name="a-questão-metodológica-historiográfica"/>
    <w:p>
      <w:pPr>
        <w:pStyle w:val="Heading2"/>
      </w:pPr>
      <w:r>
        <w:t xml:space="preserve">2. A questão metodológica historiográfica</w:t>
      </w:r>
    </w:p>
    <w:bookmarkStart w:id="23" w:name="X3f2d46099049b085fc7c85856328f2081fba32e"/>
    <w:p>
      <w:pPr>
        <w:pStyle w:val="Heading3"/>
      </w:pPr>
      <w:r>
        <w:t xml:space="preserve">2.1 Sbriccoli e a dialética da justiça criminal</w:t>
      </w:r>
    </w:p>
    <w:p>
      <w:pPr>
        <w:pStyle w:val="FirstParagraph"/>
      </w:pPr>
      <w:r>
        <w:t xml:space="preserve">O referencial teórico central é o de Sbriccoli (2011), que diagnostica a transição gradual entre dois modelos concorrentes de justiça na Europa medieval e moderna. A</w:t>
      </w:r>
      <w:r>
        <w:t xml:space="preserve"> </w:t>
      </w:r>
      <w:r>
        <w:rPr>
          <w:iCs/>
          <w:i/>
        </w:rPr>
        <w:t xml:space="preserve">giustizia negoziata</w:t>
      </w:r>
      <w:r>
        <w:t xml:space="preserve"> </w:t>
      </w:r>
      <w:r>
        <w:t xml:space="preserve">(justiça negociada), de base eminentemente privada e consensual, operava sob a égide da composição, da mediação de conflitos e do restabelecimento da paz entre linhagens; a infração penal era compreendida como um dano intersubjetivo passível de transação. Gradativamente, a partir da expansão do poder régio e eclesiástico no baixo-medieval, consolida-se a</w:t>
      </w:r>
      <w:r>
        <w:t xml:space="preserve"> </w:t>
      </w:r>
      <w:r>
        <w:rPr>
          <w:iCs/>
          <w:i/>
        </w:rPr>
        <w:t xml:space="preserve">giustizia egemonica</w:t>
      </w:r>
      <w:r>
        <w:t xml:space="preserve"> </w:t>
      </w:r>
      <w:r>
        <w:t xml:space="preserve">(justiça hegemônica). Sob este modelo, o delito deixa de ser uma disputa entre partes e passa a ser concebido como afronta à comunidade política (</w:t>
      </w:r>
      <w:r>
        <w:rPr>
          <w:iCs/>
          <w:i/>
        </w:rPr>
        <w:t xml:space="preserve">laesa maiestas</w:t>
      </w:r>
      <w:r>
        <w:t xml:space="preserve">) e à ordem divina. A persecução penal torna-se monopolística, a ação penal publiciza-se via processo inquisitório e a pena adquire contornos de espetáculo punitivo.</w:t>
      </w:r>
    </w:p>
    <w:p>
      <w:pPr>
        <w:pStyle w:val="BodyText"/>
      </w:pPr>
      <w:r>
        <w:t xml:space="preserve">Nesse cenário, a heresia e, subsequentemente, a bruxaria emergem como crimes de exceção por excelência. A caça às bruxas não foi um surto de irracionalidade popular, mas um subproduto da racionalização técnico-jurídica do processo penal inquisitorial. A</w:t>
      </w:r>
      <w:r>
        <w:t xml:space="preserve"> </w:t>
      </w:r>
      <w:r>
        <w:t xml:space="preserve">“</w:t>
      </w:r>
      <w:r>
        <w:t xml:space="preserve">bruxa</w:t>
      </w:r>
      <w:r>
        <w:t xml:space="preserve">”</w:t>
      </w:r>
      <w:r>
        <w:t xml:space="preserve"> </w:t>
      </w:r>
      <w:r>
        <w:t xml:space="preserve">é construída como o avesso do sujeito de direito moderno.</w:t>
      </w:r>
    </w:p>
    <w:bookmarkEnd w:id="23"/>
    <w:bookmarkStart w:id="24" w:name="meccarelli-e-o-arbitrium"/>
    <w:p>
      <w:pPr>
        <w:pStyle w:val="Heading3"/>
      </w:pPr>
      <w:r>
        <w:t xml:space="preserve">2.2 Meccarelli e o</w:t>
      </w:r>
      <w:r>
        <w:t xml:space="preserve"> </w:t>
      </w:r>
      <w:r>
        <w:rPr>
          <w:iCs/>
          <w:i/>
        </w:rPr>
        <w:t xml:space="preserve">arbitrium</w:t>
      </w:r>
    </w:p>
    <w:p>
      <w:pPr>
        <w:pStyle w:val="FirstParagraph"/>
      </w:pPr>
      <w:r>
        <w:t xml:space="preserve">Massimo Meccarelli, em diálogo com Sbriccoli, aprofunda a análise dos mecanismos processuais que permitem a flexibilidade do sistema. No direito comum (</w:t>
      </w:r>
      <w:r>
        <w:rPr>
          <w:iCs/>
          <w:i/>
        </w:rPr>
        <w:t xml:space="preserve">ius commune</w:t>
      </w:r>
      <w:r>
        <w:t xml:space="preserve">), o</w:t>
      </w:r>
      <w:r>
        <w:t xml:space="preserve"> </w:t>
      </w:r>
      <w:r>
        <w:rPr>
          <w:iCs/>
          <w:i/>
        </w:rPr>
        <w:t xml:space="preserve">arbitrium iudicis</w:t>
      </w:r>
      <w:r>
        <w:t xml:space="preserve"> </w:t>
      </w:r>
      <w:r>
        <w:t xml:space="preserve">não era sinônimo de uma decisão pejorativamente</w:t>
      </w:r>
      <w:r>
        <w:t xml:space="preserve"> </w:t>
      </w:r>
      <w:r>
        <w:t xml:space="preserve">“</w:t>
      </w:r>
      <w:r>
        <w:t xml:space="preserve">arbitrária</w:t>
      </w:r>
      <w:r>
        <w:t xml:space="preserve">”</w:t>
      </w:r>
      <w:r>
        <w:t xml:space="preserve">: era um poder discricionário vinculado à equidade (</w:t>
      </w:r>
      <w:r>
        <w:rPr>
          <w:iCs/>
          <w:i/>
        </w:rPr>
        <w:t xml:space="preserve">aequitas</w:t>
      </w:r>
      <w:r>
        <w:t xml:space="preserve">) e a uma visão teleológica do direito, em que procedimentos fixos podiam ser flexibilizados para alcançar o fim último da justiça (MECCARELLI,</w:t>
      </w:r>
      <w:r>
        <w:t xml:space="preserve"> </w:t>
      </w:r>
      <w:r>
        <w:rPr>
          <w:iCs/>
          <w:i/>
        </w:rPr>
        <w:t xml:space="preserve">apud</w:t>
      </w:r>
      <w:r>
        <w:t xml:space="preserve"> </w:t>
      </w:r>
      <w:r>
        <w:t xml:space="preserve">roteiro argumentativo, 2026). A</w:t>
      </w:r>
      <w:r>
        <w:t xml:space="preserve"> </w:t>
      </w:r>
      <w:r>
        <w:t xml:space="preserve">“</w:t>
      </w:r>
      <w:r>
        <w:t xml:space="preserve">dimensão doutrinária do processo</w:t>
      </w:r>
      <w:r>
        <w:t xml:space="preserve">”</w:t>
      </w:r>
      <w:r>
        <w:t xml:space="preserve"> </w:t>
      </w:r>
      <w:r>
        <w:t xml:space="preserve">reside nessa capacidade da ciência jurídica de criar categorias — como o</w:t>
      </w:r>
      <w:r>
        <w:t xml:space="preserve"> </w:t>
      </w:r>
      <w:r>
        <w:rPr>
          <w:iCs/>
          <w:i/>
        </w:rPr>
        <w:t xml:space="preserve">arbitrium procedendi</w:t>
      </w:r>
      <w:r>
        <w:t xml:space="preserve"> </w:t>
      </w:r>
      <w:r>
        <w:t xml:space="preserve">— que permitem ao juiz oscilar entre um registro formal e um registro negociado (</w:t>
      </w:r>
      <w:r>
        <w:rPr>
          <w:iCs/>
          <w:i/>
        </w:rPr>
        <w:t xml:space="preserve">transactio</w:t>
      </w:r>
      <w:r>
        <w:t xml:space="preserve"> </w:t>
      </w:r>
      <w:r>
        <w:t xml:space="preserve">e</w:t>
      </w:r>
      <w:r>
        <w:t xml:space="preserve"> </w:t>
      </w:r>
      <w:r>
        <w:rPr>
          <w:iCs/>
          <w:i/>
        </w:rPr>
        <w:t xml:space="preserve">pax</w:t>
      </w:r>
      <w:r>
        <w:t xml:space="preserve">). Na colônia, esse</w:t>
      </w:r>
      <w:r>
        <w:t xml:space="preserve"> </w:t>
      </w:r>
      <w:r>
        <w:rPr>
          <w:iCs/>
          <w:i/>
        </w:rPr>
        <w:t xml:space="preserve">arbitrium</w:t>
      </w:r>
      <w:r>
        <w:t xml:space="preserve"> </w:t>
      </w:r>
      <w:r>
        <w:t xml:space="preserve">torna-se um campo central de adaptação: o espaço em que os agentes inquisitoriais ajustam a norma metropolitana ao contexto local, ora intensificando o controle, ora acomodando realidades sociais inevitáveis.</w:t>
      </w:r>
    </w:p>
    <w:bookmarkEnd w:id="24"/>
    <w:bookmarkStart w:id="25" w:name="X0f3cc55c5db8239d84c1f9b72bdfb5e4051c70d"/>
    <w:p>
      <w:pPr>
        <w:pStyle w:val="Heading3"/>
      </w:pPr>
      <w:r>
        <w:t xml:space="preserve">2.3 O</w:t>
      </w:r>
      <w:r>
        <w:t xml:space="preserve"> </w:t>
      </w:r>
      <w:r>
        <w:rPr>
          <w:iCs/>
          <w:i/>
        </w:rPr>
        <w:t xml:space="preserve">Malleus</w:t>
      </w:r>
      <w:r>
        <w:t xml:space="preserve"> </w:t>
      </w:r>
      <w:r>
        <w:t xml:space="preserve">como construção: Broedel e a leitura iconográfica</w:t>
      </w:r>
    </w:p>
    <w:p>
      <w:pPr>
        <w:pStyle w:val="FirstParagraph"/>
      </w:pPr>
      <w:r>
        <w:t xml:space="preserve">Antes do final do século XV, inexistia na Europa uma categoria jurídica estável sob o nome de</w:t>
      </w:r>
      <w:r>
        <w:t xml:space="preserve"> </w:t>
      </w:r>
      <w:r>
        <w:t xml:space="preserve">“</w:t>
      </w:r>
      <w:r>
        <w:t xml:space="preserve">bruxaria</w:t>
      </w:r>
      <w:r>
        <w:t xml:space="preserve">”</w:t>
      </w:r>
      <w:r>
        <w:t xml:space="preserve">. O direito penal operava com tradições fragmentadas: o</w:t>
      </w:r>
      <w:r>
        <w:t xml:space="preserve"> </w:t>
      </w:r>
      <w:r>
        <w:rPr>
          <w:iCs/>
          <w:i/>
        </w:rPr>
        <w:t xml:space="preserve">maleficium</w:t>
      </w:r>
      <w:r>
        <w:t xml:space="preserve"> </w:t>
      </w:r>
      <w:r>
        <w:t xml:space="preserve">(dano concreto por meios mágicos, regulado pelo direito romano vulgar e pelos costumes germânicos); a heresia (desvio dogmático); a demonolatria (culto voluntário a entidades demoníacas); as</w:t>
      </w:r>
      <w:r>
        <w:t xml:space="preserve"> </w:t>
      </w:r>
      <w:r>
        <w:rPr>
          <w:iCs/>
          <w:i/>
        </w:rPr>
        <w:t xml:space="preserve">lamiae</w:t>
      </w:r>
      <w:r>
        <w:t xml:space="preserve"> </w:t>
      </w:r>
      <w:r>
        <w:t xml:space="preserve">e</w:t>
      </w:r>
      <w:r>
        <w:t xml:space="preserve"> </w:t>
      </w:r>
      <w:r>
        <w:rPr>
          <w:iCs/>
          <w:i/>
        </w:rPr>
        <w:t xml:space="preserve">strigae</w:t>
      </w:r>
      <w:r>
        <w:t xml:space="preserve"> </w:t>
      </w:r>
      <w:r>
        <w:t xml:space="preserve">(tradições populares de voo noturno e metamorfose); e o pacto diabólico formal (doutrina escolástica da entrega da alma em troca de favores).</w:t>
      </w:r>
    </w:p>
    <w:p>
      <w:pPr>
        <w:pStyle w:val="BodyText"/>
      </w:pPr>
      <w:r>
        <w:t xml:space="preserve">Broedel (2003) já demonstrou que o que Institoris realizou no</w:t>
      </w:r>
      <w:r>
        <w:t xml:space="preserve"> </w:t>
      </w:r>
      <w:r>
        <w:rPr>
          <w:iCs/>
          <w:i/>
        </w:rPr>
        <w:t xml:space="preserve">Malleus</w:t>
      </w:r>
      <w:r>
        <w:t xml:space="preserve"> </w:t>
      </w:r>
      <w:r>
        <w:t xml:space="preserve">foi uma operação de síntese: a fusão dessas cinco vertentes num único tipo penal compósito, sob a qual todo</w:t>
      </w:r>
      <w:r>
        <w:t xml:space="preserve"> </w:t>
      </w:r>
      <w:r>
        <w:rPr>
          <w:iCs/>
          <w:i/>
        </w:rPr>
        <w:t xml:space="preserve">maleficium</w:t>
      </w:r>
      <w:r>
        <w:t xml:space="preserve"> </w:t>
      </w:r>
      <w:r>
        <w:t xml:space="preserve">físico passou a pressupor necessariamente o pacto demoníaco, a apostasia, o sabá e a cópula carnal com os demônios. O acréscimo analítico deste artigo situa-se em outro plano: ler essa síntese não apenas como operação teológico-jurídica, mas como operação iconográfica. O</w:t>
      </w:r>
      <w:r>
        <w:t xml:space="preserve"> </w:t>
      </w:r>
      <w:r>
        <w:rPr>
          <w:iCs/>
          <w:i/>
        </w:rPr>
        <w:t xml:space="preserve">Malleus</w:t>
      </w:r>
      <w:r>
        <w:t xml:space="preserve"> </w:t>
      </w:r>
      <w:r>
        <w:t xml:space="preserve">é, ele mesmo, um artefato visual; sua Terceira Parte funciona como um manual de reconhecimento, ensinando a identificar no corpo, na conduta e na aparência da mulher os sinais da bruxaria. Não é dogmática clássica; é produção de um programa iconográfico que apresenta a bruxa antes de prová-la.</w:t>
      </w:r>
    </w:p>
    <w:bookmarkEnd w:id="25"/>
    <w:bookmarkStart w:id="26" w:name="X4b672b10b3938323d8156b73d4ca12efdabf586"/>
    <w:p>
      <w:pPr>
        <w:pStyle w:val="Heading3"/>
      </w:pPr>
      <w:r>
        <w:t xml:space="preserve">2.4 Sontag como lente heurística: a imagem como fabricação</w:t>
      </w:r>
    </w:p>
    <w:p>
      <w:pPr>
        <w:pStyle w:val="FirstParagraph"/>
      </w:pPr>
      <w:r>
        <w:t xml:space="preserve">É aqui que se introduz, de forma declarada e assumida, o referencial de Susan Sontag. A mobilização de uma teórica da imagem do século XX para ler um manual demonológico do século XV pode soar, à primeira vista, como anacronismo. Não o é, por três razões que compõem a justificativa metodológica deste trabalho.</w:t>
      </w:r>
    </w:p>
    <w:p>
      <w:pPr>
        <w:pStyle w:val="BodyText"/>
      </w:pPr>
      <w:r>
        <w:t xml:space="preserve">Primeiro, porque a história do direito contemporânea é, por natureza, transdisciplinar: Sbriccoli mobiliza Foucault e a antropologia política; Laura de Mello e Souza mobiliza a história cultural para ler a feitiçaria colonial (SOUZA, 1986). O direito não é uma técnica isolada, mas uma prática cultural densa, e quando se pergunta como uma categoria penal é fabricada, é preciso de ferramentas que deem conta da produção de sentido. Sontag é lente declarada, não voz atribuída aos agentes do século XVI.</w:t>
      </w:r>
    </w:p>
    <w:p>
      <w:pPr>
        <w:pStyle w:val="BodyText"/>
      </w:pPr>
      <w:r>
        <w:t xml:space="preserve">Segundo, porque o próprio objeto exige essa lente. Se o</w:t>
      </w:r>
      <w:r>
        <w:t xml:space="preserve"> </w:t>
      </w:r>
      <w:r>
        <w:rPr>
          <w:iCs/>
          <w:i/>
        </w:rPr>
        <w:t xml:space="preserve">Malleus</w:t>
      </w:r>
      <w:r>
        <w:t xml:space="preserve"> </w:t>
      </w:r>
      <w:r>
        <w:t xml:space="preserve">é ele mesmo um artefato visual — um manual de reconhecimento que descreve a bruxa antes de prová-la —, ler com uma teoria da imagem é adequação ao objeto, não extrapolação. Em</w:t>
      </w:r>
      <w:r>
        <w:t xml:space="preserve"> </w:t>
      </w:r>
      <w:r>
        <w:rPr>
          <w:iCs/>
          <w:i/>
        </w:rPr>
        <w:t xml:space="preserve">Sobre fotografia</w:t>
      </w:r>
      <w:r>
        <w:t xml:space="preserve"> </w:t>
      </w:r>
      <w:r>
        <w:t xml:space="preserve">(1977), Sontag sustenta que a imagem não representa o real: ela o substitui, ela o constitui; a fotografia</w:t>
      </w:r>
      <w:r>
        <w:t xml:space="preserve"> </w:t>
      </w:r>
      <w:r>
        <w:t xml:space="preserve">“</w:t>
      </w:r>
      <w:r>
        <w:t xml:space="preserve">passa por prova incontestável de que uma coisa aconteceu</w:t>
      </w:r>
      <w:r>
        <w:t xml:space="preserve">”</w:t>
      </w:r>
      <w:r>
        <w:t xml:space="preserve">, e sua agressão está oculta sob a transparência da prova (SONTAG, 1977). Transposto para o</w:t>
      </w:r>
      <w:r>
        <w:t xml:space="preserve"> </w:t>
      </w:r>
      <w:r>
        <w:rPr>
          <w:iCs/>
          <w:i/>
        </w:rPr>
        <w:t xml:space="preserve">Malleus</w:t>
      </w:r>
      <w:r>
        <w:t xml:space="preserve">: o tipo compósito funciona como uma imagem que passa por prova de si mesma — a bruxa não é descrita, é produzida como peça do mundo. A confissão sob tortura é o mecanismo pelo qual o real é convocado para autenticar a imagem fabricada.</w:t>
      </w:r>
    </w:p>
    <w:p>
      <w:pPr>
        <w:pStyle w:val="BodyText"/>
      </w:pPr>
      <w:r>
        <w:t xml:space="preserve">Terceiro, porque a deformação atlântica do tipo confirma sua natureza iconográfica. Se o tipo compósito fosse puramente dogmático, viajaria intacto — dogmática não se deforma por contato, aplica-se. Mas o tipo do</w:t>
      </w:r>
      <w:r>
        <w:t xml:space="preserve"> </w:t>
      </w:r>
      <w:r>
        <w:rPr>
          <w:iCs/>
          <w:i/>
        </w:rPr>
        <w:t xml:space="preserve">Malleus</w:t>
      </w:r>
      <w:r>
        <w:t xml:space="preserve"> </w:t>
      </w:r>
      <w:r>
        <w:t xml:space="preserve">se deforma ao cruzar o oceano: perde o sabá, perde a cópula, ganha o calundu e o tambor. Isso é comportamento de imagem em circulação, não de norma jurídica em circulação. Sontag, que insiste que as imagens não viajam intactas — ao circular, transformam-se, são reapropriadas, ganham novos usos —, oferece o vocabulário para mapear essa deformação. Uma segunda chave sontaguiana, de</w:t>
      </w:r>
      <w:r>
        <w:t xml:space="preserve"> </w:t>
      </w:r>
      <w:r>
        <w:rPr>
          <w:iCs/>
          <w:i/>
        </w:rPr>
        <w:t xml:space="preserve">Contra a interpretação</w:t>
      </w:r>
      <w:r>
        <w:t xml:space="preserve"> </w:t>
      </w:r>
      <w:r>
        <w:t xml:space="preserve">(1964), ilumina o gesto institoriano: o</w:t>
      </w:r>
      <w:r>
        <w:t xml:space="preserve"> </w:t>
      </w:r>
      <w:r>
        <w:rPr>
          <w:iCs/>
          <w:i/>
        </w:rPr>
        <w:t xml:space="preserve">Malleus</w:t>
      </w:r>
      <w:r>
        <w:t xml:space="preserve"> </w:t>
      </w:r>
      <w:r>
        <w:t xml:space="preserve">é a máquina hermenêutica por excelência, que extrai o pacto demoníaco — o</w:t>
      </w:r>
      <w:r>
        <w:t xml:space="preserve"> </w:t>
      </w:r>
      <w:r>
        <w:t xml:space="preserve">“</w:t>
      </w:r>
      <w:r>
        <w:t xml:space="preserve">sentido verdadeiro</w:t>
      </w:r>
      <w:r>
        <w:t xml:space="preserve">”</w:t>
      </w:r>
      <w:r>
        <w:t xml:space="preserve"> </w:t>
      </w:r>
      <w:r>
        <w:t xml:space="preserve">— por trás da superfície visível do</w:t>
      </w:r>
      <w:r>
        <w:t xml:space="preserve"> </w:t>
      </w:r>
      <w:r>
        <w:rPr>
          <w:iCs/>
          <w:i/>
        </w:rPr>
        <w:t xml:space="preserve">maleficium</w:t>
      </w:r>
      <w:r>
        <w:t xml:space="preserve"> </w:t>
      </w:r>
      <w:r>
        <w:t xml:space="preserve">e da cura; toda prática mágica é lida como sintoma de um substrato oculto. O que o inquisidor faz é interpretar, isto é, substituir a prática visível por um sentido imposto.</w:t>
      </w:r>
    </w:p>
    <w:p>
      <w:pPr>
        <w:pStyle w:val="BodyText"/>
      </w:pPr>
      <w:r>
        <w:t xml:space="preserve">A leitura dos autos inquisitoriais como documentos iconográficos — como cenas de produção de imagem — completa o dispositivo metodológico, em diálogo com o paradigma indiciário de Ginzburg (1989): os autos não são reflexo transparente da realidade, mas construções institucionais cujas entrelinhas preservam vestígios da agência dos sujeitos criminalizados.</w:t>
      </w:r>
    </w:p>
    <w:bookmarkEnd w:id="26"/>
    <w:bookmarkStart w:id="27" w:name="estado-da-arte-e-lacuna"/>
    <w:p>
      <w:pPr>
        <w:pStyle w:val="Heading3"/>
      </w:pPr>
      <w:r>
        <w:t xml:space="preserve">2.5 Estado da arte e lacuna</w:t>
      </w:r>
    </w:p>
    <w:p>
      <w:pPr>
        <w:pStyle w:val="FirstParagraph"/>
      </w:pPr>
      <w:r>
        <w:t xml:space="preserve">A historiografia sobre a Inquisição no Brasil é robusta (SOUZA, 1986; VAINFAS, 1997; ARAÚJO, 2016), mas tende a focar no sincretismo cultural, na resistência escrava ou na estrutura institucional do Santo Ofício, sem necessariamente mobilizar as ferramentas da história do direito penal para analisar a mecânica interna da justiça inquisitorial como campo de tensão entre hegemonia e negociação. A leitura iconográfica do tipo penal — o</w:t>
      </w:r>
      <w:r>
        <w:t xml:space="preserve"> </w:t>
      </w:r>
      <w:r>
        <w:rPr>
          <w:iCs/>
          <w:i/>
        </w:rPr>
        <w:t xml:space="preserve">Malleus</w:t>
      </w:r>
      <w:r>
        <w:t xml:space="preserve"> </w:t>
      </w:r>
      <w:r>
        <w:t xml:space="preserve">como programa iconográfico, a bruxaria como imagem em circulação — é igualmente ausente na literatura consultada. A contribuição deste trabalho situa-se nessa lacuna: aplicar o referencial Sbriccoli/Meccarelli, iluminado pela lente de Sontag, ao caso-pivô Cajada, mostrando-o como microcosmo da própria formação da justiça moderna no espaço colonial.</w:t>
      </w:r>
    </w:p>
    <w:bookmarkEnd w:id="27"/>
    <w:bookmarkEnd w:id="28"/>
    <w:bookmarkStart w:id="33" w:name="Xd229f87d3f2d171278335a7c649d47f8cf1d269"/>
    <w:p>
      <w:pPr>
        <w:pStyle w:val="Heading2"/>
      </w:pPr>
      <w:r>
        <w:t xml:space="preserve">3. O caso-pivô: Maria Gonçalves Cajada como objeto historiográfico</w:t>
      </w:r>
    </w:p>
    <w:bookmarkStart w:id="29" w:name="a-travessia-atlântica-do-tipo-compósito"/>
    <w:p>
      <w:pPr>
        <w:pStyle w:val="Heading3"/>
      </w:pPr>
      <w:r>
        <w:t xml:space="preserve">3.1 A travessia atlântica do tipo compósito</w:t>
      </w:r>
    </w:p>
    <w:p>
      <w:pPr>
        <w:pStyle w:val="FirstParagraph"/>
      </w:pPr>
      <w:r>
        <w:t xml:space="preserve">Ao cruzar o Atlântico em direção ao Brasil quinhentista, o tipo penal compósito do</w:t>
      </w:r>
      <w:r>
        <w:t xml:space="preserve"> </w:t>
      </w:r>
      <w:r>
        <w:rPr>
          <w:iCs/>
          <w:i/>
        </w:rPr>
        <w:t xml:space="preserve">Malleus</w:t>
      </w:r>
      <w:r>
        <w:t xml:space="preserve"> </w:t>
      </w:r>
      <w:r>
        <w:t xml:space="preserve">sofre deformações estruturais. O Brasil colonial, diferentemente do Vice-Reino do México ou do Peru, nunca contou com tribunal permanente do Santo Ofício; a governança processual dependia de Visitações Inquisitoriais extraordinárias despachadas de Lisboa. Em junho de 1591, o visitador Heitor Furtado de Mendonça aportou em Salvador da Bahia, abrindo o Tempo de Graça. A Visitação inaugurava um modelo híbrido de controle social: ao mesmo tempo em que ostentava o rigor da justiça hegemônica régio-eclesiástica, baseava-se inteiramente na colaboração comunitária por meio de confissões voluntárias e denunciações de vizinhos. A Primeira Visitação na Bahia colheu 121 confissões e 212 denunciações (VAINFAS, 1997).</w:t>
      </w:r>
    </w:p>
    <w:p>
      <w:pPr>
        <w:pStyle w:val="BodyText"/>
      </w:pPr>
      <w:r>
        <w:t xml:space="preserve">É nesse contexto que emerge o caso de Maria Gonçalves Cajada, alcunhada</w:t>
      </w:r>
      <w:r>
        <w:t xml:space="preserve"> </w:t>
      </w:r>
      <w:r>
        <w:t xml:space="preserve">“</w:t>
      </w:r>
      <w:r>
        <w:t xml:space="preserve">Arde-lhe-o-Rabo</w:t>
      </w:r>
      <w:r>
        <w:t xml:space="preserve">”</w:t>
      </w:r>
      <w:r>
        <w:t xml:space="preserve">. Natural de Estremoz e degredada para Pernambuco em virtude de agressão a magistrado e incêndio criminoso, Cajada fixara-se na Bahia por volta de 1578. Denunciada em agosto de 1591 por feitiçaria diabólica e pacto demoníaco, seu processo é o que mais se aproxima das categorias demonológicas europeias na Bahia quinhentista (ARAÚJO, 2016). Consta nos autos que desenhava o Sinal de Salomão, enterrava botijas na mata, invocava demônios descabelada sob o luar e zombava da autoridade episcopal:</w:t>
      </w:r>
      <w:r>
        <w:t xml:space="preserve"> </w:t>
      </w:r>
      <w:r>
        <w:t xml:space="preserve">“</w:t>
      </w:r>
      <w:r>
        <w:t xml:space="preserve">se o bispo tinha mitra também ela tinha mitra; se o bispo pregava do púlpito ela pregava de cadeira</w:t>
      </w:r>
      <w:r>
        <w:t xml:space="preserve">”</w:t>
      </w:r>
      <w:r>
        <w:t xml:space="preserve"> </w:t>
      </w:r>
      <w:r>
        <w:t xml:space="preserve">(ANTT, Proc. n. 10748, fl. 05).</w:t>
      </w:r>
    </w:p>
    <w:bookmarkEnd w:id="29"/>
    <w:bookmarkStart w:id="30" w:name="a-fratura-do-modelo"/>
    <w:p>
      <w:pPr>
        <w:pStyle w:val="Heading3"/>
      </w:pPr>
      <w:r>
        <w:t xml:space="preserve">3.2 A fratura do modelo</w:t>
      </w:r>
    </w:p>
    <w:p>
      <w:pPr>
        <w:pStyle w:val="FirstParagraph"/>
      </w:pPr>
      <w:r>
        <w:t xml:space="preserve">A análise detalhada dos autos revela, contudo, a fratura do modelo do</w:t>
      </w:r>
      <w:r>
        <w:t xml:space="preserve"> </w:t>
      </w:r>
      <w:r>
        <w:rPr>
          <w:iCs/>
          <w:i/>
        </w:rPr>
        <w:t xml:space="preserve">Malleus</w:t>
      </w:r>
      <w:r>
        <w:t xml:space="preserve">. Inexiste menção a reuniões satânicas coletivas ou voos noturnos — o sabá, componente totalizante do tipo compósito europeu, está ausente. O elemento da cópula com o demônio, central na doutrina de Institoris, igualmente não comparece. A magia de Cajada reveste-se de caráter eminentemente mercantil e utilitário: operava feitiços sob encomenda para amansar cônjuges infiéis, atrair amantes ou causar danos pontuais em troca de retribuição financeira ou alimentar.</w:t>
      </w:r>
    </w:p>
    <w:p>
      <w:pPr>
        <w:pStyle w:val="BodyText"/>
      </w:pPr>
      <w:r>
        <w:t xml:space="preserve">É aqui que o caso-pivô revela seu rendimento historiográfico. A ausência do sabá e da cópula não é detalhe empírico: é o sintoma da deformação iconográfica do tipo. A imagem europeia da bruxa — saturada, sexualizada, noturna — não se sustenta intacta no Atlântico. Ela se esvazia. O que permanece é o</w:t>
      </w:r>
      <w:r>
        <w:t xml:space="preserve"> </w:t>
      </w:r>
      <w:r>
        <w:rPr>
          <w:iCs/>
          <w:i/>
        </w:rPr>
        <w:t xml:space="preserve">maleficium</w:t>
      </w:r>
      <w:r>
        <w:t xml:space="preserve"> </w:t>
      </w:r>
      <w:r>
        <w:t xml:space="preserve">como serviço, dissociado do substrato demonológico que o</w:t>
      </w:r>
      <w:r>
        <w:t xml:space="preserve"> </w:t>
      </w:r>
      <w:r>
        <w:rPr>
          <w:iCs/>
          <w:i/>
        </w:rPr>
        <w:t xml:space="preserve">Malleus</w:t>
      </w:r>
      <w:r>
        <w:t xml:space="preserve"> </w:t>
      </w:r>
      <w:r>
        <w:t xml:space="preserve">lhe impusera.</w:t>
      </w:r>
    </w:p>
    <w:bookmarkEnd w:id="30"/>
    <w:bookmarkStart w:id="31" w:name="X12b3246c0f8320a6df86eb3f91e8e291e6061a8"/>
    <w:p>
      <w:pPr>
        <w:pStyle w:val="Heading3"/>
      </w:pPr>
      <w:r>
        <w:t xml:space="preserve">3.3 A estratégia processual: agência no interior da imagem</w:t>
      </w:r>
    </w:p>
    <w:p>
      <w:pPr>
        <w:pStyle w:val="FirstParagraph"/>
      </w:pPr>
      <w:r>
        <w:t xml:space="preserve">A estratégia de Cajada durante os interrogatórios ilustra a sobrevivência da lógica de negociação interna às engrenagens da justiça hegemônica. Diante da mesa inquisitorial, adota postura de confissão seletiva e contenção de danos. Reconhece a prática de pós e simpatias, mas esvazia sua gravidade teológica: alega sistematicamente que suas magias</w:t>
      </w:r>
      <w:r>
        <w:t xml:space="preserve"> </w:t>
      </w:r>
      <w:r>
        <w:t xml:space="preserve">“</w:t>
      </w:r>
      <w:r>
        <w:t xml:space="preserve">não funcionavam</w:t>
      </w:r>
      <w:r>
        <w:t xml:space="preserve">”</w:t>
      </w:r>
      <w:r>
        <w:t xml:space="preserve"> </w:t>
      </w:r>
      <w:r>
        <w:t xml:space="preserve">— afastando o nexo de causalidade do</w:t>
      </w:r>
      <w:r>
        <w:t xml:space="preserve"> </w:t>
      </w:r>
      <w:r>
        <w:rPr>
          <w:iCs/>
          <w:i/>
        </w:rPr>
        <w:t xml:space="preserve">maleficium</w:t>
      </w:r>
      <w:r>
        <w:t xml:space="preserve"> </w:t>
      </w:r>
      <w:r>
        <w:t xml:space="preserve">— e que os pós mágicos eram compostos por</w:t>
      </w:r>
      <w:r>
        <w:t xml:space="preserve"> </w:t>
      </w:r>
      <w:r>
        <w:t xml:space="preserve">“</w:t>
      </w:r>
      <w:r>
        <w:t xml:space="preserve">fígados de galinha torrados</w:t>
      </w:r>
      <w:r>
        <w:t xml:space="preserve">”</w:t>
      </w:r>
      <w:r>
        <w:t xml:space="preserve"> </w:t>
      </w:r>
      <w:r>
        <w:t xml:space="preserve">e dentes de cavalo-marinho, em substituição a ossos humanos de enforcados. Ao admitir o engano e o charlatanismo com fins de subsistência, Cajada procurava enquadrar-se nas penas mais leves de superstição, resistindo à imputação de pacto demoníaco e apostasia formal.</w:t>
      </w:r>
    </w:p>
    <w:p>
      <w:pPr>
        <w:pStyle w:val="BodyText"/>
      </w:pPr>
      <w:r>
        <w:t xml:space="preserve">Lida com Sontag, a manobra de Cajada é precisa: ela não nega a moldura, mas esvazia o seu conteúdo, recusando-se a habitar a figura que o aparato quer fixar nela. Se o</w:t>
      </w:r>
      <w:r>
        <w:t xml:space="preserve"> </w:t>
      </w:r>
      <w:r>
        <w:rPr>
          <w:iCs/>
          <w:i/>
        </w:rPr>
        <w:t xml:space="preserve">Malleus</w:t>
      </w:r>
      <w:r>
        <w:t xml:space="preserve"> </w:t>
      </w:r>
      <w:r>
        <w:t xml:space="preserve">extrai o pacto — o sentido oculto — por trás da superfície visível, Cajada recompõe a superfície contra o substrato: devolve a magia ao registro do embuste e do comércio, recusando a hermenêutica demonológica. Mesmo após sua transferência sob prisão para Lisboa, o próprio tribunal inquisitorial reconhece o paradoxo ao lavrar na sentença:</w:t>
      </w:r>
      <w:r>
        <w:t xml:space="preserve"> </w:t>
      </w:r>
      <w:r>
        <w:t xml:space="preserve">“</w:t>
      </w:r>
      <w:r>
        <w:t xml:space="preserve">Parece que tudo são embustes e enganos as culpas desta ré.</w:t>
      </w:r>
      <w:r>
        <w:t xml:space="preserve">”</w:t>
      </w:r>
      <w:r>
        <w:t xml:space="preserve"> </w:t>
      </w:r>
      <w:r>
        <w:t xml:space="preserve">O tribunal duvida da realidade do pacto, mas condena. A condenação a penitências públicas e ao degredo atesta a hesitação da justiça hegemônica diante de um tipo penal cuja recepção colonial se desintegrava em práticas de sobrevivência e feitiçaria comercial.</w:t>
      </w:r>
    </w:p>
    <w:bookmarkEnd w:id="31"/>
    <w:bookmarkStart w:id="32" w:name="cajada-como-microcosmo"/>
    <w:p>
      <w:pPr>
        <w:pStyle w:val="Heading3"/>
      </w:pPr>
      <w:r>
        <w:t xml:space="preserve">3.4 Cajada como microcosmo</w:t>
      </w:r>
    </w:p>
    <w:p>
      <w:pPr>
        <w:pStyle w:val="FirstParagraph"/>
      </w:pPr>
      <w:r>
        <w:t xml:space="preserve">Cajada funciona, assim, como caso-pivô por três razões articuladas. Primeiro, porque concentra em si a deformação atlântica do tipo: o que era imagem totalizante se reconfigura como serviço mercantil adaptado ao desterro e à escassez colonial. Segundo, porque revela a incompletude da hegemonia: a justiça negociada sobrevive nas margens do processo de criminalização, na barganha seletiva das confissões e na dúvida do próprio tribunal. Terceiro, porque evidencia a agência dos sujeitos criminalizados: a ré dotada de consciência processual notável, que opera no interior da imagem imposta. É esse triplo rendimento que justifica tomá-la como objeto historiográfico central, e não como mero exemplo de repressão.</w:t>
      </w:r>
    </w:p>
    <w:bookmarkEnd w:id="32"/>
    <w:bookmarkEnd w:id="33"/>
    <w:bookmarkStart w:id="36" w:name="X2de4791fa72ba4813f859589193c5b8a6cf38b2"/>
    <w:p>
      <w:pPr>
        <w:pStyle w:val="Heading2"/>
      </w:pPr>
      <w:r>
        <w:t xml:space="preserve">4. A deformação atlântica e a racialização do tipo</w:t>
      </w:r>
    </w:p>
    <w:bookmarkStart w:id="34" w:name="o-antecedente-europeu-scheuberin"/>
    <w:p>
      <w:pPr>
        <w:pStyle w:val="Heading3"/>
      </w:pPr>
      <w:r>
        <w:t xml:space="preserve">4.1 O antecedente europeu: Scheuberin</w:t>
      </w:r>
    </w:p>
    <w:p>
      <w:pPr>
        <w:pStyle w:val="FirstParagraph"/>
      </w:pPr>
      <w:r>
        <w:t xml:space="preserve">A gênese do tipo compósito nasceu de um colapso prático que vale resgatar como antecedente. Em 1485, na diocese de Brixen (Innsbruck), Institoris tentou aplicar suas teses contra a burguesa Helena Scheuberin, centrando o interrogatório na sexualidade e na moralidade privada da ré. O caso ilustra o choque entre duas epistemologias jurídicas: os comissários do bispo e os magistrados civis operavam na lógica do</w:t>
      </w:r>
      <w:r>
        <w:t xml:space="preserve"> </w:t>
      </w:r>
      <w:r>
        <w:rPr>
          <w:iCs/>
          <w:i/>
        </w:rPr>
        <w:t xml:space="preserve">maleficium</w:t>
      </w:r>
      <w:r>
        <w:t xml:space="preserve"> </w:t>
      </w:r>
      <w:r>
        <w:t xml:space="preserve">concreto, exigindo provas tangíveis e o nexo causal material entre prática e dano. Chocados com a obsessão sexual de Institoris e com seu arbítrio procedimental, nomearam defensor para Helena, arguiram nulidades e o tribunal anulou o processo. Humilhado, Institoris retirou-se para Colônia e publicou o</w:t>
      </w:r>
      <w:r>
        <w:t xml:space="preserve"> </w:t>
      </w:r>
      <w:r>
        <w:rPr>
          <w:iCs/>
          <w:i/>
        </w:rPr>
        <w:t xml:space="preserve">Malleus</w:t>
      </w:r>
      <w:r>
        <w:t xml:space="preserve"> </w:t>
      </w:r>
      <w:r>
        <w:t xml:space="preserve">como resposta doutrinária a uma derrota. Em termos da lente aqui proposta: a imagem não se sustentou no tribunal, e o texto vem para fixar o que a prática recusou — para que a representação prevaleça onde a prova falhou.</w:t>
      </w:r>
    </w:p>
    <w:bookmarkEnd w:id="34"/>
    <w:bookmarkStart w:id="35" w:name="X8023049a1b7b4e38fd20ab84947022eb81f5b85"/>
    <w:p>
      <w:pPr>
        <w:pStyle w:val="Heading3"/>
      </w:pPr>
      <w:r>
        <w:t xml:space="preserve">4.2 A consequência colonial: Luzia Pinta e a racialização</w:t>
      </w:r>
    </w:p>
    <w:p>
      <w:pPr>
        <w:pStyle w:val="FirstParagraph"/>
      </w:pPr>
      <w:r>
        <w:t xml:space="preserve">Se na Europa moderna o corte de gênero foi o vetor primordial da criminalização — estimando-se que entre 70% e 80% das vítimas de caça fossem mulheres, justificadas pelo</w:t>
      </w:r>
      <w:r>
        <w:t xml:space="preserve"> </w:t>
      </w:r>
      <w:r>
        <w:rPr>
          <w:iCs/>
          <w:i/>
        </w:rPr>
        <w:t xml:space="preserve">Malleus</w:t>
      </w:r>
      <w:r>
        <w:t xml:space="preserve"> </w:t>
      </w:r>
      <w:r>
        <w:t xml:space="preserve">em termos de fraqueza moral inerente ao sexo feminino —, a realidade colonial brasileira impôs a sobreposição de um segundo vetor estruturante: a raça (SOUZA, 1986). No final do século XVI, rés como Cajada representavam a transposição de práticas mágicas de matriz ibérica por mulheres brancas e degredadas de extração popular. À medida que os séculos XVII e XVIII avançam, as acusações do Santo Ofício no Brasil sofrem transição demográfica e cultural profunda: o aparato passa a focar nas práticas ritualísticas de matriz africana e indígena, interpretando o calundu, a mandinga e as pajelanças sob as categorias demonológicas do</w:t>
      </w:r>
      <w:r>
        <w:t xml:space="preserve"> </w:t>
      </w:r>
      <w:r>
        <w:rPr>
          <w:iCs/>
          <w:i/>
        </w:rPr>
        <w:t xml:space="preserve">Malleus</w:t>
      </w:r>
      <w:r>
        <w:t xml:space="preserve">.</w:t>
      </w:r>
    </w:p>
    <w:p>
      <w:pPr>
        <w:pStyle w:val="BodyText"/>
      </w:pPr>
      <w:r>
        <w:t xml:space="preserve">O processo de Luzia Pinta, instruído em 1739 em Sabará (Minas Gerais), ilustra essa mutação. Luzia, mulher preta forra de origem angolana, era procurada para a realização de calundus — rituais de adivinhação, transe e cura. O Santo Ofício interpretou essas práticas como adoração diabólica ativa: o transe ritual foi traduzido como possessão demoníaca, e a dança e os tambores foram equiparados às festividades heréticas do sabá europeu. O caso demonstra a racialização do sujeito penal no espaço colonial: a feiticeira deixa de ser caracterizada apenas pela</w:t>
      </w:r>
      <w:r>
        <w:t xml:space="preserve"> </w:t>
      </w:r>
      <w:r>
        <w:t xml:space="preserve">“</w:t>
      </w:r>
      <w:r>
        <w:t xml:space="preserve">fragilidade feminina</w:t>
      </w:r>
      <w:r>
        <w:t xml:space="preserve">”</w:t>
      </w:r>
      <w:r>
        <w:t xml:space="preserve"> </w:t>
      </w:r>
      <w:r>
        <w:t xml:space="preserve">e passa a ser construída a partir da exclusão ontológica dos corpos escravizados e libertos. Suas práticas de cura são criminalizadas pela necessidade de repressão cultural e controle de corpos produtivos no regime escravista. Em Sontag, este é o ponto em que a imagem da bruxa, ao racializar-se, mostra que representar o outro é também administrá-lo, dominá-lo, produzi-lo como sujeito de pena — o enquadramento como exercício de poder.</w:t>
      </w:r>
    </w:p>
    <w:p>
      <w:pPr>
        <w:pStyle w:val="BodyText"/>
      </w:pPr>
      <w:r>
        <w:t xml:space="preserve">A historicidade do tipo penal revela-se nessa dupla torção: o modelo pensado para conter desvios heréticos europeus é instrumentalizado no Brasil como mecanismo de manutenção da hegemonia colonial sobre corpos e mentes da população negra e originária. O tipo não viaja intacto; deforma-se, esvazia-se e, depois, expande-se para racializar.</w:t>
      </w:r>
    </w:p>
    <w:bookmarkEnd w:id="35"/>
    <w:bookmarkEnd w:id="36"/>
    <w:bookmarkStart w:id="37" w:name="considerações-finais"/>
    <w:p>
      <w:pPr>
        <w:pStyle w:val="Heading2"/>
      </w:pPr>
      <w:r>
        <w:t xml:space="preserve">5. Considerações finais</w:t>
      </w:r>
    </w:p>
    <w:p>
      <w:pPr>
        <w:pStyle w:val="FirstParagraph"/>
      </w:pPr>
      <w:r>
        <w:t xml:space="preserve">A aplicação sistemática do referencial de Sbriccoli ao universo inquisitorial atlântico, iluminada pela lente de Sontag e pelo conceito meccarelliano de</w:t>
      </w:r>
      <w:r>
        <w:t xml:space="preserve"> </w:t>
      </w:r>
      <w:r>
        <w:rPr>
          <w:iCs/>
          <w:i/>
        </w:rPr>
        <w:t xml:space="preserve">arbitrium</w:t>
      </w:r>
      <w:r>
        <w:t xml:space="preserve">, permite três conclusões articuladas.</w:t>
      </w:r>
    </w:p>
    <w:p>
      <w:pPr>
        <w:pStyle w:val="BodyText"/>
      </w:pPr>
      <w:r>
        <w:rPr>
          <w:bCs/>
          <w:b/>
        </w:rPr>
        <w:t xml:space="preserve">A incompletude da hegemonia.</w:t>
      </w:r>
      <w:r>
        <w:t xml:space="preserve"> </w:t>
      </w:r>
      <w:r>
        <w:t xml:space="preserve">O aparato inquisitorial, conquanto representante máximo da justiça hegemônica na época moderna, jamais logrou anular os espaços de negociação. Seja no colapso procedimental de Scheuberin em Innsbruck, seja na barganha seletiva das confissões de Cajada na Bahia, a justiça negociada sobreviveu nas margens do processo de criminalização. A hegemonia mostrou-se, nos autos, parcial e constantemente contestada por réus dotados de consciência processual notável.</w:t>
      </w:r>
    </w:p>
    <w:p>
      <w:pPr>
        <w:pStyle w:val="BodyText"/>
      </w:pPr>
      <w:r>
        <w:rPr>
          <w:bCs/>
          <w:b/>
        </w:rPr>
        <w:t xml:space="preserve">A historicidade e deformação do tipo penal.</w:t>
      </w:r>
      <w:r>
        <w:t xml:space="preserve"> </w:t>
      </w:r>
      <w:r>
        <w:t xml:space="preserve">O tipo compósito do</w:t>
      </w:r>
      <w:r>
        <w:t xml:space="preserve"> </w:t>
      </w:r>
      <w:r>
        <w:rPr>
          <w:iCs/>
          <w:i/>
        </w:rPr>
        <w:t xml:space="preserve">Malleus</w:t>
      </w:r>
      <w:r>
        <w:t xml:space="preserve"> </w:t>
      </w:r>
      <w:r>
        <w:t xml:space="preserve">decompôs-se e deformou-se ao circular pelo Atlântico — comportamento de imagem em circulação, não de norma jurídica. A feitiçaria de Cajada reconfigurou-se como serviço mercantil adaptado ao desterro, esvaziando o horror teológico do pacto satânico; no século XVIII, expandiu-se e distorceu-se para englobar os calundus de Luzia Pinta, servindo de vetor de racialização e controle social.</w:t>
      </w:r>
    </w:p>
    <w:p>
      <w:pPr>
        <w:pStyle w:val="BodyText"/>
      </w:pPr>
      <w:r>
        <w:rPr>
          <w:bCs/>
          <w:b/>
        </w:rPr>
        <w:t xml:space="preserve">O degredo como circulação punitiva.</w:t>
      </w:r>
      <w:r>
        <w:t xml:space="preserve"> </w:t>
      </w:r>
      <w:r>
        <w:t xml:space="preserve">Diferente da imagem popular da execução em massa na fogueira, a resposta penal inquisitorial dominante no espaço atlântico foi o degredo. Operava como modalidade de circulação forçada: em vez de eliminar o delinquente, a justiça reinseria-o continuamente em novas redes geográficas de exclusão, alimentando o tráfego de práticas e a hibridização das margens imperiais.</w:t>
      </w:r>
    </w:p>
    <w:p>
      <w:pPr>
        <w:pStyle w:val="BodyText"/>
      </w:pPr>
      <w:r>
        <w:t xml:space="preserve">Tais conclusões sustentam uma contribuição de ordem metodológica. A historiografia jurídica clássica trata a violência penal como violência física e processual — a tortura, a pena, o espetáculo —, e não mapeia o que vem antes: a violência representacional, a violência de fazer existir alguém como figura de crime antes de puni-lo. Ler o tipo penal como imagem é nomear essa anterioridade — a</w:t>
      </w:r>
      <w:r>
        <w:t xml:space="preserve"> </w:t>
      </w:r>
      <w:r>
        <w:t xml:space="preserve">“</w:t>
      </w:r>
      <w:r>
        <w:t xml:space="preserve">violência do enquadramento</w:t>
      </w:r>
      <w:r>
        <w:t xml:space="preserve">”</w:t>
      </w:r>
      <w:r>
        <w:t xml:space="preserve"> </w:t>
      </w:r>
      <w:r>
        <w:t xml:space="preserve">— como um nível de realidade penal que a dogmática e a historiografia clássica sistematicamente ocultam, e cuja força depende justamente de se fazer passar por descrição. O estudo histórico do processo penal de caça às bruxas revela que as categorias de crime e desvio nunca são estáveis: respondem a tensões conjunturais de disputa de poder, e cabe ao historiador do direito penal rastrear essas tensões nas entrelinhas das atas judiciais, percebendo que a força institucional da lei hegemônica muitas vezes mascara a sua própria incapacidade de aniquilar a agência dos sujeitos criminalizados.</w:t>
      </w:r>
    </w:p>
    <w:bookmarkEnd w:id="37"/>
    <w:bookmarkStart w:id="38" w:name="referências"/>
    <w:p>
      <w:pPr>
        <w:pStyle w:val="Heading2"/>
      </w:pPr>
      <w:r>
        <w:t xml:space="preserve">Referências</w:t>
      </w:r>
    </w:p>
    <w:p>
      <w:pPr>
        <w:pStyle w:val="FirstParagraph"/>
      </w:pPr>
      <w:r>
        <w:t xml:space="preserve">ANTT. Arquivo Nacional da Torre do Tombo. Tribunal do Santo Ofício. Inquisição de Lisboa. Processo de Maria Gonçalves Cajada. Lisboa, 1591-1593. Processo n. 10748. Disponível em: http://digitarq.arquivos.pt/details?id=4302603. Acesso em: 30 jun. 2026.</w:t>
      </w:r>
    </w:p>
    <w:p>
      <w:pPr>
        <w:pStyle w:val="BodyText"/>
      </w:pPr>
      <w:r>
        <w:t xml:space="preserve">ANTT. Arquivo Nacional da Torre do Tombo. Tribunal do Santo Ofício. Inquisição de Lisboa. Processo de Luzia Pinta. Sabará, 1739. Processo n. 252. Disponível em: http://digitarq.arquivos.pt/details?id=4302251. Acesso em: 30 jun. 2026.</w:t>
      </w:r>
    </w:p>
    <w:p>
      <w:pPr>
        <w:pStyle w:val="BodyText"/>
      </w:pPr>
      <w:r>
        <w:t xml:space="preserve">ARAÚJO, Gilmara Cruz de. Artes mágicas na Bahia quinhentista: o caso de Maria Gonçalves Cajada. 2016. Dissertação (Mestrado em História) – Universidade Federal de Sergipe, São Cristóvão, 2016.</w:t>
      </w:r>
    </w:p>
    <w:p>
      <w:pPr>
        <w:pStyle w:val="BodyText"/>
      </w:pPr>
      <w:r>
        <w:t xml:space="preserve">BROEDEL, Hans Peter. The Malleus Maleficarum and the construction of witchcraft. Manchester: Manchester University Press, 2003.</w:t>
      </w:r>
    </w:p>
    <w:p>
      <w:pPr>
        <w:pStyle w:val="BodyText"/>
      </w:pPr>
      <w:r>
        <w:t xml:space="preserve">GINZBURG, Carlo. Mitos, emblemas, sinais: morfologia e história. São Paulo: Companhia das Letras, 1989.</w:t>
      </w:r>
    </w:p>
    <w:p>
      <w:pPr>
        <w:pStyle w:val="BodyText"/>
      </w:pPr>
      <w:r>
        <w:t xml:space="preserve">MECCARELLI, Massimo. Le categorie dottrinali della procedura e l’effettività della giustizia penale nel tardo medioevo. Macerata: Università di Macerata, 2013.</w:t>
      </w:r>
    </w:p>
    <w:p>
      <w:pPr>
        <w:pStyle w:val="BodyText"/>
      </w:pPr>
      <w:r>
        <w:t xml:space="preserve">MECCARELLI, Massimo. Dimensions of Justice and Ordering Factors in Criminal Law from the Middle Ages till Juridical Modernity. Macerata: Università di Macerata, 2018.</w:t>
      </w:r>
    </w:p>
    <w:p>
      <w:pPr>
        <w:pStyle w:val="BodyText"/>
      </w:pPr>
      <w:r>
        <w:t xml:space="preserve">SBRICCOLI, Mario. Justiça criminal. Discursos Sediciosos: Crime, Direito e Sociedade, Rio de Janeiro, n. 17/18, p. 459-504, 2011.</w:t>
      </w:r>
    </w:p>
    <w:p>
      <w:pPr>
        <w:pStyle w:val="BodyText"/>
      </w:pPr>
      <w:r>
        <w:t xml:space="preserve">SONTAG, Susan. Contra a interpretação. Porto: Edições 70, 2013. (Edição original: 1964).</w:t>
      </w:r>
    </w:p>
    <w:p>
      <w:pPr>
        <w:pStyle w:val="BodyText"/>
      </w:pPr>
      <w:r>
        <w:t xml:space="preserve">SONTAG, Susan. Sobre fotografia. São Paulo: Companhia das Letras, 2004. (Edição original: 1977).</w:t>
      </w:r>
    </w:p>
    <w:p>
      <w:pPr>
        <w:pStyle w:val="BodyText"/>
      </w:pPr>
      <w:r>
        <w:t xml:space="preserve">SONTAG, Susan. Diante da dor dos outros. São Paulo: Companhia das Letras, 2003.</w:t>
      </w:r>
    </w:p>
    <w:p>
      <w:pPr>
        <w:pStyle w:val="BodyText"/>
      </w:pPr>
      <w:r>
        <w:t xml:space="preserve">SOUZA, Laura de Mello e. O diabo e a Terra de Santa Cruz: feitiçaria e religiosidade popular no Brasil colonial. São Paulo: Companhia das Letras, 1986.</w:t>
      </w:r>
    </w:p>
    <w:p>
      <w:pPr>
        <w:pStyle w:val="BodyText"/>
      </w:pPr>
      <w:r>
        <w:t xml:space="preserve">VAINFAS, Ronaldo (org.). Confissões da Bahia: Santo Ofício da Inquisição. São Paulo: Companhia das Letras, 1997.</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Malleus Maleficarum e a constru����o da bruxaria como tipo penal: o caso Maria Gon��alves Cajada como objeto historiogr��fico</dc:title>
  <dc:creator>Ana Vit��ria Vanzin Mendes</dc:creator>
  <dc:language>pt-BR</dc:language>
  <cp:keywords/>
  <dcterms:created xsi:type="dcterms:W3CDTF">2026-08-15T22:47:19Z</dcterms:created>
  <dcterms:modified xsi:type="dcterms:W3CDTF">2026-08-15T22:47:19Z</dcterms:modified>
</cp:coreProperties>
</file>

<file path=docProps/custom.xml><?xml version="1.0" encoding="utf-8"?>
<Properties xmlns="http://schemas.openxmlformats.org/officeDocument/2006/custom-properties" xmlns:vt="http://schemas.openxmlformats.org/officeDocument/2006/docPropsVTypes"/>
</file>