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CAMADAS DE LEITURA DA ALEGORIA JUR��DICA: PANOFSKY, WARBURG, SONTAG E BAUDRILLARD NA ICONOGRAFIA DO ESTADO</w:t>
      </w:r>
    </w:p>
    <w:p>
      <w:pPr>
        <w:pStyle w:val="Author"/>
      </w:pPr>
      <w:r>
        <w:t xml:space="preserve">Ana Vit��ria Vanzin Mendes</w:t>
      </w:r>
    </w:p>
    <w:p>
      <w:pPr>
        <w:pStyle w:val="FirstParagraph"/>
      </w:pPr>
      <w:r>
        <w:t xml:space="preserve">CAMADAS DE LEITURA DA ALEGORIA JURÍDICA: PANOFSKY, WARBURG, SONTAG E BAUDRILLARD NA ICONOGRAFIA DO ESTADO</w:t>
      </w:r>
    </w:p>
    <w:p>
      <w:pPr>
        <w:pStyle w:val="BodyText"/>
      </w:pPr>
      <w:r>
        <w:t xml:space="preserve">READING LAYERS OF LEGAL ALLEGORY: PANOFSKY, WARBURG, SONTAG AND BAUDRILLARD IN STATE ICONOGRAPHY</w:t>
      </w:r>
    </w:p>
    <w:p>
      <w:pPr>
        <w:pStyle w:val="BodyText"/>
      </w:pPr>
      <w:r>
        <w:t xml:space="preserve">Ana Vitória Vanzin Mendes¹</w:t>
      </w:r>
    </w:p>
    <w:p>
      <w:pPr>
        <w:pStyle w:val="BodyText"/>
      </w:pPr>
      <w:r>
        <w:rPr>
          <w:bCs/>
          <w:b/>
        </w:rPr>
        <w:t xml:space="preserve">Resumo:</w:t>
      </w:r>
      <w:r>
        <w:t xml:space="preserve"> </w:t>
      </w:r>
      <w:r>
        <w:t xml:space="preserve">Este artigo propõe uma arquitetura teórica de quatro camadas sucessivas e não intercambiáveis para a leitura da alegoria jurídica feminina (Marianne, Britannia, Germania, Columbia, a Justiça e a República brasileiras) ao longo dos séculos XIX e XX. A camada metodológica de base, formada pela dupla operativa Panofsky-Warburg, decompõe cada imagem em três níveis de leitura (pré-iconográfico, iconográfico, iconológico) e explica a sobrevivência e mutação de fórmulas corporais entre regimes de legitimação através dos conceitos de</w:t>
      </w:r>
      <w:r>
        <w:t xml:space="preserve"> </w:t>
      </w:r>
      <w:r>
        <w:rPr>
          <w:iCs/>
          <w:i/>
        </w:rPr>
        <w:t xml:space="preserve">Pathosformel</w:t>
      </w:r>
      <w:r>
        <w:t xml:space="preserve">,</w:t>
      </w:r>
      <w:r>
        <w:t xml:space="preserve"> </w:t>
      </w:r>
      <w:r>
        <w:rPr>
          <w:iCs/>
          <w:i/>
        </w:rPr>
        <w:t xml:space="preserve">Nachleben</w:t>
      </w:r>
      <w:r>
        <w:t xml:space="preserve"> </w:t>
      </w:r>
      <w:r>
        <w:t xml:space="preserve">e</w:t>
      </w:r>
      <w:r>
        <w:t xml:space="preserve"> </w:t>
      </w:r>
      <w:r>
        <w:rPr>
          <w:iCs/>
          <w:i/>
        </w:rPr>
        <w:t xml:space="preserve">Zwischenraum</w:t>
      </w:r>
      <w:r>
        <w:t xml:space="preserve">. A segunda camada, delimitada ao subconjunto fotográfico e midiático do corpus, mobiliza Susan Sontag para explicar o efeito da reprodução fotomecânica sobre a autoridade simbólica da imagem estatal. A terceira camada, tratada como coda especulativa e não como método corrente, arrisca a hipótese baudrillardiana de que a alegoria jurídica contemporânea possa ter atingido uma ordem de simulação autorreferente. O artigo argumenta que a sucessão delimitada dos quatro autores, e não sua soma indiscriminada sobre o mesmo objeto, é o que protege a análise do anacronismo metodológico e sustenta a tese de que a alegoria jurídica sofre um processo histórico de endurecimento progressivo.</w:t>
      </w:r>
    </w:p>
    <w:p>
      <w:pPr>
        <w:pStyle w:val="BodyText"/>
      </w:pPr>
      <w:r>
        <w:rPr>
          <w:bCs/>
          <w:b/>
        </w:rPr>
        <w:t xml:space="preserve">Palavras-chave:</w:t>
      </w:r>
      <w:r>
        <w:t xml:space="preserve"> </w:t>
      </w:r>
      <w:r>
        <w:t xml:space="preserve">Iconografia jurídica. Alegoria feminina. Iconologia. Warburg. Sontag. Baudrillard.</w:t>
      </w:r>
    </w:p>
    <w:p>
      <w:pPr>
        <w:pStyle w:val="BodyText"/>
      </w:pPr>
      <w:r>
        <w:rPr>
          <w:bCs/>
          <w:b/>
        </w:rPr>
        <w:t xml:space="preserve">Abstract:</w:t>
      </w:r>
      <w:r>
        <w:t xml:space="preserve"> </w:t>
      </w:r>
      <w:r>
        <w:t xml:space="preserve">This article proposes a four-layer, non-interchangeable theoretical architecture for reading female legal allegory (Marianne, Britannia, Germania, Columbia, and the Brazilian personifications of Justice and the Republic) across the nineteenth and twentieth centuries. The methodological base layer, formed by the Panofsky-Warburg operative pair, decomposes each image into three levels of reading (pre-iconographic, iconographic, iconological) and explains the survival and mutation of bodily formulas across regimes of legitimation through the concepts of</w:t>
      </w:r>
      <w:r>
        <w:t xml:space="preserve"> </w:t>
      </w:r>
      <w:r>
        <w:rPr>
          <w:iCs/>
          <w:i/>
        </w:rPr>
        <w:t xml:space="preserve">Pathosformel</w:t>
      </w:r>
      <w:r>
        <w:t xml:space="preserve">,</w:t>
      </w:r>
      <w:r>
        <w:t xml:space="preserve"> </w:t>
      </w:r>
      <w:r>
        <w:rPr>
          <w:iCs/>
          <w:i/>
        </w:rPr>
        <w:t xml:space="preserve">Nachleben</w:t>
      </w:r>
      <w:r>
        <w:t xml:space="preserve">, and</w:t>
      </w:r>
      <w:r>
        <w:t xml:space="preserve"> </w:t>
      </w:r>
      <w:r>
        <w:rPr>
          <w:iCs/>
          <w:i/>
        </w:rPr>
        <w:t xml:space="preserve">Zwischenraum</w:t>
      </w:r>
      <w:r>
        <w:t xml:space="preserve">. The second layer, restricted to the photographic and media subset of the corpus, mobilizes Susan Sontag to explain the effect of photomechanical reproduction on the symbolic authority of the state image. The third layer, treated as a speculative coda rather than a working method, risks the Baudrillardian hypothesis that contemporary legal allegory may have reached a self-referential order of simulation. The article argues that the delimited succession of the four authors, rather than their indiscriminate summation over the same object, is what protects the analysis from methodological anachronism and sustains the thesis that legal allegory undergoes a progressive historical process of hardening.</w:t>
      </w:r>
    </w:p>
    <w:p>
      <w:pPr>
        <w:pStyle w:val="BodyText"/>
      </w:pPr>
      <w:r>
        <w:rPr>
          <w:bCs/>
          <w:b/>
        </w:rPr>
        <w:t xml:space="preserve">Keywords:</w:t>
      </w:r>
      <w:r>
        <w:t xml:space="preserve"> </w:t>
      </w:r>
      <w:r>
        <w:t xml:space="preserve">Legal iconography. Female allegory. Iconology. Warburg. Sontag. Baudrillard.</w:t>
      </w:r>
    </w:p>
    <w:p>
      <w:r>
        <w:pict>
          <v:rect style="width:0;height:1.5pt" o:hralign="center" o:hrstd="t" o:hr="t"/>
        </w:pict>
      </w:r>
    </w:p>
    <w:bookmarkStart w:id="24" w:name="introdução-quatro-camadas-um-objeto"/>
    <w:p>
      <w:pPr>
        <w:pStyle w:val="Heading2"/>
      </w:pPr>
      <w:r>
        <w:t xml:space="preserve">1 INTRODUÇÃO: QUATRO CAMADAS, UM OBJETO</w:t>
      </w:r>
    </w:p>
    <w:p>
      <w:pPr>
        <w:pStyle w:val="FirstParagraph"/>
      </w:pPr>
      <w:r>
        <w:t xml:space="preserve">Uma alegoria jurídica feminina — a Justiça vendada sobre o frontão de um tribunal, a Marianne armada de uma gravura revolucionária, a Semeuse doméstica estampada numa moeda de circulação diária, a Justiça fotografada por um jornal no dia de sua inauguração — nunca é uma imagem simples. É, ao contrário, um objeto que exige ser lido em camadas sucessivas, cada uma correspondendo a uma pergunta distinta que a imagem não responde sozinha. O que se vê nela, exatamente, sem antecipar interpretação? Que convenção iconográfica está sendo citada, e o que essa citação, naquele suporte e naquele momento, revela sobre o regime de legitimação jurídico-política ao qual serve? Por que a mesma postura corporal, o mesmo gesto de braço erguido ou de olhos vendados, reaparece décadas ou séculos depois, carregando uma energia afetiva reconhecível ainda que reorientada? O que muda quando essa imagem deixa de ser esculpida ou gravada e passa a ser fotografada, impressa em jornal, reproduzida industrialmente em escala de massa? E, no limite mais especulativo de todos: existe um ponto em que essa imagem deixa de representar qualquer coisa e se torna puro efeito de autoridade, autorreferente, sem fundação real por trás de si?</w:t>
      </w:r>
    </w:p>
    <w:p>
      <w:pPr>
        <w:pStyle w:val="BodyText"/>
      </w:pPr>
      <w:r>
        <w:t xml:space="preserve">Este artigo organiza-se em torno de quatro autores porque nenhum deles, isoladamente, responde a todas essas perguntas, e porque cada um foi desenhado, por formação intelectual, por objeto histórico de origem, por horizonte cronológico de validade, para responder a uma delas com um rigor que os outros três não possuem no mesmo domínio. A tentação mais comum diante de um objeto tão estratificado como a alegoria jurídica é tratar o repertório teórico disponível como um cardápio de citações intercambiáveis, aplicando Panofsky, Warburg, Sontag e Baudrillard ao mesmo material, ao mesmo tempo, como se fossem sinônimos de</w:t>
      </w:r>
      <w:r>
        <w:t xml:space="preserve"> </w:t>
      </w:r>
      <w:r>
        <w:t xml:space="preserve">“</w:t>
      </w:r>
      <w:r>
        <w:t xml:space="preserve">análise de imagem</w:t>
      </w:r>
      <w:r>
        <w:t xml:space="preserve">”</w:t>
      </w:r>
      <w:r>
        <w:t xml:space="preserve"> </w:t>
      </w:r>
      <w:r>
        <w:t xml:space="preserve">com sotaques distintos. Este artigo recusa essa tentação. Cada autor é convocado apenas dentro do domínio histórico em que seu conceito tem licença de aplicação, e a arquitetura do argumento segue rigorosamente essa delimitação: da camada mais segura e mais geral à camada mais especulativa e mais estreita.</w:t>
      </w:r>
    </w:p>
    <w:bookmarkStart w:id="20" w:name="X35655b4a101679642f9fcef3b282f2aedbf5253"/>
    <w:p>
      <w:pPr>
        <w:pStyle w:val="Heading3"/>
      </w:pPr>
      <w:r>
        <w:t xml:space="preserve">1.1 A primeira camada: descrição e dinâmica histórica</w:t>
      </w:r>
    </w:p>
    <w:p>
      <w:pPr>
        <w:pStyle w:val="FirstParagraph"/>
      </w:pPr>
      <w:r>
        <w:t xml:space="preserve">A base do método é a dupla operativa formada por Erwin Panofsky e Aby Warburg. Panofsky fornece a gramática da leitura sincrônica, os três níveis de interpretação, pré-iconográfico, iconográfico, iconológico, que impõem disciplina ao intérprete, separando o que é factualmente visível do que é convenção culturalmente codificada e do que é síntese histórico-cultural. Warburg fornece a física da sobrevivência diacrônica, a</w:t>
      </w:r>
      <w:r>
        <w:t xml:space="preserve"> </w:t>
      </w:r>
      <w:r>
        <w:rPr>
          <w:iCs/>
          <w:i/>
        </w:rPr>
        <w:t xml:space="preserve">Pathosformel</w:t>
      </w:r>
      <w:r>
        <w:t xml:space="preserve"> </w:t>
      </w:r>
      <w:r>
        <w:t xml:space="preserve">que explica por que uma mesma configuração corporal atravessa séculos e suportes recarregando-se de sentido, e o</w:t>
      </w:r>
      <w:r>
        <w:t xml:space="preserve"> </w:t>
      </w:r>
      <w:r>
        <w:rPr>
          <w:iCs/>
          <w:i/>
        </w:rPr>
        <w:t xml:space="preserve">Zwischenraum</w:t>
      </w:r>
      <w:r>
        <w:t xml:space="preserve"> </w:t>
      </w:r>
      <w:r>
        <w:t xml:space="preserve">que organiza a comparação não como sequência de influências, mas como montagem de constelações cujo significado emerge do intervalo entre polos. Ambos foram concebidos para objetos figurativos anteriores à reprodução fotomecânica, pintura, escultura, gravura, e por isso constituem o piso metodológico mais seguro deste artigo, aplicável ao corpus inteiro sem exigir justificativa adicional de anacronismo, ainda que exigindo, isso sim, a ressalva pós-colonial de que a comunidade interpretativa pressuposta pelo léxico convencional panofskiano não pode ser importada sem mediação para o caso brasileiro.</w:t>
      </w:r>
    </w:p>
    <w:bookmarkEnd w:id="20"/>
    <w:bookmarkStart w:id="21" w:name="X82ceafe8453b7287543f730edba92c7a7d88b73"/>
    <w:p>
      <w:pPr>
        <w:pStyle w:val="Heading3"/>
      </w:pPr>
      <w:r>
        <w:t xml:space="preserve">1.2 A segunda camada: a crítica da circulação moderna</w:t>
      </w:r>
    </w:p>
    <w:p>
      <w:pPr>
        <w:pStyle w:val="FirstParagraph"/>
      </w:pPr>
      <w:r>
        <w:t xml:space="preserve">A partir do momento em que o corpus passa a incluir material produzido pela e para a reprodução fotomecânica, fotografia de imprensa, cartaz de propaganda, revista ilustrada, entra em cena Susan Sontag, cujos argumentos sobre a fotografia como apropriação, sobre a anestesia da repetição em massa e sobre o enquadramento como decisão de poder acrescentam um mecanismo explicativo que Panofsky e Warburg não oferecem: o que a tecnologia específica da câmera e da reprodução industrial faz à autoridade simbólica de uma imagem que circula em escala e velocidade antes impensáveis. Esta camada não substitui a primeira; opera sobre um subconjunto do corpus delimitado pela própria natureza técnica do suporte, e sua aplicação a materiais pré-fotográficos, a moeda cunhada, o selo gravado à mão, é explicitamente evitada, porque a mediação indexical que sustenta todo o argumento sontaguiano simplesmente não existe nesses objetos.</w:t>
      </w:r>
    </w:p>
    <w:bookmarkEnd w:id="21"/>
    <w:bookmarkStart w:id="22" w:name="X23747f00ab134e2722e656e5d25f4e0edd3f203"/>
    <w:p>
      <w:pPr>
        <w:pStyle w:val="Heading3"/>
      </w:pPr>
      <w:r>
        <w:t xml:space="preserve">1.3 A terceira camada: o horizonte especulativo</w:t>
      </w:r>
    </w:p>
    <w:p>
      <w:pPr>
        <w:pStyle w:val="FirstParagraph"/>
      </w:pPr>
      <w:r>
        <w:t xml:space="preserve">Por fim, no extremo mais recente e mais dessubstancializado do corpus, este artigo arrisca uma pergunta que nem Panofsky, nem Warburg, nem Sontag estão equipados para formular: existe um ponto em que a alegoria jurídica deixa de remeter a qualquer fundação histórica real e se torna simulacro autorreferente, no sentido que Jean Baudrillard atribui à quarta ordem da imagem contemporânea? Esta camada é tratada aqui como coda especulativa, não como método corrente, formulada como pergunta de pesquisa em aberto, precisamente porque generalizá-la ao corpus inteiro dissolveria a distinção entre regimes iconocráticos que sustenta o argumento central deste artigo.</w:t>
      </w:r>
    </w:p>
    <w:bookmarkEnd w:id="22"/>
    <w:bookmarkStart w:id="23" w:name="a-lógica-da-sucessão"/>
    <w:p>
      <w:pPr>
        <w:pStyle w:val="Heading3"/>
      </w:pPr>
      <w:r>
        <w:t xml:space="preserve">1.4 A lógica da sucessão</w:t>
      </w:r>
    </w:p>
    <w:p>
      <w:pPr>
        <w:pStyle w:val="FirstParagraph"/>
      </w:pPr>
      <w:r>
        <w:t xml:space="preserve">As quatro camadas, portanto, não competem pelo mesmo objeto ao mesmo tempo, sucedem-se conforme a natureza técnica e histórica do material exige, numa progressão que vai da descrição mais controlada e mais geral à especulação mais arriscada e mais estreita. Esta arquitetura de sucessão delimitada não é apenas uma conveniência expositiva, ela reproduz, no plano do método, a própria tese substantiva que o artigo defende: que a alegoria jurídica feminina não é uma forma estática, mas uma forma que se transforma através de regimes sucessivos de legitimação, e que essa transformação histórica exige, de quem a estuda, uma disciplina teórica equivalente, capaz de reconhecer onde cada instrumento de leitura tem validade e onde sua extensão deixa de ser rigor e passa a ser anacronismo.</w:t>
      </w:r>
    </w:p>
    <w:bookmarkEnd w:id="23"/>
    <w:bookmarkEnd w:id="24"/>
    <w:bookmarkStart w:id="28" w:name="X8c072d5b66aaeac043ebdbf9302871d08fdaa1a"/>
    <w:p>
      <w:pPr>
        <w:pStyle w:val="Heading2"/>
      </w:pPr>
      <w:r>
        <w:t xml:space="preserve">2 MARCO TEÓRICO: PANOFSKY E WARBURG COMO DUPLA OPERATIVA</w:t>
      </w:r>
    </w:p>
    <w:p>
      <w:pPr>
        <w:pStyle w:val="FirstParagraph"/>
      </w:pPr>
      <w:r>
        <w:t xml:space="preserve">O método deste artigo repousa sobre duas ferramentas que, embora nascidas do mesmo círculo intelectual e frequentemente citadas em conjunto como se fossem intercambiáveis, cumprem funções distintas e complementares. Panofsky fornece a gramática da leitura: o dispositivo que permite decompor uma imagem em camadas de significado crescentemente mediadas pela cultura, e que impõe disciplina ao intérprete ao separar, com rigor quase processual, o que se vê do que se convenciona e do que se interpreta. Warburg fornece a física da sobrevivência: o vocabulário que explica por que uma mesma fórmula corporal atravessa séculos, muda de suporte, perde e recupera carga afetiva, e se deixa reler à luz de contextos que seu criador jamais imaginou. Um método sem o outro produziria resultados parciais. Panofsky isolado tenderia a produzir um catálogo de convenções sem explicar por que elas migram e se transformam; Warburg isolado correria o risco de intuir parentescos formais sem o controle disciplinador que impede a interpretação de deslizar para a analogia gratuita. Juntos, compõem exatamente o par que a iconografia jurídica exige: descrição controlada mais dinâmica histórica.</w:t>
      </w:r>
    </w:p>
    <w:bookmarkStart w:id="25" w:name="X2ef15094e5094f52a8e0da42aaa2abf99410eaa"/>
    <w:p>
      <w:pPr>
        <w:pStyle w:val="Heading3"/>
      </w:pPr>
      <w:r>
        <w:t xml:space="preserve">2.1 Panofsky: os três níveis como disciplina, não como checklist</w:t>
      </w:r>
    </w:p>
    <w:p>
      <w:pPr>
        <w:pStyle w:val="FirstParagraph"/>
      </w:pPr>
      <w:r>
        <w:t xml:space="preserve">A proposta de Erwin Panofsky em</w:t>
      </w:r>
      <w:r>
        <w:t xml:space="preserve"> </w:t>
      </w:r>
      <w:r>
        <w:rPr>
          <w:iCs/>
          <w:i/>
        </w:rPr>
        <w:t xml:space="preserve">Estudos de iconologia</w:t>
      </w:r>
      <w:r>
        <w:t xml:space="preserve"> </w:t>
      </w:r>
      <w:r>
        <w:t xml:space="preserve">(PANOFSKY, 1986) distingue três operações de leitura que, ainda que sucessivas na exposição, não devem ser confundidas com etapas mecânicas de um formulário. O nível pré-iconográfico descreve o que é factualmente visível: uma figura feminina de pé, vestida à clássica, com os olhos cobertos por uma venda e uma balança na mão esquerda. Nada aqui ainda é</w:t>
      </w:r>
      <w:r>
        <w:t xml:space="preserve"> </w:t>
      </w:r>
      <w:r>
        <w:rPr>
          <w:iCs/>
          <w:i/>
        </w:rPr>
        <w:t xml:space="preserve">Justitia</w:t>
      </w:r>
      <w:r>
        <w:t xml:space="preserve">, é apenas o inventário do que a retina registra, no que Panofsky (1986) chamava de mundo dos motivos artísticos puros. O nível iconográfico identifica a convenção: reconhece que balança, venda e postura frontal formam, na tradição visual ocidental que remonta a Ripa (1988) e a seus sucessores emblemáticos, o repertório canônico de</w:t>
      </w:r>
      <w:r>
        <w:t xml:space="preserve"> </w:t>
      </w:r>
      <w:r>
        <w:rPr>
          <w:iCs/>
          <w:i/>
        </w:rPr>
        <w:t xml:space="preserve">Iustitia</w:t>
      </w:r>
      <w:r>
        <w:t xml:space="preserve">. É neste nível que o intérprete recorre a um texto cultural partilhado, um sistema de tipos e atributos que funciona como léxico, e que só é legível para quem já foi iniciado nesse léxico. O nível iconológico, por fim, é a síntese que Panofsky (1986) descreve como a mais arriscada e a mais necessária: não perguntar apenas o que esta imagem representa, mas o que esta representação, neste suporte, neste momento, para este patrocinador, revela sobre os valores simbólicos de uma cultura. É neste terceiro nível que a</w:t>
      </w:r>
      <w:r>
        <w:t xml:space="preserve"> </w:t>
      </w:r>
      <w:r>
        <w:rPr>
          <w:iCs/>
          <w:i/>
        </w:rPr>
        <w:t xml:space="preserve">Iustitia</w:t>
      </w:r>
      <w:r>
        <w:t xml:space="preserve"> </w:t>
      </w:r>
      <w:r>
        <w:t xml:space="preserve">esculpida na fachada de um tribunal republicano deixa de ser mera citação de um tipo alegórico e passa a ser evidência de um regime de legitimação jurídico-política específico.</w:t>
      </w:r>
    </w:p>
    <w:p>
      <w:pPr>
        <w:pStyle w:val="BodyText"/>
      </w:pPr>
      <w:r>
        <w:t xml:space="preserve">A disciplina que este esquema impõe é precisamente o que protege o artigo do risco mais comum na análise de imagens de poder: a tentação de saltar direto ao terceiro nível, projetando significado histórico-político sobre uma imagem sem primeiro estabelecer, com controle empírico, o que nela é de fato convencional e o que é inovação ou anomalia. Um regime iconocrático só pode ser atribuído a uma imagem depois que os dois primeiros níveis estiverem saturados, depois que se souber exatamente quais atributos estão presentes, quais estão ausentes, e qual tradição iconográfica específica está sendo citada, adaptada ou rompida. A separação panofskiana entre descrição, convenção e síntese cumpre, neste artigo, a mesma função que a separação entre citação direta, tradução e interpretação cumpre na crítica textual: impede que a voz do intérprete se confunda com a voz da fonte.</w:t>
      </w:r>
    </w:p>
    <w:p>
      <w:pPr>
        <w:pStyle w:val="BodyText"/>
      </w:pPr>
      <w:r>
        <w:t xml:space="preserve">Há, no entanto, uma ressalva metodológica que este artigo assume explicitamente. O sistema panofskiano pressupõe uma comunidade interpretativa relativamente estável, um público que compartilha, por formação ou por exposição cultural repetida, o léxico convencional necessário para reconhecer o segundo nível. Essa pressuposição, construída sobre a tradição europeia continental que Panofsky conhecia como historiador da arte formado em Hamburgo, não pode ser importada sem mediação para a leitura de alegorias jurídicas brasileiras. Quando a Justiça posicionada na fachada do Supremo Tribunal Federal cita o repertório europeu de balança e venda, ela o faz para um público que não herdou esse léxico da mesma maneira que um público parisiense ou florentino, ela o importa, e a importação é ela mesma um dado iconológico, não um obstáculo prévio à leitura. Este artigo trata, portanto, o nível iconográfico não como reconhecimento neutro de um código universal, mas como rastreamento de uma transferência: a pergunta relevante não é apenas que convenção está citada, mas de onde vem essa convenção, e o que significa citá-la fora do circuito que a produziu.</w:t>
      </w:r>
    </w:p>
    <w:bookmarkEnd w:id="25"/>
    <w:bookmarkStart w:id="26" w:name="X2be6f070848760b2f8d6d1e29217fa485698aaa"/>
    <w:p>
      <w:pPr>
        <w:pStyle w:val="Heading3"/>
      </w:pPr>
      <w:r>
        <w:t xml:space="preserve">2.2 Warburg:</w:t>
      </w:r>
      <w:r>
        <w:t xml:space="preserve"> </w:t>
      </w:r>
      <w:r>
        <w:rPr>
          <w:iCs/>
          <w:i/>
        </w:rPr>
        <w:t xml:space="preserve">Pathosformel</w:t>
      </w:r>
      <w:r>
        <w:t xml:space="preserve">,</w:t>
      </w:r>
      <w:r>
        <w:t xml:space="preserve"> </w:t>
      </w:r>
      <w:r>
        <w:rPr>
          <w:iCs/>
          <w:i/>
        </w:rPr>
        <w:t xml:space="preserve">Nachleben</w:t>
      </w:r>
      <w:r>
        <w:t xml:space="preserve"> </w:t>
      </w:r>
      <w:r>
        <w:t xml:space="preserve">e o problema da sobrevivência</w:t>
      </w:r>
    </w:p>
    <w:p>
      <w:pPr>
        <w:pStyle w:val="FirstParagraph"/>
      </w:pPr>
      <w:r>
        <w:t xml:space="preserve">Se Panofsky oferece o vocabulário da leitura sincrônica, Aby Warburg oferece o vocabulário da persistência diacrônica. O conceito de</w:t>
      </w:r>
      <w:r>
        <w:t xml:space="preserve"> </w:t>
      </w:r>
      <w:r>
        <w:rPr>
          <w:iCs/>
          <w:i/>
        </w:rPr>
        <w:t xml:space="preserve">Pathosformel</w:t>
      </w:r>
      <w:r>
        <w:t xml:space="preserve">, a fórmula de páthos, a configuração corporal que condensa uma carga emocional determinada e que se repete através de diferentes épocas e suportes, nomeia precisamente o fenômeno que a iconografia jurídica-alegórica exige explicar: por que o mesmo gesto, a mesma torção de corpo, a mesma disposição de braço e olhar reaparecem em contextos historicamente distantes, carregando cada vez uma energia afetiva reconhecível ainda que reorientada para fins distintos. Warburg (2000) cunhou a fórmula para descrever, originalmente, a sobrevivência de gestos da Antiguidade clássica na pintura do Renascimento, o que chamou de</w:t>
      </w:r>
      <w:r>
        <w:t xml:space="preserve"> </w:t>
      </w:r>
      <w:r>
        <w:rPr>
          <w:iCs/>
          <w:i/>
        </w:rPr>
        <w:t xml:space="preserve">Nachleben der Antike</w:t>
      </w:r>
      <w:r>
        <w:t xml:space="preserve">, a vida-após da Antiguidade, um sobreviver que não é repetição inerte, mas reativação carregada de tensão histórica. A fórmula não é neutra: ao ressurgir, ela traz consigo memória afetiva sedimentada, e é exatamente essa carga que permite explicar por que a mesma postura de corpo feminino armado, quando migra da gravura revolucionária francesa para a moeda republicana e desta para o selo colonial, não apenas se repete, mas se recarrega de sentido distinto em cada reaparição.</w:t>
      </w:r>
    </w:p>
    <w:p>
      <w:pPr>
        <w:pStyle w:val="BodyText"/>
      </w:pPr>
      <w:r>
        <w:t xml:space="preserve">Este artigo estende o conceito além do horizonte cronológico que Warburg mesmo tratou com mais detalhe, do Renascimento italiano à Antiguidade greco-romana, para aplicá-lo à sobrevivência de fórmulas revolucionárias e neoclássicas ao longo dos séculos XIX e XX. A extensão não é arbitrária: o próprio Warburg (2000), nos últimos anos de trabalho sobre o</w:t>
      </w:r>
      <w:r>
        <w:t xml:space="preserve"> </w:t>
      </w:r>
      <w:r>
        <w:rPr>
          <w:iCs/>
          <w:i/>
        </w:rPr>
        <w:t xml:space="preserve">Bilderatlas Mnemosyne</w:t>
      </w:r>
      <w:r>
        <w:t xml:space="preserve">, já projetava o</w:t>
      </w:r>
      <w:r>
        <w:t xml:space="preserve"> </w:t>
      </w:r>
      <w:r>
        <w:rPr>
          <w:iCs/>
          <w:i/>
        </w:rPr>
        <w:t xml:space="preserve">Nachleben</w:t>
      </w:r>
      <w:r>
        <w:t xml:space="preserve"> </w:t>
      </w:r>
      <w:r>
        <w:t xml:space="preserve">até a atualidade de sua época, rastreando a sobrevivência de fórmulas astrológicas antigas em horóscopos de jornal contemporâneos. Se a fórmula de páthos sobrevive na imprensa de massa de Weimar, não há razão de princípio para negar-lhe capacidade de sobreviver na numismática republicana ou na filatelia colonial de décadas próximas. O que a extensão exige, isso sim, é a mesma disciplina histórica que Warburg impunha a si mesmo: nunca postular sobrevivência sem rastrear a cadeia concreta de transmissão, sem indicar por qual via, através de quais gravuras, medalhistas, escolas de desenho ou circulação de estampas, a fórmula viajou de um suporte a outro.</w:t>
      </w:r>
    </w:p>
    <w:p>
      <w:pPr>
        <w:pStyle w:val="BodyText"/>
      </w:pPr>
      <w:r>
        <w:t xml:space="preserve">O segundo conceito warburguiano mobilizado por este artigo é o de</w:t>
      </w:r>
      <w:r>
        <w:t xml:space="preserve"> </w:t>
      </w:r>
      <w:r>
        <w:rPr>
          <w:iCs/>
          <w:i/>
        </w:rPr>
        <w:t xml:space="preserve">Zwischenraum</w:t>
      </w:r>
      <w:r>
        <w:t xml:space="preserve">, o espaço intervalar, o intervalo de tensão entre dois polos de uma mesma constelação figurativa. Warburg concebeu o</w:t>
      </w:r>
      <w:r>
        <w:t xml:space="preserve"> </w:t>
      </w:r>
      <w:r>
        <w:rPr>
          <w:iCs/>
          <w:i/>
        </w:rPr>
        <w:t xml:space="preserve">Bilderatlas Mnemosyne</w:t>
      </w:r>
      <w:r>
        <w:t xml:space="preserve"> </w:t>
      </w:r>
      <w:r>
        <w:t xml:space="preserve">não como sequência narrativa, mas como montagem: painéis que colocam imagens de proveniências distintas em justaposição, de modo que o sentido emerja do espaço entre as imagens, não de cada imagem isoladamente (WARBURG, 2000). É este princípio de montagem comparativa, e não uma cronologia linear de influências, que organiza a arquitetura analítica deste artigo. Cada par de imagens, a Marianne armada da gravura revolucionária e a Semeuse doméstica da moeda de 1898; a</w:t>
      </w:r>
      <w:r>
        <w:t xml:space="preserve"> </w:t>
      </w:r>
      <w:r>
        <w:rPr>
          <w:iCs/>
          <w:i/>
        </w:rPr>
        <w:t xml:space="preserve">Iustitia</w:t>
      </w:r>
      <w:r>
        <w:t xml:space="preserve"> </w:t>
      </w:r>
      <w:r>
        <w:t xml:space="preserve">sentada e vendada do tribunal europeu e a Justiça brasileira que a cita à distância de um oceano e de uma história colonial, é lido não como sequência de causa e efeito, mas como constelação cujo sentido reside na tensão do intervalo: o que muda, o que persiste, e o que essa mudança revela sobre a transformação do regime de legitimação que a imagem serve.</w:t>
      </w:r>
    </w:p>
    <w:bookmarkEnd w:id="26"/>
    <w:bookmarkStart w:id="27" w:name="por-que-a-dupla-e-não-cada-um-isolado"/>
    <w:p>
      <w:pPr>
        <w:pStyle w:val="Heading3"/>
      </w:pPr>
      <w:r>
        <w:t xml:space="preserve">2.3 Por que a dupla, e não cada um isolado</w:t>
      </w:r>
    </w:p>
    <w:p>
      <w:pPr>
        <w:pStyle w:val="FirstParagraph"/>
      </w:pPr>
      <w:r>
        <w:t xml:space="preserve">A combinação Panofsky-Warburg responde a uma exigência que nenhum dos dois métodos supre isoladamente. Panofsky decompõe a imagem sincronicamente, mas seu sistema, tomado sozinho, tende a estabilizar a leitura em um significado fixado para aquele objeto, naquele momento, não explica por que o mesmo léxico de atributos reaparece décadas ou séculos depois, com peso afetivo distinto. Warburg explica a sobrevivência e a migração, mas sem o controle disciplinador dos três níveis panofskianos, a identificação de parentescos formais entre imagens distantes no tempo corre o risco de tornar-se impressionista, de encontrar semelhança onde há apenas coincidência superficial de pose, sem sustentação em uma leitura convencional e cultural rigorosa de cada extremo da comparação. É por isso que a arquitetura analítica deste artigo trata cada par de imagens comparadas em dois momentos obrigatórios e sequenciais: primeiro, a leitura panofskiana independente de cada extremo, o que se vê, que convenção está sendo citada, que síntese cultural-histórica sustenta essa citação naquele contexto específico; segundo, e somente depois, a leitura warburguiana da relação entre os dois extremos, que fórmula de páthos, se houver, conecta ambos, por qual cadeia de transmissão, e o que a mutação da fórmula entre um polo e outro revela sobre a transformação do regime de legitimação jurídico-política ao qual cada imagem serve.</w:t>
      </w:r>
    </w:p>
    <w:p>
      <w:pPr>
        <w:pStyle w:val="BodyText"/>
      </w:pPr>
      <w:r>
        <w:t xml:space="preserve">Esta arquitetura de dois momentos não é apenas uma conveniência expositiva. Ela reproduz, no plano do método, a tese substantiva do artigo: que a alegoria jurídica feminina não é uma forma que simplesmente existe, sucessivamente substituída por variações locais, mas uma forma que endurece, que sofre, ao longo de sua sobrevivência entre regimes, um processo de purificação progressiva mensurável precisamente porque cada reaparição pode ser lida panofskianamente em seus próprios termos e depois cotejada warburguianamente com sua reaparição anterior. Descrever sem comparar produziria um catálogo estático de convenções nacionais. Comparar sem descrever produziria uma narrativa de influências que confundiria semelhança formal com continuidade de sentido. A dupla operativa Panofsky-Warburg é o que permite, ao mesmo tempo, rigor na leitura de cada imagem e explicação da dinâmica histórica que liga as imagens entre si, e é essa dupla exigência, descrição disciplinada mais dinâmica diacrônica, que a iconografia jurídica, tomada como objeto de investigação histórica e não apenas como repertório de motivos, impõe a quem a estuda.</w:t>
      </w:r>
    </w:p>
    <w:bookmarkEnd w:id="27"/>
    <w:bookmarkEnd w:id="28"/>
    <w:bookmarkStart w:id="34" w:name="X5272302e832375f0eef3c067d08d7c6ed0c1b95"/>
    <w:p>
      <w:pPr>
        <w:pStyle w:val="Heading2"/>
      </w:pPr>
      <w:r>
        <w:t xml:space="preserve">3 CRÍTICA DA CIRCULAÇÃO MODERNA: SONTAG E O LIMITE FOTOGRÁFICO DO CORPUS</w:t>
      </w:r>
    </w:p>
    <w:p>
      <w:pPr>
        <w:pStyle w:val="FirstParagraph"/>
      </w:pPr>
      <w:r>
        <w:t xml:space="preserve">Se Panofsky e Warburg fornecem, respectivamente, a gramática da leitura e a física da sobrevivência, nenhum dos dois foi desenhado para responder a uma pergunta que só se torna pertinente a partir de um ponto específico na história do corpus: o que acontece com uma fórmula alegórica quando ela deixa de circular apenas como escultura, moeda ou selo gravado à mão, e passa a circular como fotografia reproduzida em jornal, cartaz impresso em série industrial, ou imagem de propaganda distribuída pelo aparelho de Estado. É neste ponto, e apenas neste ponto, que Susan Sontag entra no argumento, não como substituta de Panofsky e Warburg, e muito menos como terceira camada aplicável ao corpus inteiro, mas como instrumento cirúrgico para o subconjunto de materiais que já são, eles mesmos, produtos da reprodutibilidade fotográfica e da circulação de massa.</w:t>
      </w:r>
    </w:p>
    <w:bookmarkStart w:id="29" w:name="X2ffa5421d3c9c9ccb2fe1c6115cc73886b1f84a"/>
    <w:p>
      <w:pPr>
        <w:pStyle w:val="Heading3"/>
      </w:pPr>
      <w:r>
        <w:t xml:space="preserve">3.1 A fotografia como apropriação, não como registro</w:t>
      </w:r>
    </w:p>
    <w:p>
      <w:pPr>
        <w:pStyle w:val="FirstParagraph"/>
      </w:pPr>
      <w:r>
        <w:t xml:space="preserve">Em</w:t>
      </w:r>
      <w:r>
        <w:t xml:space="preserve"> </w:t>
      </w:r>
      <w:r>
        <w:rPr>
          <w:iCs/>
          <w:i/>
        </w:rPr>
        <w:t xml:space="preserve">Sobre fotografia</w:t>
      </w:r>
      <w:r>
        <w:t xml:space="preserve">, Sontag (2004) descreve o ato fotográfico como uma forma de apropriação: fotografar é apropriar-se da coisa fotografada, convertendo pessoas em objetos que podem ser simbolicamente possuídos. A fotografia, neste argumento, não documenta neutralmente um objeto preexistente, ela o converte em posse simbólica de quem a produz e de quem a consome, submetendo o fotografado a um enquadramento que já é, em si, um exercício de poder sobre o que fica dentro e fora do quadro. Aplicado ao corpus deste artigo, o argumento ilumina um momento muito preciso: a fotografia jornalística de uma estátua da Justiça sendo inaugurada, ou de um monumento republicano sendo desvelado diante de autoridades, não apenas registra o evento cerimonial, ela o refaz como evento midiático, selecionando ângulo, enquadramento e legenda que decidem o que da cerimônia sobrevive à memória pública. A alegoria de pedra ou bronze, que já operava segundo a gramática panofskiana de atributos convencionais, ganha aqui uma segunda camada de mediação: não é mais apenas vista por quem passa diante do monumento, é vista por quem lê o jornal do dia seguinte, e essa segunda audiência experimenta a imagem já apropriada, já enquadrada, já filtrada por uma escolha editorial que Sontag ensina a não tratar como transparente.</w:t>
      </w:r>
    </w:p>
    <w:bookmarkEnd w:id="29"/>
    <w:bookmarkStart w:id="30" w:name="a-anestesia-da-repetição"/>
    <w:p>
      <w:pPr>
        <w:pStyle w:val="Heading3"/>
      </w:pPr>
      <w:r>
        <w:t xml:space="preserve">3.2 A anestesia da repetição</w:t>
      </w:r>
    </w:p>
    <w:p>
      <w:pPr>
        <w:pStyle w:val="FirstParagraph"/>
      </w:pPr>
      <w:r>
        <w:t xml:space="preserve">O segundo argumento sontaguiano relevante para este artigo é o da atenuação por exposição repetida. Sontag (1977) observa, em</w:t>
      </w:r>
      <w:r>
        <w:t xml:space="preserve"> </w:t>
      </w:r>
      <w:r>
        <w:rPr>
          <w:iCs/>
          <w:i/>
        </w:rPr>
        <w:t xml:space="preserve">Sobre fotografia</w:t>
      </w:r>
      <w:r>
        <w:t xml:space="preserve">, que a reprodução maciça de uma imagem tende a esgotar sua capacidade de choque e de convocação moral: as fotografias chocam à medida que mostram algo novo, mas o vasto e crescente depósito de imagens torna cada vez mais possível contemplar e conviver com aquilo que antes não se conseguia sequer olhar. Em</w:t>
      </w:r>
      <w:r>
        <w:t xml:space="preserve"> </w:t>
      </w:r>
      <w:r>
        <w:rPr>
          <w:iCs/>
          <w:i/>
        </w:rPr>
        <w:t xml:space="preserve">Diante da dor dos outros</w:t>
      </w:r>
      <w:r>
        <w:t xml:space="preserve">, Sontag (2003) revisita e complica essa tese: a repetição não anestesia de modo uniforme, e a fadiga da compaixão depende de quem vê e por que vê, não é um efeito automático da própria imagem. Para o corpus deste artigo, a tese revisada é mais útil que a original, porque descreve com precisão o efeito que o indicador de serialidade, um dos dez indicadores de purificação que orientam a leitura do processo de endurecimento, já detecta empiricamente: quando a mesma Justiça, a mesma Marianne, a mesma Germania é reproduzida em milhares de selos, notas e cartazes idênticos, a imagem não apenas se torna disponível para consumo massivo, ela se torna também progressivamente menos capaz de convocar a reação afetiva que a fórmula de páthos warburguiana originalmente carregava. A leitura sontaguiana da repetição fotográfica e midiática oferece, portanto, um mecanismo explicativo para algo que o vocabulário warburguiano descreve apenas como perda ou transformação de carga afetiva sem detalhar seu mecanismo: é a própria multiplicação industrial da imagem, viabilizada pela fotomecânica e pela reprodução de massa, que consome a energia patética da fórmula a cada nova cópia.</w:t>
      </w:r>
    </w:p>
    <w:bookmarkEnd w:id="30"/>
    <w:bookmarkStart w:id="31" w:name="o-enquadramento-como-decisão-de-poder"/>
    <w:p>
      <w:pPr>
        <w:pStyle w:val="Heading3"/>
      </w:pPr>
      <w:r>
        <w:t xml:space="preserve">3.3 O enquadramento como decisão de poder</w:t>
      </w:r>
    </w:p>
    <w:p>
      <w:pPr>
        <w:pStyle w:val="FirstParagraph"/>
      </w:pPr>
      <w:r>
        <w:t xml:space="preserve">Há, por fim, um terceiro argumento em Sontag particularmente produtivo para a leitura de imagens jurídico-estatais: a ideia de que fotografar é sempre selecionar, e selecionar é sempre exercer uma forma de poder sobre a narrativa que a imagem vai sustentar. Este argumento converge com a pergunta que o artigo já faz a propósito de Panofsky, quem tem acesso ao léxico convencional necessário para ler a alegoria, mas a desloca para o momento da produção, não apenas da recepção. Quando o aparelho de propaganda de um Estado decide fotografar sua Justiça, sua República ou sua Pátria alegorizada de um ângulo específico, sob uma luz específica, ao lado de determinados corpos e não de outros, essa decisão de enquadramento é ela mesma um ato de legitimação jurídico-política que continua, por outros meios fotomecânicos, o mesmo trabalho que o escultor ou o gravador já realizava ao escolher que atributos dar à figura. Sontag permite nomear esse continuísmo: o enquadramento fotográfico do monumento é a mesma operação de curadoria simbólica que a escolha dos atributos escultóricos, apenas transposta para um regime técnico distinto, e mais veloz, mais barato de reproduzir, mais difícil de contestar porque se apresenta sob a aparência de registro neutro.</w:t>
      </w:r>
    </w:p>
    <w:bookmarkEnd w:id="31"/>
    <w:bookmarkStart w:id="32" w:name="Xdac3c03fba008c841b441abe32358504341e05d"/>
    <w:p>
      <w:pPr>
        <w:pStyle w:val="Heading3"/>
      </w:pPr>
      <w:r>
        <w:t xml:space="preserve">3.4 O limite: por que Sontag não pode ser generalizada ao corpus inteiro</w:t>
      </w:r>
    </w:p>
    <w:p>
      <w:pPr>
        <w:pStyle w:val="FirstParagraph"/>
      </w:pPr>
      <w:r>
        <w:t xml:space="preserve">A força destes três argumentos é também sua fronteira. Sontag escreve sobre a fotografia como tecnologia específica, sobre a câmera, o negativo, o processo de revelação e reprodução em série que se torna disponível a partir de meados do século XIX e se torna hegemônico apenas no XX. Aplicar seu vocabulário de apropriação, anestesia e enquadramento a uma moeda cunhada em 1793 ou a um selo gravado à mão em talho-doce em 1889 seria uma operação categorialmente distinta de aplicá-lo à fotografia de imprensa de um desfile do Estado Novo em 1938. A moeda e o selo pré-fotográficos não são apropriação de um referente por uma câmera, são composição deliberada, produzida por um gravador que trabalha diretamente sobre a matriz, sem a mediação indexical que define ontologicamente o argumento sontaguiano. Não há, no processo de cunhagem de uma medalha, o gesto de apontar e capturar que Sontag toma como condição de possibilidade de toda a sua teoria; há, isso sim, o gesto de desenhar e esculpir, que já está inteiramente coberto pela gramática panofskiana de atributos convencionais e pela física warburguiana de fórmulas que sobrevivem.</w:t>
      </w:r>
    </w:p>
    <w:p>
      <w:pPr>
        <w:pStyle w:val="BodyText"/>
      </w:pPr>
      <w:r>
        <w:t xml:space="preserve">Este artigo, portanto, delimita explicitamente o domínio de aplicação de Sontag ao subconjunto do corpus que é, ele mesmo, produto de tecnologia fotomecânica de reprodução: fotografia de imprensa de monumentos e cerimônias estatais, cartazes de propaganda que incorporam fotomontagem, capas de revista ilustrada, material de circulação jornalística que veicula a alegoria jurídica já filtrada por uma decisão editorial de enquadramento. No caso brasileiro, este subconjunto começa a ganhar espessura relevante a partir da fotografia de imprensa da Primeira República e adquire massa crítica sobretudo a partir da década de 1930, quando o aparelho de propaganda do Estado Novo passa a produzir e distribuir imagem estatal em escala e velocidade que nenhum regime anterior havia alcançado. Fora deste subconjunto, para a moeda, o selo gravado, o frontispício constitucional, o vitral forense, o vocabulário sontaguiano não deve ser mobilizado como leitura histórica direta. Onde a tentação de generalizar for forte, porque a analogia formal entre captura fotográfica e captura alegórica do corpo feminino pelo Estado é sedutora, este artigo prefere marcar essa analogia como recurso heurístico explicitamente assumido, uma ferramenta de pensamento, não uma filiação histórica, e reservar a aplicação plena e não ressalvada de Sontag ao material que efetivamente atravessou a lente de uma câmera.</w:t>
      </w:r>
    </w:p>
    <w:bookmarkEnd w:id="32"/>
    <w:bookmarkStart w:id="33" w:name="X5912ad11a4aff06599ecc32a4f5c55025f1b1d0"/>
    <w:p>
      <w:pPr>
        <w:pStyle w:val="Heading3"/>
      </w:pPr>
      <w:r>
        <w:t xml:space="preserve">3.5 Sontag como terceira camada, não como substituição</w:t>
      </w:r>
    </w:p>
    <w:p>
      <w:pPr>
        <w:pStyle w:val="FirstParagraph"/>
      </w:pPr>
      <w:r>
        <w:t xml:space="preserve">A arquitetura final da seção metodológica fica assim estabelecida em três momentos sucessivos e não intercambiáveis. Primeiro, a leitura panofskiana de cada imagem isolada, nos seus três níveis. Segundo, a leitura warburguiana da relação entre pares de imagens distantes no tempo, rastreando a sobrevivência e a mutação da fórmula de páthos através do espaço intervalar do</w:t>
      </w:r>
      <w:r>
        <w:t xml:space="preserve"> </w:t>
      </w:r>
      <w:r>
        <w:rPr>
          <w:iCs/>
          <w:i/>
        </w:rPr>
        <w:t xml:space="preserve">Zwischenraum</w:t>
      </w:r>
      <w:r>
        <w:t xml:space="preserve">. Terceiro, apenas quando o material em análise for produto de reprodução fotomecânica, a leitura sontaguiana da apropriação, da anestesia serial e do enquadramento como decisão de poder, que acrescenta à mutação já detectada por Warburg um mecanismo explicativo específico do regime midiático moderno. As três camadas não competem pelo mesmo objeto ao mesmo tempo; elas se sucedem conforme a natureza técnica do suporte exige, e é essa disciplina de delimitação, mais do que a soma indiscriminada dos três vocabulários, que permite ao artigo avançar da leitura da imagem impressa para a leitura da imagem fotografada sem perder o controle histórico que separa um regime de reprodução do outro.</w:t>
      </w:r>
    </w:p>
    <w:bookmarkEnd w:id="33"/>
    <w:bookmarkEnd w:id="34"/>
    <w:bookmarkStart w:id="38" w:name="X1cdc0d44a3ed1cde85eac4d8482fffa9cfafb77"/>
    <w:p>
      <w:pPr>
        <w:pStyle w:val="Heading2"/>
      </w:pPr>
      <w:r>
        <w:t xml:space="preserve">4 CODA ESPECULATIVA: BAUDRILLARD E O HORIZONTE DO SIMULACRO</w:t>
      </w:r>
    </w:p>
    <w:p>
      <w:pPr>
        <w:pStyle w:val="FirstParagraph"/>
      </w:pPr>
      <w:r>
        <w:t xml:space="preserve">As três seções anteriores compartilham uma disciplina comum: cada autor foi convocado apenas dentro do domínio histórico em que seu conceito tem licença de aplicação, e cada extensão desse domínio foi justificada, não simplesmente assumida. Esta coda rompe, de propósito, com essa cautela, não porque a cautela deixe de valer, mas porque há uma pergunta final que Panofsky, Warburg e Sontag, cada um a seu modo, não estão equipados para fazer, e que merece ser formulada mesmo sem poder ser demonstrada com o mesmo rigor empírico que sustentou o restante do artigo. A pergunta é esta: existe, no extremo mais recente e mais dessubstancializado do corpus iconocrático brasileiro, um ponto em que a alegoria jurídica deixou de representar uma fundação histórica real e passou a ser puro efeito de autoridade, um signo que não remete a nada além de si mesmo?</w:t>
      </w:r>
    </w:p>
    <w:bookmarkStart w:id="35" w:name="Xd09ba80be734bb0b6953e7e8de62cc839090d50"/>
    <w:p>
      <w:pPr>
        <w:pStyle w:val="Heading3"/>
      </w:pPr>
      <w:r>
        <w:t xml:space="preserve">4.1 As quatro ordens e a precessão dos simulacros</w:t>
      </w:r>
    </w:p>
    <w:p>
      <w:pPr>
        <w:pStyle w:val="FirstParagraph"/>
      </w:pPr>
      <w:r>
        <w:t xml:space="preserve">Jean Baudrillard, em</w:t>
      </w:r>
      <w:r>
        <w:t xml:space="preserve"> </w:t>
      </w:r>
      <w:r>
        <w:rPr>
          <w:iCs/>
          <w:i/>
        </w:rPr>
        <w:t xml:space="preserve">Simulacros e simulação</w:t>
      </w:r>
      <w:r>
        <w:t xml:space="preserve">, descreve a imagem contemporânea como tendo atravessado quatro ordens sucessivas de afastamento do real: a imagem que é reflexo fiel de uma realidade básica; a imagem que mascara e deforma essa realidade; a imagem que mascara a ausência de uma realidade básica; e, por fim, a imagem que não tem relação alguma com qualquer realidade, sendo puro simulacro de si mesma. É na passagem para esta quarta ordem que Baudrillard (1991, p. 8) formula a sentença que resume todo o argumento:</w:t>
      </w:r>
      <w:r>
        <w:t xml:space="preserve"> </w:t>
      </w:r>
      <w:r>
        <w:t xml:space="preserve">“</w:t>
      </w:r>
      <w:r>
        <w:t xml:space="preserve">o simulacro nunca é o que oculta a verdade — é a verdade que oculta que não existe. O simulacro é verdadeiro</w:t>
      </w:r>
      <w:r>
        <w:t xml:space="preserve">”</w:t>
      </w:r>
      <w:r>
        <w:t xml:space="preserve">. O território, escreve ainda, deixa de preceder o mapa; é o mapa que passa a preceder e a engendrar o território, numa inversão que nomeia precessão dos simulacros, e o que resulta dessa inversão não é mentira nem ilusão, no sentido clássico de um falso que se opõe a um verdadeiro ocultado, mas hiper-realidade: geração, por modelos, de um real sem origem nem realidade (BAUDRILLARD, 1991).</w:t>
      </w:r>
    </w:p>
    <w:p>
      <w:pPr>
        <w:pStyle w:val="BodyText"/>
      </w:pPr>
      <w:r>
        <w:t xml:space="preserve">Aplicado ao objeto deste artigo, o convite especulativo é o seguinte: a moeda ou a nota bancária contemporânea que ainda porta a efígie da Justiça, da República ou de alguma personificação cívica genérica já não remeteria, para o cidadão comum que a manipula, a nenhum evento fundacional específico, a nenhuma revolução datável, a nenhuma constituição promulgada num dia preciso, remeteria apenas ao próprio sistema de autoridade estatal em circulação, autorreferente, que usa a alegoria não para representar uma origem, mas para performar uma legitimidade que não precisa mais de origem para funcionar. Se isso for verdade, o dinheiro contemporâneo teria atingido, no vocabulário baudrillardiano, algo próximo à quarta ordem: não deforma nem esconde uma fundação real, apenas simula a existência de uma autoridade fundacional que, para fins práticos de circulação e aceitação social, não precisa mais ser lembrada, apenas creditada.</w:t>
      </w:r>
    </w:p>
    <w:bookmarkEnd w:id="35"/>
    <w:bookmarkStart w:id="36" w:name="por-que-isso-é-hipótese-não-conclusão"/>
    <w:p>
      <w:pPr>
        <w:pStyle w:val="Heading3"/>
      </w:pPr>
      <w:r>
        <w:t xml:space="preserve">4.2 Por que isso é hipótese, não conclusão</w:t>
      </w:r>
    </w:p>
    <w:p>
      <w:pPr>
        <w:pStyle w:val="FirstParagraph"/>
      </w:pPr>
      <w:r>
        <w:t xml:space="preserve">Esta linha de raciocínio é sedutora justamente pela sua elegância, e é essa elegância que exige a maior desconfiança metodológica. Baudrillard escreveu sobre a sociedade de simulação eletrônica tardia, sobre a televisão, a publicidade, a Guerra do Golfo como acontecimento mediático, a Disneylândia como dispositivo que produz o real ao redor de si para parecer mais real por contraste. Retroprojetar essa tese sobre o dinheiro de papel ou sobre o selo postal do século XX é uma operação de risco muito mais alto do que qualquer extensão já realizada nas seções anteriores, porque exige demonstrar uma ausência, a ausência de referente vivo na consciência do usuário comum da moeda, e uma ausência é, por definição epistemológica, muito mais difícil de estabelecer empiricamente do que uma presença. Provar que a Justiça esculpida em 1900 cita o léxico de Ripa é uma tarefa de cotejamento documental. Provar que a mesma Justiça, impressa numa nota de hoje, não significa mais nada para quem a manuseia exigiria uma etnografia da recepção que este artigo não realizou e que a metodologia iconográfica, por si só, não está equipada para sustentar.</w:t>
      </w:r>
    </w:p>
    <w:p>
      <w:pPr>
        <w:pStyle w:val="BodyText"/>
      </w:pPr>
      <w:r>
        <w:t xml:space="preserve">Há, além disso, uma objeção historiográfica de fundo que este artigo já assumiu desde a seção metodológica inicial: se tudo, sempre, em qualquer época, puder ser lido como simulacro autorreferente, a distinção entre os regimes fundacional, normativo e militar que estrutura toda a argumentação anterior perde seu poder explicativo. A tese do endurecimento depende precisamente de mostrar que a alegoria muda, que ela é mais viva, mais corporal, mais referida a um evento fundacional no regime fundacional, e progressivamente mais abstrata, mais serializada, mais domesticada nos regimes seguintes. Se Baudrillard for aplicado sem essa ressalva, e a moeda revolucionária de 1793 for lida como simulacro da mesma ordem que a nota bancária de 2020, a mutação histórica que o artigo inteiro se propõe a demonstrar desaparece sob uma tese que trata toda imagem, de qualquer época, como igualmente desconectada do real. Baudrillard, tomado como método corrente e não como hipótese de fecho, apagaria a própria genealogia que este artigo constrói.</w:t>
      </w:r>
    </w:p>
    <w:bookmarkEnd w:id="36"/>
    <w:bookmarkStart w:id="37" w:name="Xf033e6b95bc3f46f0d01de36efafef1044dd1a6"/>
    <w:p>
      <w:pPr>
        <w:pStyle w:val="Heading3"/>
      </w:pPr>
      <w:r>
        <w:t xml:space="preserve">4.3 O uso legítimo: provocação de horizonte, não veredicto</w:t>
      </w:r>
    </w:p>
    <w:p>
      <w:pPr>
        <w:pStyle w:val="FirstParagraph"/>
      </w:pPr>
      <w:r>
        <w:t xml:space="preserve">Por essas razões, este artigo não emprega Baudrillard como ferramenta analítica ao longo do corpo do argumento, e não lhe atribui o mesmo estatuto metodológico reservado a Panofsky, Warburg e Sontag. Seu lugar é o de provocação de horizonte, formulada aqui, ao final, precisamente porque uma coda especulativa explicitamente balizada como tal é mais honesta do que uma tese forte disfarçada de conclusão empírica. A pergunta permanece aberta, e propositalmente aberta: se o processo de endurecimento descrito por este artigo tem uma direção, e essa direção é a de tornar a alegoria progressivamente mais abstrata, mais serial, mais dissociada do corpo vivo que a inaugurou, não é impossível que o ponto de chegada dessa trajetória, ainda não plenamente alcançado mas talvez já vislumbrável no dinheiro eletrônico e na iconografia estatal digital do presente, seja exatamente a quarta ordem que Baudrillard descreveu para outro domínio, décadas atrás. Formular essa possibilidade como pergunta de pesquisa futura, e não como achado deste artigo, é o uso que a disciplina metodológica aqui assumida autoriza, e é também, talvez, o convite mais produtivo que Baudrillard pode oferecer a um projeto que, como este, se organiza em torno da genealogia e não da sua dissolução.</w:t>
      </w:r>
    </w:p>
    <w:bookmarkEnd w:id="37"/>
    <w:bookmarkEnd w:id="38"/>
    <w:bookmarkStart w:id="39" w:name="considerações-finais"/>
    <w:p>
      <w:pPr>
        <w:pStyle w:val="Heading2"/>
      </w:pPr>
      <w:r>
        <w:t xml:space="preserve">5 CONSIDERAÇÕES FINAIS</w:t>
      </w:r>
    </w:p>
    <w:p>
      <w:pPr>
        <w:pStyle w:val="FirstParagraph"/>
      </w:pPr>
      <w:r>
        <w:t xml:space="preserve">A arquitetura de quatro camadas sucessivas e delimitadas, descrição panofskiana, dinâmica histórica warburguiana, crítica midiática sontaguiana restrita ao subconjunto fotográfico, coda especulativa baudrillardiana reservada ao fecho, oferece um modelo de combinação teórica que evita o erro mais comum em artigos que reúnem marcos de gerações intelectuais distintas: tratá-los como um cardápio de citações intercambiáveis, em vez de como ferramentas com domínio de validade histórica distinto que precisam ser explicitamente delimitado a cada uso. A dupla Panofsky-Warburg sustenta a leitura do corpus inteiro sem exigir ressalva adicional de anacronismo; Sontag ilumina precisamente o subconjunto midiático-fotográfico onde sua tecnologia de origem tem licença histórica; Baudrillard permanece no plano da pergunta aberta, nunca da conclusão demonstrada. É esta disciplina de sucessão, mais do que a simples erudição de reunir quatro nomes canônicos, que sustenta o argumento sobre o endurecimento progressivo da alegoria jurídica feminina na cultura visual do Estado brasileiro e de seus comparadores transatlânticos.</w:t>
      </w:r>
    </w:p>
    <w:p>
      <w:r>
        <w:pict>
          <v:rect style="width:0;height:1.5pt" o:hralign="center" o:hrstd="t" o:hr="t"/>
        </w:pict>
      </w:r>
    </w:p>
    <w:p>
      <w:pPr>
        <w:pStyle w:val="FirstParagraph"/>
      </w:pPr>
      <w:r>
        <w:rPr>
          <w:bCs/>
          <w:b/>
        </w:rPr>
        <w:t xml:space="preserve">NOTA</w:t>
      </w:r>
    </w:p>
    <w:p>
      <w:pPr>
        <w:pStyle w:val="BodyText"/>
      </w:pPr>
      <w:r>
        <w:t xml:space="preserve">¹ Doutoranda em Direito, Programa de Pós-Graduação em Direito, Universidade Federal de Santa Catarina (PPGD/UFSC), Florianópolis, SC, Brasil.</w:t>
      </w:r>
    </w:p>
    <w:p>
      <w:r>
        <w:pict>
          <v:rect style="width:0;height:1.5pt" o:hralign="center" o:hrstd="t" o:hr="t"/>
        </w:pict>
      </w:r>
    </w:p>
    <w:bookmarkEnd w:id="39"/>
    <w:bookmarkStart w:id="40" w:name="referências"/>
    <w:p>
      <w:pPr>
        <w:pStyle w:val="Heading2"/>
      </w:pPr>
      <w:r>
        <w:t xml:space="preserve">REFERÊNCIAS</w:t>
      </w:r>
    </w:p>
    <w:p>
      <w:pPr>
        <w:pStyle w:val="FirstParagraph"/>
      </w:pPr>
      <w:r>
        <w:t xml:space="preserve">BAUDRILLARD, Jean.</w:t>
      </w:r>
      <w:r>
        <w:t xml:space="preserve"> </w:t>
      </w:r>
      <w:r>
        <w:rPr>
          <w:bCs/>
          <w:b/>
        </w:rPr>
        <w:t xml:space="preserve">Simulacros e simulação</w:t>
      </w:r>
      <w:r>
        <w:t xml:space="preserve">. Tradução de Maria João da Costa Pereira. Lisboa: Relógio d’Água, 1991.</w:t>
      </w:r>
    </w:p>
    <w:p>
      <w:pPr>
        <w:pStyle w:val="BodyText"/>
      </w:pPr>
      <w:r>
        <w:t xml:space="preserve">PANOFSKY, Erwin.</w:t>
      </w:r>
      <w:r>
        <w:t xml:space="preserve"> </w:t>
      </w:r>
      <w:r>
        <w:rPr>
          <w:bCs/>
          <w:b/>
        </w:rPr>
        <w:t xml:space="preserve">Estudos de iconologia: temas humanísticos na arte do Renascimento</w:t>
      </w:r>
      <w:r>
        <w:t xml:space="preserve">. Tradução de Olinda Braga de Souza. Lisboa: Editorial Estampa, 1986.</w:t>
      </w:r>
    </w:p>
    <w:p>
      <w:pPr>
        <w:pStyle w:val="BodyText"/>
      </w:pPr>
      <w:r>
        <w:t xml:space="preserve">RIPA, Cesare.</w:t>
      </w:r>
      <w:r>
        <w:t xml:space="preserve"> </w:t>
      </w:r>
      <w:r>
        <w:rPr>
          <w:bCs/>
          <w:b/>
        </w:rPr>
        <w:t xml:space="preserve">Iconologia</w:t>
      </w:r>
      <w:r>
        <w:t xml:space="preserve">. Edição de Piero Buscaroli. Torino: Fògola, 1988. Fac-símile da edição de Siena, 1613.</w:t>
      </w:r>
    </w:p>
    <w:p>
      <w:pPr>
        <w:pStyle w:val="BodyText"/>
      </w:pPr>
      <w:r>
        <w:t xml:space="preserve">SONTAG, Susan.</w:t>
      </w:r>
      <w:r>
        <w:t xml:space="preserve"> </w:t>
      </w:r>
      <w:r>
        <w:rPr>
          <w:bCs/>
          <w:b/>
        </w:rPr>
        <w:t xml:space="preserve">On Photography</w:t>
      </w:r>
      <w:r>
        <w:t xml:space="preserve">. New York: Farrar, Straus and Giroux, 1977.</w:t>
      </w:r>
    </w:p>
    <w:p>
      <w:pPr>
        <w:pStyle w:val="BodyText"/>
      </w:pPr>
      <w:r>
        <w:t xml:space="preserve">SONTAG, Susan.</w:t>
      </w:r>
      <w:r>
        <w:t xml:space="preserve"> </w:t>
      </w:r>
      <w:r>
        <w:rPr>
          <w:bCs/>
          <w:b/>
        </w:rPr>
        <w:t xml:space="preserve">Sobre fotografia</w:t>
      </w:r>
      <w:r>
        <w:t xml:space="preserve">. Tradução de Rubens Figueiredo. São Paulo: Companhia das Letras, 2004.</w:t>
      </w:r>
    </w:p>
    <w:p>
      <w:pPr>
        <w:pStyle w:val="BodyText"/>
      </w:pPr>
      <w:r>
        <w:t xml:space="preserve">SONTAG, Susan.</w:t>
      </w:r>
      <w:r>
        <w:t xml:space="preserve"> </w:t>
      </w:r>
      <w:r>
        <w:rPr>
          <w:bCs/>
          <w:b/>
        </w:rPr>
        <w:t xml:space="preserve">Diante da dor dos outros</w:t>
      </w:r>
      <w:r>
        <w:t xml:space="preserve">. Tradução de Rubens Figueiredo. São Paulo: Companhia das Letras, 2003.</w:t>
      </w:r>
    </w:p>
    <w:p>
      <w:pPr>
        <w:pStyle w:val="BodyText"/>
      </w:pPr>
      <w:r>
        <w:t xml:space="preserve">WARBURG, Aby.</w:t>
      </w:r>
      <w:r>
        <w:t xml:space="preserve"> </w:t>
      </w:r>
      <w:r>
        <w:rPr>
          <w:bCs/>
          <w:b/>
        </w:rPr>
        <w:t xml:space="preserve">Der Bilderatlas Mnemosyne</w:t>
      </w:r>
      <w:r>
        <w:t xml:space="preserve">. Edição de Martin Warnke, com Claudia Brink. Berlim: Akademie Verlag, 2000.</w:t>
      </w:r>
    </w:p>
    <w:p>
      <w:pPr>
        <w:pStyle w:val="BodyText"/>
      </w:pPr>
      <w:r>
        <w:t xml:space="preserve">WARBURG, Aby.</w:t>
      </w:r>
      <w:r>
        <w:t xml:space="preserve"> </w:t>
      </w:r>
      <w:r>
        <w:rPr>
          <w:bCs/>
          <w:b/>
        </w:rPr>
        <w:t xml:space="preserve">A renovação da Antiguidade pagã: contribuições científico-culturais para a história do Renascimento europeu</w:t>
      </w:r>
      <w:r>
        <w:t xml:space="preserve">. Tradução de Markus Hediger. Rio de Janeiro: Contraponto, 2013.</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CAMADAS DE LEITURA DA ALEGORIA JUR��DICA: PANOFSKY, WARBURG, SONTAG E BAUDRILLARD NA ICONOGRAFIA DO ESTADO</dc:title>
  <dc:creator>Ana Vit��ria Vanzin Mendes</dc:creator>
  <dc:language>pt-BR</dc:language>
  <cp:keywords/>
  <dcterms:created xsi:type="dcterms:W3CDTF">2026-08-15T22:47:20Z</dcterms:created>
  <dcterms:modified xsi:type="dcterms:W3CDTF">2026-08-15T22:47:20Z</dcterms:modified>
</cp:coreProperties>
</file>

<file path=docProps/custom.xml><?xml version="1.0" encoding="utf-8"?>
<Properties xmlns="http://schemas.openxmlformats.org/officeDocument/2006/custom-properties" xmlns:vt="http://schemas.openxmlformats.org/officeDocument/2006/docPropsVTypes"/>
</file>