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Até quando duvidam, punem: o Malleus Maleficarum, Maria Gonçalves Cajada e a construção atlântica da suspeição inquisitorial de bruxaria</w:t>
      </w:r>
    </w:p>
    <w:p>
      <w:pPr>
        <w:pStyle w:val="Author"/>
      </w:pPr>
      <w:r>
        <w:t xml:space="preserve">Ana Vanzin</w:t>
      </w:r>
    </w:p>
    <w:p>
      <w:pPr>
        <w:pStyle w:val="BlockText"/>
      </w:pPr>
      <w:r>
        <w:t xml:space="preserve">[!note] O que esta versão é</w:t>
      </w:r>
      <w:r>
        <w:t xml:space="preserve"> </w:t>
      </w:r>
      <w:r>
        <w:t xml:space="preserve">Consolidação canônica rumo à entrega de 30-jun. Mantém toda a pesquisa e as fontes do</w:t>
      </w:r>
      <w:r>
        <w:t xml:space="preserve"> </w:t>
      </w:r>
      <w:r>
        <w:rPr>
          <w:rStyle w:val="VerbatimChar"/>
        </w:rPr>
        <w:t xml:space="preserve">v1</w:t>
      </w:r>
      <w:r>
        <w:t xml:space="preserve">, reescrita em prosa contínua e calorosa,</w:t>
      </w:r>
      <w:r>
        <w:t xml:space="preserve"> </w:t>
      </w:r>
      <w:r>
        <w:rPr>
          <w:b/>
          <w:bCs/>
        </w:rPr>
        <w:t xml:space="preserve">sem travessões</w:t>
      </w:r>
      <w:r>
        <w:t xml:space="preserve">, com bullets e negrito de rascunho removidos. Acrescenta a moldura jurídico-penal da disciplina (Sbriccoli justiça negociada/hegemônica; malefício→ofensa como hegemonização; degredo como circulação forçada; Paiva</w:t>
      </w:r>
      <w:r>
        <w:t xml:space="preserve"> </w:t>
      </w:r>
      <w:r>
        <w:t xml:space="preserve">“país sem caça às bruxas”</w:t>
      </w:r>
      <w:r>
        <w:t xml:space="preserve">; Keith Thomas; inflexão explícita de Mello e Souza). Citações em ABNT; paginação a conferir na revisão final.</w:t>
      </w:r>
    </w:p>
    <w:bookmarkStart w:id="9" w:name="resumo"/>
    <w:p>
      <w:pPr>
        <w:pStyle w:val="Heading1"/>
      </w:pPr>
      <w:r>
        <w:t xml:space="preserve">Resumo</w:t>
      </w:r>
    </w:p>
    <w:p>
      <w:pPr>
        <w:pStyle w:val="FirstParagraph"/>
      </w:pPr>
      <w:r>
        <w:t xml:space="preserve">Este artigo reconstrói a construção atlântica da suspeição inquisitorial de bruxaria entre o</w:t>
      </w:r>
      <w:r>
        <w:t xml:space="preserve"> </w:t>
      </w:r>
      <w:r>
        <w:rPr>
          <w:i/>
          <w:iCs/>
        </w:rPr>
        <w:t xml:space="preserve">Malleus Maleficarum</w:t>
      </w:r>
      <w:r>
        <w:t xml:space="preserve"> </w:t>
      </w:r>
      <w:r>
        <w:t xml:space="preserve">(1487) e a abolição formal da Inquisição portuguesa (1810), tomando o caso de Maria Gonçalves Cajada (</w:t>
      </w:r>
      <w:r>
        <w:t xml:space="preserve">“Arde-lhe-o-rabo”</w:t>
      </w:r>
      <w:r>
        <w:t xml:space="preserve">, finais do século XVI) como pivô documental. O argumento mostra que a Inquisição ibérica punia mesmo quando descria da metafísica demonológica que dava nome ao crime, e que a punição sob dúvida, longe de ser falha do modelo, era o seu modo de afirmar a jurisdição do tribunal e estabilizar, no Atlântico, a própria categoria de bruxaria.</w:t>
      </w:r>
    </w:p>
    <w:p>
      <w:pPr>
        <w:pStyle w:val="BodyText"/>
      </w:pPr>
      <w:r>
        <w:t xml:space="preserve">Palavras-chave: Malleus Maleficarum; Maria Gonçalves Cajada; suspeição inquisitorial; Inquisição portuguesa; circulação atlântica.</w:t>
      </w:r>
    </w:p>
    <w:bookmarkEnd w:id="9"/>
    <w:bookmarkStart w:id="10" w:name="introdução"/>
    <w:p>
      <w:pPr>
        <w:pStyle w:val="Heading1"/>
      </w:pPr>
      <w:r>
        <w:t xml:space="preserve">Introdução</w:t>
      </w:r>
    </w:p>
    <w:p>
      <w:pPr>
        <w:pStyle w:val="FirstParagraph"/>
      </w:pPr>
      <w:r>
        <w:t xml:space="preserve">Em algum momento entre 1591 e 1593, numa rua de Salvador, uma vizinha chamou Maria Gonçalves Cajada de</w:t>
      </w:r>
      <w:r>
        <w:t xml:space="preserve"> </w:t>
      </w:r>
      <w:r>
        <w:t xml:space="preserve">“Arde-lhe-o-rabo”</w:t>
      </w:r>
      <w:r>
        <w:t xml:space="preserve">. Não sabia, ninguém sabia, que esse apelido, jogado no ar como moeda de vizinhança, seria recolhido por um escrivão do Santo Ofício, copiado num auto, transportado em naus pelo Atlântico, e acabaria, quatro séculos depois, num acervo de Lisboa, onde um historiador o leria como documento. A trajetória da alcunha, da boca da vizinha ao fólio do inquisidor, é a trajetória da própria suspeição inquisitorial: do vernáculo ao latim, da fofoca ao processo, da vizinhança ao império.</w:t>
      </w:r>
    </w:p>
    <w:p>
      <w:pPr>
        <w:pStyle w:val="BodyText"/>
      </w:pPr>
      <w:r>
        <w:t xml:space="preserve">A pergunta que este artigo tenta responder é como uma gramática misógina codificada em latim por dois inquisidores alemães em 1487 se tornou a linguagem com que vizinhos de uma cidade do Alentejo, e depois de uma cidade colonial, denunciavam uma mulher no século XVI. A resposta se desdobra em cinco movimentos. O primeiro lê o</w:t>
      </w:r>
      <w:r>
        <w:t xml:space="preserve"> </w:t>
      </w:r>
      <w:r>
        <w:rPr>
          <w:i/>
          <w:iCs/>
        </w:rPr>
        <w:t xml:space="preserve">Malleus</w:t>
      </w:r>
      <w:r>
        <w:t xml:space="preserve"> </w:t>
      </w:r>
      <w:r>
        <w:t xml:space="preserve">como evento discursivo, na esteira de Lyndal Roper, e não como manual técnico. O segundo descreve a tecnologia do corpo confitente, o conjunto de segredo, tortura e confissão que converte o discurso em prática penal. O terceiro toma o caso de Maria Gonçalves Cajada como pivô documental, isto é, como ponto de acesso e não como destino. O quarto rastreia a circulação atlântica da categoria de suspeição, de Lisboa ao Brasil, com Angola e Goa como limites comparativos. O quinto, ainda em esboço, projeta a interface com a tese ICONOCRACIA, lendo a bruxa como figura punitiva da iconocracia alegórica.</w:t>
      </w:r>
    </w:p>
    <w:p>
      <w:pPr>
        <w:pStyle w:val="BodyText"/>
      </w:pPr>
      <w:r>
        <w:t xml:space="preserve">O recorte temporal vai de 1487, ano de impressão do</w:t>
      </w:r>
      <w:r>
        <w:t xml:space="preserve"> </w:t>
      </w:r>
      <w:r>
        <w:rPr>
          <w:i/>
          <w:iCs/>
        </w:rPr>
        <w:t xml:space="preserve">Malleus</w:t>
      </w:r>
      <w:r>
        <w:t xml:space="preserve">, a 1810, ano da abolição formal da Inquisição portuguesa pelas Cortes de Lisboa. A escolha não é arbitrária. São os marcos de abertura e fechamento de um regime de penalidade atlântico centrado no corpo feminino. A data de 1487 não marca o começo da repressão à bruxaria, que antecede o livro em séculos, mas a estabilização doutrinária de uma categoria de suspeição: a partir dela, inquisidores dispõem de um repertório que ensina a ler o corpo da mulher como corpo de bruxa, e o discurso se torna tecnologia exportável. A data de 1810 não marca o fim da bruxaria, que persiste no Brasil imperial, em Angola colonial, na Goa pós-inquisitorial, mas o fechamento do regime institucional que dera forma jurídica à suspeição. Depois de 1810, a bruxaria deixa de ser processada pelo aparato inquisitorial e passa a outros aparatos, os códigos penais oitocentistas, a psiquiatria forense, o discurso médico. A categoria não desaparece, muda de mão. Opta-se por 1810, da metrópole, e não por 1821, ano em que D. Pedro I abole a Inquisição no Brasil, porque o artigo privilegia o circuito atlântico metropolitano, e é Lisboa que dita o fechamento institucional.</w:t>
      </w:r>
    </w:p>
    <w:p>
      <w:pPr>
        <w:pStyle w:val="BodyText"/>
      </w:pPr>
      <w:r>
        <w:t xml:space="preserve">Convém fixar, por fim, a posição metodológica. O</w:t>
      </w:r>
      <w:r>
        <w:t xml:space="preserve"> </w:t>
      </w:r>
      <w:r>
        <w:rPr>
          <w:i/>
          <w:iCs/>
        </w:rPr>
        <w:t xml:space="preserve">Malleus</w:t>
      </w:r>
      <w:r>
        <w:t xml:space="preserve"> </w:t>
      </w:r>
      <w:r>
        <w:t xml:space="preserve">não é tomado aqui como fonte primária aceita, mas como objeto historiográfico: lê-se o texto pelo ângulo retórico de Roper, contextualiza-se na formação do Estado confessional com Levack e Behringer, e articula-se com o caso Cajada como pivô documental. O artigo opera em três níveis, o historiográfico das Seções 1 e 2, que lê a bibliografia europeia, o documental da Seção 3, que lê o caso, e o imperial da Seção 4, que segue a circulação. A Seção 5 projeta a interface com a tese. A primeira pergunta a responder é de natureza historiográfica: o que o</w:t>
      </w:r>
      <w:r>
        <w:t xml:space="preserve"> </w:t>
      </w:r>
      <w:r>
        <w:rPr>
          <w:i/>
          <w:iCs/>
        </w:rPr>
        <w:t xml:space="preserve">Malleus</w:t>
      </w:r>
      <w:r>
        <w:t xml:space="preserve"> </w:t>
      </w:r>
      <w:r>
        <w:t xml:space="preserve">é, um manual técnico ou um artefato que produz uma nova forma de ler corpos femininos? A resposta molda tudo o que vem depois.</w:t>
      </w:r>
    </w:p>
    <w:bookmarkEnd w:id="10"/>
    <w:bookmarkStart w:id="15" w:name="X656a25ca40b2ea81895f1bcc368cad7482cae99"/>
    <w:p>
      <w:pPr>
        <w:pStyle w:val="Heading1"/>
      </w:pPr>
      <w:r>
        <w:t xml:space="preserve">Seção 1. O Malleus Maleficarum como evento discursivo</w:t>
      </w:r>
    </w:p>
    <w:p>
      <w:pPr>
        <w:pStyle w:val="FirstParagraph"/>
      </w:pPr>
      <w:r>
        <w:t xml:space="preserve">A leitura retórica do</w:t>
      </w:r>
      <w:r>
        <w:t xml:space="preserve"> </w:t>
      </w:r>
      <w:r>
        <w:rPr>
          <w:i/>
          <w:iCs/>
        </w:rPr>
        <w:t xml:space="preserve">Malleus</w:t>
      </w:r>
      <w:r>
        <w:t xml:space="preserve">, que toma a Question Six da Parte I como peça de tecnologia do gênero e não como argumento teológico, é o que permite ler a circulação luso-brasileira da bruxaria como construção atlântica de uma categoria de suspeição, e não como transposição tardia de um modelo europeu. A Inquisição portuguesa, contemporânea da publicação do livro em 1487, é a instituição que opera esse transplante, e o caso de Maria Gonçalves Cajada, em fins do século XVI, é o ponto onde essa gramática se estabiliza no registro acusatório.</w:t>
      </w:r>
    </w:p>
    <w:bookmarkStart w:id="11" w:name="o-malleus-como-manual-ou-como-evento"/>
    <w:p>
      <w:pPr>
        <w:pStyle w:val="Heading2"/>
      </w:pPr>
      <w:r>
        <w:t xml:space="preserve">O Malleus como manual ou como evento</w:t>
      </w:r>
    </w:p>
    <w:p>
      <w:pPr>
        <w:pStyle w:val="FirstParagraph"/>
      </w:pPr>
      <w:r>
        <w:t xml:space="preserve">A historiografia sobre o</w:t>
      </w:r>
      <w:r>
        <w:t xml:space="preserve"> </w:t>
      </w:r>
      <w:r>
        <w:rPr>
          <w:i/>
          <w:iCs/>
        </w:rPr>
        <w:t xml:space="preserve">Malleus Maleficarum</w:t>
      </w:r>
      <w:r>
        <w:t xml:space="preserve"> </w:t>
      </w:r>
      <w:r>
        <w:t xml:space="preserve">passou por três grandes momentos hermenêuticos, e cada um deles redefiniu não apenas a forma como lemos o texto, mas o que entendemos por bruxaria como problema historiográfico. O primeiro é o de Jules Michelet. Em</w:t>
      </w:r>
      <w:r>
        <w:t xml:space="preserve"> </w:t>
      </w:r>
      <w:r>
        <w:rPr>
          <w:i/>
          <w:iCs/>
        </w:rPr>
        <w:t xml:space="preserve">La Sorcière</w:t>
      </w:r>
      <w:r>
        <w:t xml:space="preserve"> </w:t>
      </w:r>
      <w:r>
        <w:t xml:space="preserve">(1862), Michelet legou à posteridade a imagem da bruxa como heroína popular, mulher libertária cujo sabá seria resistência ao clericalismo opressor. O</w:t>
      </w:r>
      <w:r>
        <w:t xml:space="preserve"> </w:t>
      </w:r>
      <w:r>
        <w:rPr>
          <w:i/>
          <w:iCs/>
        </w:rPr>
        <w:t xml:space="preserve">Malleus</w:t>
      </w:r>
      <w:r>
        <w:t xml:space="preserve">, nessa leitura, era o instrumento da perseguição, o manual de uma Igreja que precisava destruir o saber popular feminino. A leitura era romântica e anacrônica, mas fundou uma tradição: a de que o</w:t>
      </w:r>
      <w:r>
        <w:t xml:space="preserve"> </w:t>
      </w:r>
      <w:r>
        <w:rPr>
          <w:i/>
          <w:iCs/>
        </w:rPr>
        <w:t xml:space="preserve">Malleus</w:t>
      </w:r>
      <w:r>
        <w:t xml:space="preserve"> </w:t>
      </w:r>
      <w:r>
        <w:t xml:space="preserve">era causa da caça às bruxas, e não consequência de um campo de forças mais amplo.</w:t>
      </w:r>
    </w:p>
    <w:p>
      <w:pPr>
        <w:pStyle w:val="BodyText"/>
      </w:pPr>
      <w:r>
        <w:t xml:space="preserve">O segundo momento é o de Brian P. Levack. A partir da primeira edição de</w:t>
      </w:r>
      <w:r>
        <w:t xml:space="preserve"> </w:t>
      </w:r>
      <w:r>
        <w:rPr>
          <w:i/>
          <w:iCs/>
        </w:rPr>
        <w:t xml:space="preserve">The Witch-Hunt in Early Modern Europe</w:t>
      </w:r>
      <w:r>
        <w:t xml:space="preserve"> </w:t>
      </w:r>
      <w:r>
        <w:t xml:space="preserve">(1987), Levack deslocou o centro de gravidade da questão. Em vez de perguntar o que o</w:t>
      </w:r>
      <w:r>
        <w:t xml:space="preserve"> </w:t>
      </w:r>
      <w:r>
        <w:rPr>
          <w:i/>
          <w:iCs/>
        </w:rPr>
        <w:t xml:space="preserve">Malleus</w:t>
      </w:r>
      <w:r>
        <w:t xml:space="preserve"> </w:t>
      </w:r>
      <w:r>
        <w:t xml:space="preserve">causou, passou a perguntar em que contexto o</w:t>
      </w:r>
      <w:r>
        <w:t xml:space="preserve"> </w:t>
      </w:r>
      <w:r>
        <w:rPr>
          <w:i/>
          <w:iCs/>
        </w:rPr>
        <w:t xml:space="preserve">Malleus</w:t>
      </w:r>
      <w:r>
        <w:t xml:space="preserve"> </w:t>
      </w:r>
      <w:r>
        <w:t xml:space="preserve">se tornou operacional. A resposta envolvia a formação dos Estados confessionais, a Reforma Católica, a Contrarreforma e a burocratização da perseguição herética. Levack não negava a importância do livro, mas a retirava do centro explicativo: o</w:t>
      </w:r>
      <w:r>
        <w:t xml:space="preserve"> </w:t>
      </w:r>
      <w:r>
        <w:rPr>
          <w:i/>
          <w:iCs/>
        </w:rPr>
        <w:t xml:space="preserve">Malleus</w:t>
      </w:r>
      <w:r>
        <w:t xml:space="preserve"> </w:t>
      </w:r>
      <w:r>
        <w:t xml:space="preserve">deixava de ser causa para tornar-se marcador de um momento em que convergiram a reorganização confessional do poder estatal depois do Concílio de Trento (1545-1563), a profissionalização dos aparatos de inquérito, a expansão do poder papal por novas ordens religiosas e a emergência de uma cultura jurídica que submetia a conduta individual ao escrutínio do Estado.</w:t>
      </w:r>
    </w:p>
    <w:p>
      <w:pPr>
        <w:pStyle w:val="BodyText"/>
      </w:pPr>
      <w:r>
        <w:t xml:space="preserve">Essa contextualização é decisiva para o argumento. O</w:t>
      </w:r>
      <w:r>
        <w:t xml:space="preserve"> </w:t>
      </w:r>
      <w:r>
        <w:rPr>
          <w:i/>
          <w:iCs/>
        </w:rPr>
        <w:t xml:space="preserve">Malleus</w:t>
      </w:r>
      <w:r>
        <w:t xml:space="preserve"> </w:t>
      </w:r>
      <w:r>
        <w:t xml:space="preserve">não nasce num vácuo doutrinário, nasce no contexto específico da Reforma Católica, o movimento de autocrítica e reforço institucional que a Igreja romana empreendeu a partir de Trento para responder ao desafio protestante. Trento não inventou a bruxaria, mas institucionalizou a preocupação com ela de uma forma anteriormente inédita. Os decretos tridentinos sobre confissão, eucaristia, casamento e instrução dos fiéis criaram uma infraestrutura pastoral, com seminários, confessores qualificados e catecismos, que necessariamente incluía a vigilância sobre práticas supersticiosas. O</w:t>
      </w:r>
      <w:r>
        <w:t xml:space="preserve"> </w:t>
      </w:r>
      <w:r>
        <w:rPr>
          <w:i/>
          <w:iCs/>
        </w:rPr>
        <w:t xml:space="preserve">Malleus</w:t>
      </w:r>
      <w:r>
        <w:t xml:space="preserve"> </w:t>
      </w:r>
      <w:r>
        <w:t xml:space="preserve">insere-se nessa infraestrutura como um texto que, embora anterior a Trento em sessenta anos, foi reeditado com frequência crescente justamente no período pós-tridentino: cerca de catorze edições entre 1487 e 1520, depois um hiato, e em seguida uma retomada acelerada, com dezesseis edições entre 1574 e 1669, que coincide com o apogeu da Contrarreforma (LEVACK, 2015, p. 27-32). O Concílio de Trento não causou a caça às bruxas, mas criou as condições institucionais para que o</w:t>
      </w:r>
      <w:r>
        <w:t xml:space="preserve"> </w:t>
      </w:r>
      <w:r>
        <w:rPr>
          <w:i/>
          <w:iCs/>
        </w:rPr>
        <w:t xml:space="preserve">Malleus</w:t>
      </w:r>
      <w:r>
        <w:t xml:space="preserve"> </w:t>
      </w:r>
      <w:r>
        <w:t xml:space="preserve">se tornasse texto operacional, e não mera curiosidade.</w:t>
      </w:r>
    </w:p>
    <w:p>
      <w:pPr>
        <w:pStyle w:val="BodyText"/>
      </w:pPr>
      <w:r>
        <w:t xml:space="preserve">O terceiro momento é o de Lyndal Roper, cuja</w:t>
      </w:r>
      <w:r>
        <w:t xml:space="preserve"> </w:t>
      </w:r>
      <w:r>
        <w:rPr>
          <w:i/>
          <w:iCs/>
        </w:rPr>
        <w:t xml:space="preserve">The Trouble with Witches</w:t>
      </w:r>
      <w:r>
        <w:t xml:space="preserve"> </w:t>
      </w:r>
      <w:r>
        <w:t xml:space="preserve">(2013) desloca a questão uma segunda vez. Se Levack perguntou em que contexto o</w:t>
      </w:r>
      <w:r>
        <w:t xml:space="preserve"> </w:t>
      </w:r>
      <w:r>
        <w:rPr>
          <w:i/>
          <w:iCs/>
        </w:rPr>
        <w:t xml:space="preserve">Malleus</w:t>
      </w:r>
      <w:r>
        <w:t xml:space="preserve"> </w:t>
      </w:r>
      <w:r>
        <w:t xml:space="preserve">se tornou operacional, Roper pergunta o que o</w:t>
      </w:r>
      <w:r>
        <w:t xml:space="preserve"> </w:t>
      </w:r>
      <w:r>
        <w:rPr>
          <w:i/>
          <w:iCs/>
        </w:rPr>
        <w:t xml:space="preserve">Malleus</w:t>
      </w:r>
      <w:r>
        <w:t xml:space="preserve"> </w:t>
      </w:r>
      <w:r>
        <w:t xml:space="preserve">faz como texto. A pergunta não é genealógica nem funcional, mas retórica: que efeitos o texto produz no leitor. É nesse ponto que o</w:t>
      </w:r>
      <w:r>
        <w:t xml:space="preserve"> </w:t>
      </w:r>
      <w:r>
        <w:rPr>
          <w:i/>
          <w:iCs/>
        </w:rPr>
        <w:t xml:space="preserve">Malleus</w:t>
      </w:r>
      <w:r>
        <w:t xml:space="preserve"> </w:t>
      </w:r>
      <w:r>
        <w:t xml:space="preserve">deixa de ser manual ou evento e passa a ser performance discursiva, um texto que não descreve a bruxa, mas a produz como figura cognitiva disponível para quem o lê. A virada de Roper é performativa: o</w:t>
      </w:r>
      <w:r>
        <w:t xml:space="preserve"> </w:t>
      </w:r>
      <w:r>
        <w:rPr>
          <w:i/>
          <w:iCs/>
        </w:rPr>
        <w:t xml:space="preserve">Malleus</w:t>
      </w:r>
      <w:r>
        <w:t xml:space="preserve"> </w:t>
      </w:r>
      <w:r>
        <w:t xml:space="preserve">não informa sobre bruxas, fabrica bruxas no ato mesmo de descrevê-las. É essa leitura que o artigo adota, e que permite falar em evento discursivo em vez de manual técnico.</w:t>
      </w:r>
    </w:p>
    <w:bookmarkEnd w:id="11"/>
    <w:bookmarkStart w:id="12" w:name="a-question-six-como-tecnologia-do-gênero"/>
    <w:p>
      <w:pPr>
        <w:pStyle w:val="Heading2"/>
      </w:pPr>
      <w:r>
        <w:t xml:space="preserve">A Question Six como tecnologia do gênero</w:t>
      </w:r>
    </w:p>
    <w:p>
      <w:pPr>
        <w:pStyle w:val="FirstParagraph"/>
      </w:pPr>
      <w:r>
        <w:t xml:space="preserve">A Question Six da Parte I,</w:t>
      </w:r>
      <w:r>
        <w:t xml:space="preserve"> </w:t>
      </w:r>
      <w:r>
        <w:rPr>
          <w:i/>
          <w:iCs/>
        </w:rPr>
        <w:t xml:space="preserve">Cur in tam fragili sexu femineo plures reperiantur maleficae quam in viris</w:t>
      </w:r>
      <w:r>
        <w:t xml:space="preserve">, ou seja, por que se encontram mais feiticeiras no frágil sexo feminino do que entre os homens, é, para Roper (2013), o pivô retórico de todo o tratado. Não se trata de argumento teológico incidente, nem de prefácio cultural à verdadeira matéria do livro. Trata-se do dispositivo central pelo qual o</w:t>
      </w:r>
      <w:r>
        <w:t xml:space="preserve"> </w:t>
      </w:r>
      <w:r>
        <w:rPr>
          <w:i/>
          <w:iCs/>
        </w:rPr>
        <w:t xml:space="preserve">Malleus</w:t>
      </w:r>
      <w:r>
        <w:t xml:space="preserve"> </w:t>
      </w:r>
      <w:r>
        <w:t xml:space="preserve">constrói o corpo feminino como corpo inerentemente suspeito e, portanto, como alvo legítimo da intervenção inquisitorial.</w:t>
      </w:r>
    </w:p>
    <w:p>
      <w:pPr>
        <w:pStyle w:val="BodyText"/>
      </w:pPr>
      <w:r>
        <w:t xml:space="preserve">Roper recusa tanto a leitura preconceituosa, segundo a qual o</w:t>
      </w:r>
      <w:r>
        <w:t xml:space="preserve"> </w:t>
      </w:r>
      <w:r>
        <w:rPr>
          <w:i/>
          <w:iCs/>
        </w:rPr>
        <w:t xml:space="preserve">Malleus</w:t>
      </w:r>
      <w:r>
        <w:t xml:space="preserve"> </w:t>
      </w:r>
      <w:r>
        <w:t xml:space="preserve">culpa as mulheres porque seus autores eram misóginos, quanto a leitura sociológica, segundo a qual o texto apenas reflete a posição subordinada das mulheres na sociedade tardo-medieval. Ambas tratam a Question Six como reflexo, de preconceitos ou de estruturas, quando ela é antes ação: o texto não descreve uma realidade, intervém nela. A Question Six é peça de pedagogia dirigida a inquisidores; ensina-lhes a ler o corpo da mulher, a interpretar seus gestos, sua sexualidade, sua aparência e suas relações sociais como sinais de bruxaria. Não é teologia, é treinamento.</w:t>
      </w:r>
    </w:p>
    <w:p>
      <w:pPr>
        <w:pStyle w:val="BodyText"/>
      </w:pPr>
      <w:r>
        <w:t xml:space="preserve">Quando o</w:t>
      </w:r>
      <w:r>
        <w:t xml:space="preserve"> </w:t>
      </w:r>
      <w:r>
        <w:rPr>
          <w:i/>
          <w:iCs/>
        </w:rPr>
        <w:t xml:space="preserve">Malleus</w:t>
      </w:r>
      <w:r>
        <w:t xml:space="preserve"> </w:t>
      </w:r>
      <w:r>
        <w:t xml:space="preserve">declara que a mulher é mais carnal que o homem e que não é possível que ela aprenda algo sem a inclinação de sua natureza corrupta (KRAMER; SPRENGER, 2009, Parte I, Question VI), não está fazendo uma proposição metafísica sobre a essência feminina, está fornecendo ao inquisidor um modelo interpretativo: diante de uma mulher acusada, leia sua carne como evidência. O corpo feminino, com sua voluptuosidade, sua aparência tida por malfeita, sua inclinação ao prazer, torna-se o índice de uma culpa que precede a investigação. A suspeita não é o resultado do inquérito, é a sua condição de possibilidade. Nesse sentido a Question Six é tecnologia do gênero: não descreve a mulher, fabrica uma mulher legível para o tribunal.</w:t>
      </w:r>
    </w:p>
    <w:p>
      <w:pPr>
        <w:pStyle w:val="BodyText"/>
      </w:pPr>
      <w:r>
        <w:t xml:space="preserve">Silvia Federici oferece outro plano de leitura. Em</w:t>
      </w:r>
      <w:r>
        <w:t xml:space="preserve"> </w:t>
      </w:r>
      <w:r>
        <w:rPr>
          <w:i/>
          <w:iCs/>
        </w:rPr>
        <w:t xml:space="preserve">Calibã e a Bruxa</w:t>
      </w:r>
      <w:r>
        <w:t xml:space="preserve"> </w:t>
      </w:r>
      <w:r>
        <w:t xml:space="preserve">(2017), argumenta, em leitura tão influente quanto debatida, que a caça às bruxas europeia constituiu um genocídio de gênero, no sentido retrospectivo que ela empresta ao termo, operando junto à acumulação primitiva do capitalismo. O corpo feminino foi o território sobre o qual se inscreveu a transição do feudalismo ao capitalismo, e o cercamento das terras comunais encontrou seu correlato no cercamento dos corpos femininos pela fogueira. Lida pela lente de Federici, a Question Six não é apenas pedagogia misógina, é o discurso fundacional de um regime de expropriação que se alimenta do corpo feminino como matéria-prima. O conceito permite articular dois planos que a leitura estritamente jurídica deixa separados, o do discurso doutrinário e o da violência estrutural. A fogueira não é consequência lógica da Question Six, mas a Question Six é a condição de inteligibilidade da fogueira: sem o discurso que constrói o corpo feminino como corpo suspeito, a fogueira seria mera violência arbitrária; com ele, torna-se punição legítima, ato de justiça divina e humana contra uma natureza que, por sua própria constituição, seria vulnerável ao diabo.</w:t>
      </w:r>
    </w:p>
    <w:bookmarkEnd w:id="12"/>
    <w:bookmarkStart w:id="13" w:name="Xfb4445fd7406b54239303b221c4128ebc8a48df"/>
    <w:p>
      <w:pPr>
        <w:pStyle w:val="Heading2"/>
      </w:pPr>
      <w:r>
        <w:t xml:space="preserve">A circulação ibérica: filtros e readaptações</w:t>
      </w:r>
    </w:p>
    <w:p>
      <w:pPr>
        <w:pStyle w:val="FirstParagraph"/>
      </w:pPr>
      <w:r>
        <w:t xml:space="preserve">O</w:t>
      </w:r>
      <w:r>
        <w:t xml:space="preserve"> </w:t>
      </w:r>
      <w:r>
        <w:rPr>
          <w:i/>
          <w:iCs/>
        </w:rPr>
        <w:t xml:space="preserve">Malleus</w:t>
      </w:r>
      <w:r>
        <w:t xml:space="preserve"> </w:t>
      </w:r>
      <w:r>
        <w:t xml:space="preserve">não chega à Península Ibérica intacto. É filtrado por uma tradição jurídica que prioriza o</w:t>
      </w:r>
      <w:r>
        <w:t xml:space="preserve"> </w:t>
      </w:r>
      <w:r>
        <w:rPr>
          <w:i/>
          <w:iCs/>
        </w:rPr>
        <w:t xml:space="preserve">maleficium</w:t>
      </w:r>
      <w:r>
        <w:t xml:space="preserve"> </w:t>
      </w:r>
      <w:r>
        <w:t xml:space="preserve">específico, o dano e a confissão, e não o sabá demonológico coletivo do norte. A circulação não se fez por difusão direta do texto latino original, mas por uma cadeia de mediações textuais, institucionais e jurídicas. O</w:t>
      </w:r>
      <w:r>
        <w:t xml:space="preserve"> </w:t>
      </w:r>
      <w:r>
        <w:rPr>
          <w:i/>
          <w:iCs/>
        </w:rPr>
        <w:t xml:space="preserve">Directorium Inquisitorum</w:t>
      </w:r>
      <w:r>
        <w:t xml:space="preserve"> </w:t>
      </w:r>
      <w:r>
        <w:t xml:space="preserve">de Nicolau Eymerich, composto por volta de 1376 e reeditado com amplas adições por Francisco Peña em 1578, constitui a matriz canônica do procedimento inquisitorial, anterior ao</w:t>
      </w:r>
      <w:r>
        <w:t xml:space="preserve"> </w:t>
      </w:r>
      <w:r>
        <w:rPr>
          <w:i/>
          <w:iCs/>
        </w:rPr>
        <w:t xml:space="preserve">Malleus</w:t>
      </w:r>
      <w:r>
        <w:t xml:space="preserve"> </w:t>
      </w:r>
      <w:r>
        <w:t xml:space="preserve">em mais de um século. O</w:t>
      </w:r>
      <w:r>
        <w:t xml:space="preserve"> </w:t>
      </w:r>
      <w:r>
        <w:rPr>
          <w:i/>
          <w:iCs/>
        </w:rPr>
        <w:t xml:space="preserve">Directorium</w:t>
      </w:r>
      <w:r>
        <w:t xml:space="preserve"> </w:t>
      </w:r>
      <w:r>
        <w:t xml:space="preserve">não é um tratado sobre bruxaria, é um manual sobre como inquirir. Quando o</w:t>
      </w:r>
      <w:r>
        <w:t xml:space="preserve"> </w:t>
      </w:r>
      <w:r>
        <w:rPr>
          <w:i/>
          <w:iCs/>
        </w:rPr>
        <w:t xml:space="preserve">Malleus</w:t>
      </w:r>
      <w:r>
        <w:t xml:space="preserve"> </w:t>
      </w:r>
      <w:r>
        <w:t xml:space="preserve">chega à Península, não substitui o</w:t>
      </w:r>
      <w:r>
        <w:t xml:space="preserve"> </w:t>
      </w:r>
      <w:r>
        <w:rPr>
          <w:i/>
          <w:iCs/>
        </w:rPr>
        <w:t xml:space="preserve">Directorium</w:t>
      </w:r>
      <w:r>
        <w:t xml:space="preserve">, sobrepõe-se a ele como camada complementar: o</w:t>
      </w:r>
      <w:r>
        <w:t xml:space="preserve"> </w:t>
      </w:r>
      <w:r>
        <w:rPr>
          <w:i/>
          <w:iCs/>
        </w:rPr>
        <w:t xml:space="preserve">Directorium</w:t>
      </w:r>
      <w:r>
        <w:t xml:space="preserve"> </w:t>
      </w:r>
      <w:r>
        <w:t xml:space="preserve">fornece a arquitetura processual, o</w:t>
      </w:r>
      <w:r>
        <w:t xml:space="preserve"> </w:t>
      </w:r>
      <w:r>
        <w:rPr>
          <w:i/>
          <w:iCs/>
        </w:rPr>
        <w:t xml:space="preserve">Malleus</w:t>
      </w:r>
      <w:r>
        <w:t xml:space="preserve"> </w:t>
      </w:r>
      <w:r>
        <w:t xml:space="preserve">fornece a matéria demonológica; um diz como investigar, o outro diz o que investigar. A esses se soma, em 1608, o</w:t>
      </w:r>
      <w:r>
        <w:t xml:space="preserve"> </w:t>
      </w:r>
      <w:r>
        <w:rPr>
          <w:i/>
          <w:iCs/>
        </w:rPr>
        <w:t xml:space="preserve">Compendium Maleficarum</w:t>
      </w:r>
      <w:r>
        <w:t xml:space="preserve"> </w:t>
      </w:r>
      <w:r>
        <w:t xml:space="preserve">de Francesco Maria Guazzo, intermediário editorial que sintetiza o conteúdo demonológico de fontes anteriores e o adapta às exigências da Contrarreforma, eliminando a retórica misógina mais densa não por humanismo, mas por eficiência burocrática. No caso português, o mecanismo de filtragem mais significativo é o</w:t>
      </w:r>
      <w:r>
        <w:t xml:space="preserve"> </w:t>
      </w:r>
      <w:r>
        <w:rPr>
          <w:i/>
          <w:iCs/>
        </w:rPr>
        <w:t xml:space="preserve">Índice de Livros Proibidos</w:t>
      </w:r>
      <w:r>
        <w:t xml:space="preserve">, cuja primeira edição é de 1551: o</w:t>
      </w:r>
      <w:r>
        <w:t xml:space="preserve"> </w:t>
      </w:r>
      <w:r>
        <w:rPr>
          <w:i/>
          <w:iCs/>
        </w:rPr>
        <w:t xml:space="preserve">Malleus</w:t>
      </w:r>
      <w:r>
        <w:t xml:space="preserve"> </w:t>
      </w:r>
      <w:r>
        <w:t xml:space="preserve">não aparece listado nominalmente, mas circulava em cópias manuscritas e edições parciais através de redes eclesiásticas e manuais de inquisidores. A circulação ibérica do livro é, portanto, subterrânea, feita não pelo comércio livreiro, mas por compilações que absorviam seus conteúdos sem citá-lo.</w:t>
      </w:r>
    </w:p>
    <w:p>
      <w:pPr>
        <w:pStyle w:val="BodyText"/>
      </w:pPr>
      <w:r>
        <w:t xml:space="preserve">A razão pela qual a tradição ibérica filtrou o</w:t>
      </w:r>
      <w:r>
        <w:t xml:space="preserve"> </w:t>
      </w:r>
      <w:r>
        <w:rPr>
          <w:i/>
          <w:iCs/>
        </w:rPr>
        <w:t xml:space="preserve">Malleus</w:t>
      </w:r>
      <w:r>
        <w:t xml:space="preserve"> </w:t>
      </w:r>
      <w:r>
        <w:t xml:space="preserve">privilegiando o</w:t>
      </w:r>
      <w:r>
        <w:t xml:space="preserve"> </w:t>
      </w:r>
      <w:r>
        <w:rPr>
          <w:i/>
          <w:iCs/>
        </w:rPr>
        <w:t xml:space="preserve">maleficium</w:t>
      </w:r>
      <w:r>
        <w:t xml:space="preserve"> </w:t>
      </w:r>
      <w:r>
        <w:t xml:space="preserve">em detrimento do</w:t>
      </w:r>
      <w:r>
        <w:t xml:space="preserve"> </w:t>
      </w:r>
      <w:r>
        <w:rPr>
          <w:i/>
          <w:iCs/>
        </w:rPr>
        <w:t xml:space="preserve">sabbat</w:t>
      </w:r>
      <w:r>
        <w:t xml:space="preserve"> </w:t>
      </w:r>
      <w:r>
        <w:t xml:space="preserve">não é apenas doutrinária, é estrutural. António Manuel Hespanha demonstrou que o direito do Antigo Regime não operava como ordem unitária de comando estatal, mas como ordem plural corporativa, uma constelação de corpos sociais, Igreja, nobreza, corporações, municípios, Inquisição, cada qual dotado de jurisdição própria, coexistindo no mesmo espaço sem que nenhuma instância detivesse o monopólio da produção normativa (HESPANHA, 2018, p. 159-175). Nesse arranjo, o</w:t>
      </w:r>
      <w:r>
        <w:t xml:space="preserve"> </w:t>
      </w:r>
      <w:r>
        <w:rPr>
          <w:i/>
          <w:iCs/>
        </w:rPr>
        <w:t xml:space="preserve">ius commune</w:t>
      </w:r>
      <w:r>
        <w:t xml:space="preserve"> </w:t>
      </w:r>
      <w:r>
        <w:t xml:space="preserve">não se impunha por derrogação automática, era filtrado pelas gramáticas jurídicas locais. Esse pluralismo esclarece por que a Inquisição portuguesa priorizou o dano concreto sobre a assembleia demonológica coletiva. O</w:t>
      </w:r>
      <w:r>
        <w:t xml:space="preserve"> </w:t>
      </w:r>
      <w:r>
        <w:rPr>
          <w:i/>
          <w:iCs/>
        </w:rPr>
        <w:t xml:space="preserve">sabbat</w:t>
      </w:r>
      <w:r>
        <w:t xml:space="preserve"> </w:t>
      </w:r>
      <w:r>
        <w:t xml:space="preserve">exigia uma cadeia probatória frágil, feita de testemunhos, delações em cadeia e confissões sob tortura sobre encontros noturnos, enquanto o</w:t>
      </w:r>
      <w:r>
        <w:t xml:space="preserve"> </w:t>
      </w:r>
      <w:r>
        <w:rPr>
          <w:i/>
          <w:iCs/>
        </w:rPr>
        <w:t xml:space="preserve">maleficium</w:t>
      </w:r>
      <w:r>
        <w:t xml:space="preserve"> </w:t>
      </w:r>
      <w:r>
        <w:t xml:space="preserve">produzia dano tangível, colheitas arruinadas, crianças doentes, mortes súbitas. Num ordenamento corporativo-pluralista em que a confissão era a</w:t>
      </w:r>
      <w:r>
        <w:t xml:space="preserve"> </w:t>
      </w:r>
      <w:r>
        <w:rPr>
          <w:i/>
          <w:iCs/>
        </w:rPr>
        <w:t xml:space="preserve">probatio probatissima</w:t>
      </w:r>
      <w:r>
        <w:t xml:space="preserve">, o</w:t>
      </w:r>
      <w:r>
        <w:t xml:space="preserve"> </w:t>
      </w:r>
      <w:r>
        <w:rPr>
          <w:i/>
          <w:iCs/>
        </w:rPr>
        <w:t xml:space="preserve">maleficium</w:t>
      </w:r>
      <w:r>
        <w:t xml:space="preserve"> </w:t>
      </w:r>
      <w:r>
        <w:t xml:space="preserve">oferecia um fato verificável capaz de sustentar o interrogatório.</w:t>
      </w:r>
    </w:p>
    <w:p>
      <w:pPr>
        <w:pStyle w:val="BodyText"/>
      </w:pPr>
      <w:r>
        <w:t xml:space="preserve">A isso se soma o que Hespanha conceituou como economia da graça, o dispositivo régio e corporativo de dominação baseado não na imposição abstrata da lei, mas na distribuição discricionária de mercês, perdões e comutações (HESPANHA, 2015, p. 117-142). Numa cultura jurídica em que a graça, e não a lei geral, era o principal operador de disciplina social, o foco no</w:t>
      </w:r>
      <w:r>
        <w:t xml:space="preserve"> </w:t>
      </w:r>
      <w:r>
        <w:rPr>
          <w:i/>
          <w:iCs/>
        </w:rPr>
        <w:t xml:space="preserve">maleficium</w:t>
      </w:r>
      <w:r>
        <w:t xml:space="preserve"> </w:t>
      </w:r>
      <w:r>
        <w:t xml:space="preserve">permitia à Inquisição dosar a resposta penal conforme a gravidade do dano, a qualidade da confissão e a posição corporativa da ré. A bruxa que confessava o dano e se reconciliava recebia a graça; a que persistia na negativa era relaxada ao braço secular. O modelo do</w:t>
      </w:r>
      <w:r>
        <w:t xml:space="preserve"> </w:t>
      </w:r>
      <w:r>
        <w:rPr>
          <w:i/>
          <w:iCs/>
        </w:rPr>
        <w:t xml:space="preserve">sabbat</w:t>
      </w:r>
      <w:r>
        <w:t xml:space="preserve">, ao contrário, implicava apostasia coletiva irreversível, e para quem renunciava a Deus em assembleia demonológica não havia graça possível. Ao filtrar o</w:t>
      </w:r>
      <w:r>
        <w:t xml:space="preserve"> </w:t>
      </w:r>
      <w:r>
        <w:rPr>
          <w:i/>
          <w:iCs/>
        </w:rPr>
        <w:t xml:space="preserve">Malleus</w:t>
      </w:r>
      <w:r>
        <w:t xml:space="preserve"> </w:t>
      </w:r>
      <w:r>
        <w:t xml:space="preserve">pela sua cultura jurídica corporativa, a Inquisição portuguesa preservou o espaço da graça, e com ele a eficácia disciplinar de um tribunal que precisava mais de penitentes reconciliados do que de hereges queimados.</w:t>
      </w:r>
    </w:p>
    <w:p>
      <w:pPr>
        <w:pStyle w:val="BodyText"/>
      </w:pPr>
      <w:r>
        <w:t xml:space="preserve">Há um corolário que a historiografia recente tornou incontornável e que importa fixar desde já, porque sustenta o título deste trabalho. A Inquisição ibérica foi, no tocante à feitiçaria, marcadamente cética. Portugal, na fórmula consagrada por José Pedro Paiva, foi um país sem caça às bruxas: o Santo Ofício português concentrou seu rigor no criptojudaísmo dos cristãos-novos e tratou o malefício como delito menor, punido com brandura relativa quando comparado ao fogo que consumia as acusadas da Europa central (PAIVA, 1997; BETHENCOURT, 1994; VAINFAS, 1989; MONTER, 2013). O contraste com a vizinha Espanha confirma a regra mais do que a contradiz. Uma geração depois do processo de Cajada, o tribunal de Logroño, na Navarra de 1609 a 1614, conduziu a maior série de processos por bruxaria da história espanhola, e ainda assim o inquisidor Alonso de Salazar Frías investigou os casos com ceticismo empírico, inquirindo 1.384 crianças e 420 adultos, entrevistando as acusadas e examinando os locais dos supostos sabás sem encontrar nenhuma evidência material, concluindo no relatório à Suprema de 1614 que não havia bruxas nem enfeitiçados até que se começasse a falar deles; as</w:t>
      </w:r>
      <w:r>
        <w:t xml:space="preserve"> </w:t>
      </w:r>
      <w:r>
        <w:rPr>
          <w:i/>
          <w:iCs/>
        </w:rPr>
        <w:t xml:space="preserve">Instrucciones</w:t>
      </w:r>
      <w:r>
        <w:t xml:space="preserve"> </w:t>
      </w:r>
      <w:r>
        <w:t xml:space="preserve">de 1614 incorporaram esse ceticismo (HENNINGSEN, 1980). O</w:t>
      </w:r>
      <w:r>
        <w:t xml:space="preserve"> </w:t>
      </w:r>
      <w:r>
        <w:rPr>
          <w:i/>
          <w:iCs/>
        </w:rPr>
        <w:t xml:space="preserve">Malleus</w:t>
      </w:r>
      <w:r>
        <w:t xml:space="preserve"> </w:t>
      </w:r>
      <w:r>
        <w:t xml:space="preserve">é o mesmo nos dois reinos, a estrutura inquisitorial é a mesma, a cronologia é a mesma. O que muda é o regime de leitura, a gramática institucional que lê o texto. A suspeição de bruxaria não viaja como doutrina estável, recompõe-se em cada nó institucional. E o ponto decisivo, que as seções seguintes desenvolvem, é que o ceticismo não suspende a punição: o tribunal português duvida e, ainda assim, pune.</w:t>
      </w:r>
    </w:p>
    <w:bookmarkEnd w:id="13"/>
    <w:bookmarkStart w:id="14" w:name="a-posição-do-artigo"/>
    <w:p>
      <w:pPr>
        <w:pStyle w:val="Heading2"/>
      </w:pPr>
      <w:r>
        <w:t xml:space="preserve">A posição do artigo</w:t>
      </w:r>
    </w:p>
    <w:p>
      <w:pPr>
        <w:pStyle w:val="FirstParagraph"/>
      </w:pPr>
      <w:r>
        <w:t xml:space="preserve">Este artigo lê o</w:t>
      </w:r>
      <w:r>
        <w:t xml:space="preserve"> </w:t>
      </w:r>
      <w:r>
        <w:rPr>
          <w:i/>
          <w:iCs/>
        </w:rPr>
        <w:t xml:space="preserve">Malleus</w:t>
      </w:r>
      <w:r>
        <w:t xml:space="preserve"> </w:t>
      </w:r>
      <w:r>
        <w:t xml:space="preserve">pelo ângulo retórico de Roper, contextualiza-o na formação do Estado com Levack e Behringer (LEVACK, 2015; BEHRINGER, 2004), e articula-o com o caso Cajada como pivô documental, sem o tomar como fonte primária aceita. Se o livro é um artefato que ensina inquisidores a ler o corpo feminino como corpo de bruxa, a pergunta seguinte é como essa leitura se traduz em procedimento, que mecanismos permitem que um texto impresso em Speyer em 1487 se converta num interrogatório inquisitorial na Bahia no final do século XVI.</w:t>
      </w:r>
    </w:p>
    <w:bookmarkEnd w:id="14"/>
    <w:bookmarkEnd w:id="15"/>
    <w:bookmarkStart w:id="20" w:name="X12fe091b6c0f0a3a6039f3cad5d3d7b43f144fd"/>
    <w:p>
      <w:pPr>
        <w:pStyle w:val="Heading1"/>
      </w:pPr>
      <w:r>
        <w:t xml:space="preserve">Seção 2. Da doutrina à prática: a tecnologia do corpo confitente</w:t>
      </w:r>
    </w:p>
    <w:p>
      <w:pPr>
        <w:pStyle w:val="FirstParagraph"/>
      </w:pPr>
      <w:r>
        <w:t xml:space="preserve">Se o</w:t>
      </w:r>
      <w:r>
        <w:t xml:space="preserve"> </w:t>
      </w:r>
      <w:r>
        <w:rPr>
          <w:i/>
          <w:iCs/>
        </w:rPr>
        <w:t xml:space="preserve">Malleus</w:t>
      </w:r>
      <w:r>
        <w:t xml:space="preserve"> </w:t>
      </w:r>
      <w:r>
        <w:t xml:space="preserve">é o artefato doutrinário, a Inquisição portuguesa é a instituição operadora que converte a suspeição textual em prática penal. A conversão não é automática. Há mediações, o manual de inquisidores, o auto de fé, o segredo de justiça, a tortura, que transformam a tipologia doutrinária em prática processual.</w:t>
      </w:r>
    </w:p>
    <w:bookmarkStart w:id="16" w:name="o-manual-de-inquisidor-como-mediação"/>
    <w:p>
      <w:pPr>
        <w:pStyle w:val="Heading2"/>
      </w:pPr>
      <w:r>
        <w:t xml:space="preserve">O manual de inquisidor como mediação</w:t>
      </w:r>
    </w:p>
    <w:p>
      <w:pPr>
        <w:pStyle w:val="FirstParagraph"/>
      </w:pPr>
      <w:r>
        <w:t xml:space="preserve">O</w:t>
      </w:r>
      <w:r>
        <w:t xml:space="preserve"> </w:t>
      </w:r>
      <w:r>
        <w:rPr>
          <w:i/>
          <w:iCs/>
        </w:rPr>
        <w:t xml:space="preserve">Directorium Inquisitorum</w:t>
      </w:r>
      <w:r>
        <w:t xml:space="preserve"> </w:t>
      </w:r>
      <w:r>
        <w:t xml:space="preserve">de Eymerich, ampliado por Peña, é a matriz canônica do procedimento que precede o</w:t>
      </w:r>
      <w:r>
        <w:t xml:space="preserve"> </w:t>
      </w:r>
      <w:r>
        <w:rPr>
          <w:i/>
          <w:iCs/>
        </w:rPr>
        <w:t xml:space="preserve">Malleus</w:t>
      </w:r>
      <w:r>
        <w:t xml:space="preserve"> </w:t>
      </w:r>
      <w:r>
        <w:t xml:space="preserve">e organiza a sua recepção prática. Salazar Frías e Valderrama não devem ser lidos como meras interfaces do tratado de 1487, mas como parte de uma tradição procedimental mais longa, romano-canônica e ibérica, na qual o</w:t>
      </w:r>
      <w:r>
        <w:t xml:space="preserve"> </w:t>
      </w:r>
      <w:r>
        <w:rPr>
          <w:i/>
          <w:iCs/>
        </w:rPr>
        <w:t xml:space="preserve">Malleus</w:t>
      </w:r>
      <w:r>
        <w:t xml:space="preserve"> </w:t>
      </w:r>
      <w:r>
        <w:t xml:space="preserve">fornece o repertório demonológico e generificado, enquanto o</w:t>
      </w:r>
      <w:r>
        <w:t xml:space="preserve"> </w:t>
      </w:r>
      <w:r>
        <w:rPr>
          <w:i/>
          <w:iCs/>
        </w:rPr>
        <w:t xml:space="preserve">Directorium</w:t>
      </w:r>
      <w:r>
        <w:t xml:space="preserve"> </w:t>
      </w:r>
      <w:r>
        <w:t xml:space="preserve">fornece a gramática técnica do inquérito. Não há aplicação direta, há filtro, seleção, tradução. E esse filtro, como mostrou a seção anterior, varia de reino para reino: onde a Espanha produziu um Salazar Frías que refutou o discurso doutrinário pelo escrutínio empírico, Portugal consolidou, nos sucessivos Regimentos do Santo Ofício, de 1552 a 1613, um procedimento que manteve a tortura regulada como via ordinária de prova. A diferença não está no texto, está na gramática institucional que o lê.</w:t>
      </w:r>
    </w:p>
    <w:bookmarkEnd w:id="16"/>
    <w:bookmarkStart w:id="17" w:name="segredo-tortura-confissão"/>
    <w:p>
      <w:pPr>
        <w:pStyle w:val="Heading2"/>
      </w:pPr>
      <w:r>
        <w:t xml:space="preserve">Segredo, tortura, confissão</w:t>
      </w:r>
    </w:p>
    <w:p>
      <w:pPr>
        <w:pStyle w:val="FirstParagraph"/>
      </w:pPr>
      <w:r>
        <w:t xml:space="preserve">O corpo da ré torna-se o arquivo da verdade inquisitorial. O</w:t>
      </w:r>
      <w:r>
        <w:t xml:space="preserve"> </w:t>
      </w:r>
      <w:r>
        <w:rPr>
          <w:i/>
          <w:iCs/>
        </w:rPr>
        <w:t xml:space="preserve">Malleus</w:t>
      </w:r>
      <w:r>
        <w:t xml:space="preserve"> </w:t>
      </w:r>
      <w:r>
        <w:t xml:space="preserve">é explícito sobre a centralidade da confissão, exigindo que uma bruxa não seja condenada à morte a menos que seja convencida por sua própria confissão (KRAMER; SPRENGER, 2009, Parte III, Question XIII). Mas a confissão não é voluntária, é extraída. O segredo de justiça isola a ré, a tortura gradual e regulada produz a verdade, e a confissão escrita, assinada e lida em auto de fé fecha o circuito. Roper (2013) mostra que a tortura não é extração de verdade, mas produção de sujeito confessante. O próprio</w:t>
      </w:r>
      <w:r>
        <w:t xml:space="preserve"> </w:t>
      </w:r>
      <w:r>
        <w:rPr>
          <w:i/>
          <w:iCs/>
        </w:rPr>
        <w:t xml:space="preserve">Malleus</w:t>
      </w:r>
      <w:r>
        <w:t xml:space="preserve"> </w:t>
      </w:r>
      <w:r>
        <w:t xml:space="preserve">antecipa a objeção sobre a bruxa que resiste à tortura com uma resposta que revela a lógica circular do procedimento: a menos que Deus, por intermédio de um santo anjo, compila o diabo a retirar a sua ajuda, ela será tão insensível às dores que antes será desmembrada membro por membro do que confessará qualquer verdade (KRAMER; SPRENGER, 2009, Parte III, Question XIII). A resistência à tortura não prova inocência, prova intervenção demoníaca. A Question XV desce aos detalhes operacionais, recomendando ao juiz variar os métodos assim como o mesmo remédio não se aplica a todos os membros, tomando a incapacidade de chorar sob tortura como sinal certíssimo de bruxaria e mandando raspar o corpo de cada parte. Cada gesto é ritual, cada ritual é tecnologia de produção da verdade.</w:t>
      </w:r>
    </w:p>
    <w:p>
      <w:pPr>
        <w:pStyle w:val="BodyText"/>
      </w:pPr>
      <w:r>
        <w:t xml:space="preserve">É aqui que a tortura revela a sua função mais profunda: ela não extrai verdade, produz sujeito. Quando Cajada confessa, perante a mesa do visitador na Bahia, práticas que em Estremoz seriam apenas serviços de vizinhança, amansar maridos, curar doentes, adivinhar fortuna, ela não está revelando um segredo, está reconhecendo uma identidade que o tribunal fabricou. A diferença entre benzedeira, categoria social local, e feiticeira, categoria jurídica inquisitorial, não está na prática, está no regime de linguagem, e a tortura é o dispositivo que força a transição de um regime para o outro.</w:t>
      </w:r>
    </w:p>
    <w:bookmarkEnd w:id="17"/>
    <w:bookmarkStart w:id="18" w:name="X7a95631b0731d10a0a12e53e3d87346e42e8c1e"/>
    <w:p>
      <w:pPr>
        <w:pStyle w:val="Heading2"/>
      </w:pPr>
      <w:r>
        <w:t xml:space="preserve">O segredo, a fabricação da verdade e o auto de fé</w:t>
      </w:r>
    </w:p>
    <w:p>
      <w:pPr>
        <w:pStyle w:val="FirstParagraph"/>
      </w:pPr>
      <w:r>
        <w:t xml:space="preserve">O segredo não é apenas sigilo processual, é condição de produção da verdade inquisitorial. Ao isolar a ré, impede a contaminação da verdade por versões externas; ao controlar o acesso ao processo, a Inquisição controla a narrativa oficial. Mas o segredo não se encerra no gabinete do inquisidor, desdobra-se num gesto público de magnitude teatral, o auto de fé, que transforma a verdade fabricada no sigilo em verdade exibida em praça pública. Bartolomé Bennassar (1979) descreve o auto de fé como rito de passagem coletivo em que a comunidade era simultaneamente espectadora e participante de um drama de purificação social, e Richard Kagan (1995) vai além, lendo-o como ato de comunicação política em que o tribunal exibe a sua competência jurisdicional perante a comunidade e, ao fazê-lo, reafirma a autoridade jurisdicional da Coroa. No contexto português esse gesto assume dimensão atlântica: os autos lisboetas, realizados no Terreiro do Paço, eram eventos de enorme magnitude, mas as visitações ao Brasil de 1591 a 1593 e de 1618 a 1620 realizavam versões reduzidas em Salvador, exibindo réus vestidos com o</w:t>
      </w:r>
      <w:r>
        <w:t xml:space="preserve"> </w:t>
      </w:r>
      <w:r>
        <w:rPr>
          <w:i/>
          <w:iCs/>
        </w:rPr>
        <w:t xml:space="preserve">sambenito</w:t>
      </w:r>
      <w:r>
        <w:t xml:space="preserve"> </w:t>
      </w:r>
      <w:r>
        <w:t xml:space="preserve">diante de comunidades que eram, ao mesmo tempo, público e alvo da pedagogia punitiva. O auto de fé colonial não era réplica metropolitana, era ato de afirmação jurisdicional imperial que tornava visível, em território colonial, a presença do poder inquisitorial. A noção de poder espetacular (MARTYN; PAUMEN; BOUSMAR; ROUSSEAUX, 2018) ilumina a operação: não mera ostentação de força, mas tecnologia de governança em que a visibilidade do castigo importa mais que o castigo em si. Mantendo o segredo durante o processo e publicando-o no auto de fé, a Inquisição resolve uma contradição estrutural, a de produzir verdade sem testemunhas e, ao mesmo tempo, legitimá-la perante a comunidade.</w:t>
      </w:r>
    </w:p>
    <w:bookmarkEnd w:id="18"/>
    <w:bookmarkStart w:id="19" w:name="X2ac6f63c80c026369eecd3a9c24c9754d6765e4"/>
    <w:p>
      <w:pPr>
        <w:pStyle w:val="Heading2"/>
      </w:pPr>
      <w:r>
        <w:t xml:space="preserve">A regulação da tortura e o substrato cognitivo do Malleus</w:t>
      </w:r>
    </w:p>
    <w:p>
      <w:pPr>
        <w:pStyle w:val="FirstParagraph"/>
      </w:pPr>
      <w:r>
        <w:t xml:space="preserve">A regulação da tortura não é humanismo, é condição de validade jurídica da confissão. A tortura regulada é tortura mais eficaz, porque é tortura cujo resultado é juridicamente acolhido como prova. Mario Sbriccoli, em</w:t>
      </w:r>
      <w:r>
        <w:t xml:space="preserve"> </w:t>
      </w:r>
      <w:r>
        <w:rPr>
          <w:i/>
          <w:iCs/>
        </w:rPr>
        <w:t xml:space="preserve">Tormentum idest torquere mentem</w:t>
      </w:r>
      <w:r>
        <w:t xml:space="preserve"> </w:t>
      </w:r>
      <w:r>
        <w:t xml:space="preserve">(2011b), oferece a formulação mais lúcida dessa distinção. A expressão latina, glosada como tormento, isto é, torcer a mente, indica que a tortura não visa apenas o corpo, visa a mente do réu: o corpo é o instrumento, a mente é o alvo, e o que se busca não é a dor em si, mas o momento em que a mente submetida reconhece a narrativa que o processo já construiu. A confissão, nesse quadro, não é fala espontânea nem mero relato arrancado do corpo, é o ponto de convergência entre a narrativa institucional e a subjetividade do réu. Sbriccoli insiste que essa racionalidade pertence ao paradigma romano-canônico do inquérito, em que a verdade não é descoberta por evidências externas, mas construída por um juiz que combina indícios, testemunhos e confissão numa narrativa unitária. A regulação não humaniza a tortura, racionaliza-a, e é essa racionalização que confere validade jurídica ao resultado.</w:t>
      </w:r>
    </w:p>
    <w:p>
      <w:pPr>
        <w:pStyle w:val="BodyText"/>
      </w:pPr>
      <w:r>
        <w:t xml:space="preserve">No caso português, a regulação da tortura assenta nos Regimentos do Santo Ofício. O processo de Cajada corre sob o</w:t>
      </w:r>
      <w:r>
        <w:t xml:space="preserve"> </w:t>
      </w:r>
      <w:r>
        <w:rPr>
          <w:i/>
          <w:iCs/>
        </w:rPr>
        <w:t xml:space="preserve">Regimento</w:t>
      </w:r>
      <w:r>
        <w:t xml:space="preserve"> </w:t>
      </w:r>
      <w:r>
        <w:t xml:space="preserve">de 1552, então vigente; é o</w:t>
      </w:r>
      <w:r>
        <w:t xml:space="preserve"> </w:t>
      </w:r>
      <w:r>
        <w:rPr>
          <w:i/>
          <w:iCs/>
        </w:rPr>
        <w:t xml:space="preserve">Regimento</w:t>
      </w:r>
      <w:r>
        <w:t xml:space="preserve"> </w:t>
      </w:r>
      <w:r>
        <w:t xml:space="preserve">de 1613, posterior ao caso, que viria a detalhar com mais minúcia o procedimento, exigindo indícios veementes de culpa, a presença de notário, cirurgião e testemunhas qualificadas, o limite de três sessões com intervalos de recuperação e a interrupção em caso de risco de morte. Essa regulamentação é, ela mesma, tecnologia de poder: o Regimento não restringe a tortura para proteger o réu, restringe-a para proteger a validade da confissão, e a tortura regulada é, paradoxalmente, a mais perigosa, porque produz confissões que resistem à contestação jurídica. O interrogatório preliminar à tortura buscava práticas concretas de</w:t>
      </w:r>
      <w:r>
        <w:t xml:space="preserve"> </w:t>
      </w:r>
      <w:r>
        <w:rPr>
          <w:i/>
          <w:iCs/>
        </w:rPr>
        <w:t xml:space="preserve">maleficium</w:t>
      </w:r>
      <w:r>
        <w:t xml:space="preserve">, ervas, ossos, unguentos, encontros noturnos, pactos verbais. A gramática demonológica que o</w:t>
      </w:r>
      <w:r>
        <w:t xml:space="preserve"> </w:t>
      </w:r>
      <w:r>
        <w:rPr>
          <w:i/>
          <w:iCs/>
        </w:rPr>
        <w:t xml:space="preserve">Malleus</w:t>
      </w:r>
      <w:r>
        <w:t xml:space="preserve"> </w:t>
      </w:r>
      <w:r>
        <w:t xml:space="preserve">sistematiza e difunde, que categoriza a bruxaria em termos de</w:t>
      </w:r>
      <w:r>
        <w:t xml:space="preserve"> </w:t>
      </w:r>
      <w:r>
        <w:rPr>
          <w:i/>
          <w:iCs/>
        </w:rPr>
        <w:t xml:space="preserve">maleficium</w:t>
      </w:r>
      <w:r>
        <w:t xml:space="preserve">,</w:t>
      </w:r>
      <w:r>
        <w:t xml:space="preserve"> </w:t>
      </w:r>
      <w:r>
        <w:rPr>
          <w:i/>
          <w:iCs/>
        </w:rPr>
        <w:t xml:space="preserve">pactum</w:t>
      </w:r>
      <w:r>
        <w:t xml:space="preserve"> </w:t>
      </w:r>
      <w:r>
        <w:t xml:space="preserve">e</w:t>
      </w:r>
      <w:r>
        <w:t xml:space="preserve"> </w:t>
      </w:r>
      <w:r>
        <w:rPr>
          <w:i/>
          <w:iCs/>
        </w:rPr>
        <w:t xml:space="preserve">sabbat</w:t>
      </w:r>
      <w:r>
        <w:t xml:space="preserve"> </w:t>
      </w:r>
      <w:r>
        <w:t xml:space="preserve">e é comum à tradição inquisitorial, é incorporada como matéria desse interrogatório. O</w:t>
      </w:r>
      <w:r>
        <w:t xml:space="preserve"> </w:t>
      </w:r>
      <w:r>
        <w:rPr>
          <w:i/>
          <w:iCs/>
        </w:rPr>
        <w:t xml:space="preserve">Malleus</w:t>
      </w:r>
      <w:r>
        <w:t xml:space="preserve"> </w:t>
      </w:r>
      <w:r>
        <w:t xml:space="preserve">não é citado nominalmente nesses Regimentos, mas opera como subtexto, a gramática demonológica que organiza o que se pergunta e, portanto, o que se pode descobrir. A cadeia não é linear, é circular: a doutrina informa o interrogatório, que produz os indícios, que autorizam a tortura, que produz a confissão, que confirma a doutrina. A Inquisição portuguesa não aplicou o</w:t>
      </w:r>
      <w:r>
        <w:t xml:space="preserve"> </w:t>
      </w:r>
      <w:r>
        <w:rPr>
          <w:i/>
          <w:iCs/>
        </w:rPr>
        <w:t xml:space="preserve">Malleus</w:t>
      </w:r>
      <w:r>
        <w:t xml:space="preserve"> </w:t>
      </w:r>
      <w:r>
        <w:t xml:space="preserve">como manual, incorporou-o como gramática, e é essa circularidade que o artigo chama de tecnologia do corpo confitente, não um instrumento isolado, mas um sistema em que doutrina, procedimento, tortura e confissão se reforçam mutuamente.</w:t>
      </w:r>
    </w:p>
    <w:bookmarkEnd w:id="19"/>
    <w:bookmarkEnd w:id="20"/>
    <w:bookmarkStart w:id="25" w:name="X928a08b5a4995786aa964a330e61d95cda04aa7"/>
    <w:p>
      <w:pPr>
        <w:pStyle w:val="Heading1"/>
      </w:pPr>
      <w:r>
        <w:t xml:space="preserve">Seção 3. Maria Gonçalves Cajada como caso-pivô</w:t>
      </w:r>
    </w:p>
    <w:p>
      <w:pPr>
        <w:pStyle w:val="FirstParagraph"/>
      </w:pPr>
      <w:r>
        <w:t xml:space="preserve">A tecnologia descrita na seção anterior, feita de segredo, tortura, confissão e publicação, não opera no vazio. Precisa de um corpo, um nome, uma vizinhança, uma alcunha. Maria Gonçalves Cajada é o ponto onde essa gramática abstrata se materializa.</w:t>
      </w:r>
    </w:p>
    <w:bookmarkStart w:id="21" w:name="leitura-cerrada-do-processo"/>
    <w:p>
      <w:pPr>
        <w:pStyle w:val="Heading2"/>
      </w:pPr>
      <w:r>
        <w:t xml:space="preserve">Leitura cerrada do processo</w:t>
      </w:r>
    </w:p>
    <w:p>
      <w:pPr>
        <w:pStyle w:val="FirstParagraph"/>
      </w:pPr>
      <w:r>
        <w:t xml:space="preserve">Cajada era natural de Estremoz, cristã-velha, casada com marinheiro, e já carregava um histórico de conflito penal antes de se tornar objeto do Santo Ofício. Condenada ao degredo em Pernambuco por violência e incêndio, depois deslocada para Salvador, viveu durante anos em situação instável, sem domicílio fixo, praticando formas remuneradas de magia, cura, adivinhação e negociação doméstica (CRUZ DE ARAÚJO, 2017). Essa trajetória importa porque desloca a análise da bruxa como personagem fixa para a ré como corpo em circulação, de Estremoz a Pernambuco, de Pernambuco a Salvador, e de Salvador, em papel, ao arquivo de Lisboa. O degredo, aqui, não é simples expulsão, é circulação forçada de corpos pelo império, que povoa as margens com aqueles que o centro rejeita (PIERONI, 2000); a biografia penal de Cajada antecipa, em escala individual, a circulação institucional que a Seção 4 discute.</w:t>
      </w:r>
    </w:p>
    <w:p>
      <w:pPr>
        <w:pStyle w:val="BodyText"/>
      </w:pPr>
      <w:r>
        <w:t xml:space="preserve">O que a Primeira Visitação do Santo Ofício na Bahia, entre 1591 e 1593, faz é converter essa presença social incômoda em matéria processual. O Edital da Fé e o Período da Graça produziram uma atmosfera de denúncia, e vizinhos, clientes, desafetos e pessoas que haviam recorrido aos serviços de Cajada passaram a traduzir práticas ambíguas em linguagem de culpa. A denúncia não pode ser lida apenas como efeito do Edital. Ela se ancora em camadas mais antigas de uma economia da fofoca que a Inquisição não criou, mas monetizou. O rumor, como mostrou Max Gluckman (1963), não é patologia social, mas mecanismo de controle reputacional em sociedades onde a lei escrita não alcança a intimidade da vizinhança. A fama de Cajada já circulava antes do Santo Ofício, marcando-a como mulher com mobilidade demais, com marido marinheiro ausente, sem filhos, dada a ofícios remunerados de cura e adivinhação. O Edital da Fé não fabricou esses rumores, converteu-os em moeda processual: a vizinha que denunciava não estava necessariamente crendo em bruxaria, estava investindo uma narrativa social pré-existente num circuito institucional que, pela primeira vez, prometia recompensa e proteção. O rumor, quando encontra uma instituição que o reconhece como prova, deixa de ser fofoca e se torna arma jurídica (PANDOLFI, 2002).</w:t>
      </w:r>
    </w:p>
    <w:bookmarkEnd w:id="21"/>
    <w:bookmarkStart w:id="22" w:name="X3d38d1791f9794e99fc05f93a432f4c2986788d"/>
    <w:p>
      <w:pPr>
        <w:pStyle w:val="Heading2"/>
      </w:pPr>
      <w:r>
        <w:t xml:space="preserve">O processo como tecnologia do corpo confitente aplicada</w:t>
      </w:r>
    </w:p>
    <w:p>
      <w:pPr>
        <w:pStyle w:val="FirstParagraph"/>
      </w:pPr>
      <w:r>
        <w:t xml:space="preserve">O processo de Cajada permite ver em operação concreta a tecnologia descrita na Seção 2. Primeiro, o segredo. A ré é retirada da arena social em que sua reputação se formara e transferida para um regime em que o tribunal controla a circulação da palavra. O segredo de justiça não é apenas sigilo, é dispositivo de morte social temporária. Orlando Patterson (1982) descreve a morte social por três elementos, o despojamento de parentesco e ancestralidade, a desonra e a humilhação pública, e a redução a objeto sem agência, e o processo inquisitorial reproduz os três em câmera lenta: o segredo isola a ré de suas redes, o interrogatório e a exposição pública a desonram metodicamente, a sentença e o auto de fé a convertem em objeto pedagógico, não sujeito, mas exemplo.</w:t>
      </w:r>
    </w:p>
    <w:p>
      <w:pPr>
        <w:pStyle w:val="BodyText"/>
      </w:pPr>
      <w:r>
        <w:t xml:space="preserve">Depois, a confissão. Segundo a reconstrução de Cruz de Araújo (2017), Cajada foi interrogada perante a mesa do visitador em Salvador, confessando práticas que, na linguagem do processo, podiam ser convertidas em pacto, invocação demoníaca e feitiçaria. Não há, no processo, registro de tortura: a pena que lhe coube foi penitencial e infamante, com carocha, vela acesa e auto público, acrescida de degredo de volta ao Reino, e até os açoites lhe foram poupados por estar doente. O ponto decisivo não é saber se cada ato narrado ocorreu de fato, mas como o processo força práticas locais, serviços mágicos e reputação de vizinhança a caberem numa matriz demonológica. Ervas, ossos, curas, promessas de amansar maridos e dinheiro obtido por serviços rituais deixam de ser ações socialmente ambíguas e passam a funcionar como indícios de uma subjetividade suspeita. É útil nomear com precisão essa operação. O que a vizinhança leva à mesa é, no mais das vezes, um malefício, um dano concreto, um amor desfeito, uma doença atribuída, uma rivalidade que pede explicação. O que a mesa devolve é outra coisa, a bruxaria, categoria que arranca o ato singular do seu chão comunitário e o realoja no quadro abstrato do pacto, da seita, da ofensa à fé. Essa tradução ascendente, do dano local à ofensa transcendente, é a operação hegemônica por excelência no vocabulário de Mario Sbriccoli (2011a): o crime deixa de ser questão entre vizinhos para tornar-se questão entre a ré e a autoridade. Esse movimento, da linguagem local à linguagem jurídica institucional, opera com perda inevitável de contexto e ganho de conotação punitiva, no registro do pluralismo jurídico que põe em contato normatividades distintas (MERRY, 1988). Quando a vizinha de Estremoz diz que Cajada arde o rabo, opera numa gramática que combina humor, medo, desaprovação moral e reconhecimento implícito de poder; quando o inquisidor lê a mesma acusação no processo, traduz o arder em</w:t>
      </w:r>
      <w:r>
        <w:t xml:space="preserve"> </w:t>
      </w:r>
      <w:r>
        <w:rPr>
          <w:i/>
          <w:iCs/>
        </w:rPr>
        <w:t xml:space="preserve">maleficium</w:t>
      </w:r>
      <w:r>
        <w:t xml:space="preserve">, o rabo em corpo como veículo de pacto, a alcunha em indício de subjetividade herética. A tradução não é transparente, é violenta: extrai a acusação do seu contexto relacional e a insere numa cadeia probatória que a torna irreconhecível para quem a produziu.</w:t>
      </w:r>
    </w:p>
    <w:p>
      <w:pPr>
        <w:pStyle w:val="BodyText"/>
      </w:pPr>
      <w:r>
        <w:t xml:space="preserve">Por fim, a sentença e o auto de fé transformam a verdade produzida em segredo em verdade pública. E é aqui que o processo guarda a sua frase mais preciosa. No primeiro fólio dos autos, a própria mesa inquisitorial consigna a fórmula de que parece que tudo são embustes e enganos as culpas desta ré, que constam apenas de sua confissão extrajudicial, sem que as testemunhas houvessem visto cousa alguma, de modo que o conhecimento da causa pertenceria mais ao ordinário do que à Inquisição (ANTT, Inquisição de Lisboa, processo nº 10748, fólio 1). A anotação é decisiva porque mostra o próprio aparato reconhecendo, à margem, a fragilidade da prova e a dúvida sobre a sua competência, e ainda assim prosseguindo até a condenação: hesitação institucional sem suspensão da punição. O arquivo inquisitorial contém, no seu interior, os elementos da sua própria deslegitimação, no que se pode ler, com Michel de Certeau (1982), como um efeito de retorno do arquivo. O tribunal pode duvidar de que Cajada tenha voado ou pactuado, não duvida de que precisa convertê-la em bruxa para poder julgá-la. A dúvida não desfaz a tecnologia, convive com ela; e, mais do que conviver, é a sua condição, porque se pune justamente para resolver no plano do aparato aquilo que a prova não resolve. Punir sob dúvida não é falha do modelo ibérico, é o seu modo de operar.</w:t>
      </w:r>
    </w:p>
    <w:bookmarkEnd w:id="22"/>
    <w:bookmarkStart w:id="23" w:name="Xbe2aeba7c9a1b1ee3e973a43c73acc5be8722e9"/>
    <w:p>
      <w:pPr>
        <w:pStyle w:val="Heading2"/>
      </w:pPr>
      <w:r>
        <w:t xml:space="preserve">A alcunha como tradução vernacular da maleficium</w:t>
      </w:r>
    </w:p>
    <w:p>
      <w:pPr>
        <w:pStyle w:val="FirstParagraph"/>
      </w:pPr>
      <w:r>
        <w:t xml:space="preserve">A alcunha</w:t>
      </w:r>
      <w:r>
        <w:t xml:space="preserve"> </w:t>
      </w:r>
      <w:r>
        <w:t xml:space="preserve">“Arde-lhe-o-rabo”</w:t>
      </w:r>
      <w:r>
        <w:t xml:space="preserve"> </w:t>
      </w:r>
      <w:r>
        <w:t xml:space="preserve">é o ponto mais forte desta seção porque condensa num tropo popular aquilo que a doutrina nomeia em latim. Não deve ser tratada como curiosidade folclórica. A expressão produz uma imagem corporal de calor, traseiro, excesso, instabilidade, sexualidade e perigo, e a suspeição passa pelo corpo antes de entrar no processo. Nesse sentido, o apelido é a forma vernacular da</w:t>
      </w:r>
      <w:r>
        <w:t xml:space="preserve"> </w:t>
      </w:r>
      <w:r>
        <w:rPr>
          <w:i/>
          <w:iCs/>
        </w:rPr>
        <w:t xml:space="preserve">maleficium</w:t>
      </w:r>
      <w:r>
        <w:t xml:space="preserve">, não uma equivalência técnica, mas uma tradução social. A noção de vocabulário acusatório proposta por Gluckman (1955) aplica-se diretamente: nas sociedades de vizinhança, o apelido não é referência passiva, é arma social;</w:t>
      </w:r>
      <w:r>
        <w:t xml:space="preserve"> </w:t>
      </w:r>
      <w:r>
        <w:t xml:space="preserve">“Arde-lhe-o-rabo”</w:t>
      </w:r>
      <w:r>
        <w:t xml:space="preserve"> </w:t>
      </w:r>
      <w:r>
        <w:t xml:space="preserve">não descreve Cajada, constitui-a como sujeito suspeito dentro de uma economia reputacional. Essa tradução evita dois erros. O primeiro seria imaginar que a categoria inquisitorial simplesmente desce da doutrina para o povo, quando o processo mostra o contrário, que a vizinhança já dispõe de linguagem própria para marcar Cajada como mulher perigosa, e o Santo Ofício recolhe essa linguagem, reorganizando-a em termos de feitiçaria e pacto. O segundo seria imaginar que a alcunha popular é exterior ao direito, quando no processo inquisitorial a fala local se torna matéria jurídica, o apelido vira indício, a reputação vira prova, o corpo falado pela comunidade vira corpo interrogado pelo tribunal.</w:t>
      </w:r>
    </w:p>
    <w:p>
      <w:pPr>
        <w:pStyle w:val="BodyText"/>
      </w:pPr>
      <w:r>
        <w:t xml:space="preserve">Vale, neste ponto, uma inflexão sobre a leitura clássica de Laura de Mello e Souza. Sem recusar a sua tese de uma religiosidade popular sincrética, nascida do encontro colonial entre a feitiçaria europeia, a pajelança indígena e a magia africana (MELLO E SOUZA, 1986), convém sublinhar a dimensão profissional da prática de Cajada. A feiticeira não é apenas devota de um mundo encantado, é prestadora de um serviço cuja clientela paga, retorna e recomenda, e nesse registro se aproxima menos da herege demonológica e mais das</w:t>
      </w:r>
      <w:r>
        <w:t xml:space="preserve"> </w:t>
      </w:r>
      <w:r>
        <w:rPr>
          <w:i/>
          <w:iCs/>
        </w:rPr>
        <w:t xml:space="preserve">cunning folk</w:t>
      </w:r>
      <w:r>
        <w:t xml:space="preserve"> </w:t>
      </w:r>
      <w:r>
        <w:t xml:space="preserve">que Keith Thomas descreveu para a Inglaterra moderna (THOMAS, 1971) e da economia prática da magia que Francisco Bethencourt mapeou para Portugal (BETHENCOURT, 1987), figuras de utilidade reconhecida, toleradas no cotidiano até que uma instância superior decida nomeá-las.</w:t>
      </w:r>
    </w:p>
    <w:bookmarkEnd w:id="23"/>
    <w:bookmarkStart w:id="24" w:name="pivô-não-centro"/>
    <w:p>
      <w:pPr>
        <w:pStyle w:val="Heading2"/>
      </w:pPr>
      <w:r>
        <w:t xml:space="preserve">Pivô, não centro</w:t>
      </w:r>
    </w:p>
    <w:p>
      <w:pPr>
        <w:pStyle w:val="FirstParagraph"/>
      </w:pPr>
      <w:r>
        <w:t xml:space="preserve">Tratar Cajada como pivô exige duas cautelas simultâneas. A primeira é não inflar o caso, que não é prova estatística de um padrão geral e cuja própria visibilidade decorre do fato de o arquivo e a historiografia a tornarem legível. A segunda é não reduzir o caso a exemplo decorativo, porque Cajada não apenas ilustra um argumento já pronto, obriga o artigo a passar do tratado para o processo, da doutrina para a vizinhança, da Europa para o Atlântico. É essa articulação que prepara a seção seguinte. O caso não fecha o artigo, abre o circuito: a mesma máquina que enquadra Cajada depende de deslocamentos atlânticos, degredo, visitação, remessa a Lisboa, circulação de categorias, transporte de corpos e de autos.</w:t>
      </w:r>
    </w:p>
    <w:bookmarkEnd w:id="24"/>
    <w:bookmarkEnd w:id="25"/>
    <w:bookmarkStart w:id="30" w:name="Xdd2d82715628c4cec6b273342463512d34ca2d8"/>
    <w:p>
      <w:pPr>
        <w:pStyle w:val="Heading1"/>
      </w:pPr>
      <w:r>
        <w:t xml:space="preserve">Seção 4. Circulação atlântica: Lisboa, Brasil, Angola, Goa</w:t>
      </w:r>
    </w:p>
    <w:p>
      <w:pPr>
        <w:pStyle w:val="FirstParagraph"/>
      </w:pPr>
      <w:r>
        <w:t xml:space="preserve">O</w:t>
      </w:r>
      <w:r>
        <w:t xml:space="preserve"> </w:t>
      </w:r>
      <w:r>
        <w:rPr>
          <w:i/>
          <w:iCs/>
        </w:rPr>
        <w:t xml:space="preserve">Malleus</w:t>
      </w:r>
      <w:r>
        <w:t xml:space="preserve"> </w:t>
      </w:r>
      <w:r>
        <w:t xml:space="preserve">e a tecnologia do corpo confitente não ficam em Lisboa. Atravessam o Atlântico na esteira do Império português. Mas não há cópia fiel, há readaptação a cada contexto colonial.</w:t>
      </w:r>
    </w:p>
    <w:bookmarkStart w:id="26" w:name="a-inquisição-como-vetor-imperial"/>
    <w:p>
      <w:pPr>
        <w:pStyle w:val="Heading2"/>
      </w:pPr>
      <w:r>
        <w:t xml:space="preserve">A Inquisição como vetor imperial</w:t>
      </w:r>
    </w:p>
    <w:p>
      <w:pPr>
        <w:pStyle w:val="FirstParagraph"/>
      </w:pPr>
      <w:r>
        <w:t xml:space="preserve">A Inquisição portuguesa não circula apenas como livro, doutrina ou medo religioso. Circula como aparato, feito de visitações, comissários, denúncias, correspondência, remessas de autos, penitências públicas e vocabulários de suspeição que tornam reconhecível aquilo que deve ser punido. Lisboa ocupa, para a América portuguesa e parte do Atlântico africano, o lugar de centro processual que recebe, ordena e reclassifica informações vindas de fora da metrópole. Goa, por sua vez, opera como tribunal próprio no Estado da Índia, o que já impede tratar o império como circuito homogêneo. A circulação é, portanto, institucional e desigual, não simples difusão cultural, mas política imperial de reconhecimento punitivo.</w:t>
      </w:r>
    </w:p>
    <w:bookmarkEnd w:id="26"/>
    <w:bookmarkStart w:id="27" w:name="X1273a45c1a68967fd6efa7847c49f12b20dda04"/>
    <w:p>
      <w:pPr>
        <w:pStyle w:val="Heading2"/>
      </w:pPr>
      <w:r>
        <w:t xml:space="preserve">Brasil: hibridização como acumulação primitiva do corpo feminino</w:t>
      </w:r>
    </w:p>
    <w:p>
      <w:pPr>
        <w:pStyle w:val="FirstParagraph"/>
      </w:pPr>
      <w:r>
        <w:t xml:space="preserve">No Brasil colonial, a feiticeira não é figura unificada. É um rótulo de suspeição que agrega personagens diferentes conforme o arquivo, a região e o momento. Na visitação quinhentista, Maria Gonçalves Cajada ainda aparece próxima da matriz europeia do</w:t>
      </w:r>
      <w:r>
        <w:t xml:space="preserve"> </w:t>
      </w:r>
      <w:r>
        <w:rPr>
          <w:i/>
          <w:iCs/>
        </w:rPr>
        <w:t xml:space="preserve">maleficium</w:t>
      </w:r>
      <w:r>
        <w:t xml:space="preserve">, com fama pública, alcunha infamante, serviços mágicos remunerados, conflitos de vizinhança e possibilidade de remessa inquisitorial. Nos séculos seguintes, a documentação colonial passa a registrar com mais força curandeiras, africanas, indígenas, mulheres livres pobres, escravizadas e forras cujas práticas de cura, proteção, adivinhação e mediação espiritual já não cabem no repertório demonológico europeu. O ponto comum não é uma crença compartilhada, mas a operação classificatória pela qual práticas locais heterogêneas são reduzidas a uma forma reconhecível de suspeição.</w:t>
      </w:r>
    </w:p>
    <w:p>
      <w:pPr>
        <w:pStyle w:val="BodyText"/>
      </w:pPr>
      <w:r>
        <w:t xml:space="preserve">Por isso convém evitar candomblé como nome genérico para o período. A linguagem documental mais segura passa por feitiçaria, curandeirismo, mandinga e, sobretudo nos séculos XVII e XVIII, calundu. O calundu não deve ser tomado como simples sinônimo de religião africana, mas como campo de práticas de cura, possessão, proteção e recomposição de sociabilidades afro-atlânticas. A importância do termo é metodológica, porque mostra que a categoria inquisitorial não apenas viaja, precisa absorver material que o</w:t>
      </w:r>
      <w:r>
        <w:t xml:space="preserve"> </w:t>
      </w:r>
      <w:r>
        <w:rPr>
          <w:i/>
          <w:iCs/>
        </w:rPr>
        <w:t xml:space="preserve">Malleus</w:t>
      </w:r>
      <w:r>
        <w:t xml:space="preserve"> </w:t>
      </w:r>
      <w:r>
        <w:t xml:space="preserve">não previa: Cajada permite observar a tradução inicial entre fama local e suspeição inquisitorial, e os calundus posteriores mostram a recomposição colonial dessa mesma máquina de reconhecimento (MELLO E SOUZA, 1986; REIS, 1988). A escravizada que curava na senzala não era apenas feiticeira, era instituição paralela: enquanto o senhor controlava o corpo para o trabalho, ela controlava o corpo para a vida, partos, febres, dores, envenenamentos, conselhos amorosos, proteção espiritual. Esse dualismo, o senhor que mata e a curandeira que cura, era intolerável à ordem escravista precisamente porque revelava que o corpo do escravizado não era propriedade absoluta do senhor, havia outro poder operando sobre ele, o da mãe de calundu, da parteira, da benzedeira. Ao processar a feiticeira colonial, a Inquisição não punia uma crença, desarticulava uma autoridade concorrente sobre o corpo escravizado.</w:t>
      </w:r>
    </w:p>
    <w:p>
      <w:pPr>
        <w:pStyle w:val="BodyText"/>
      </w:pPr>
      <w:r>
        <w:t xml:space="preserve">O que une essas figuras não é uma crença compartilhada, é uma posição estrutural: todas detêm um saber corporal que o capitalismo colonial precisa expropriar. Silvia Federici (2017) oferece uma lente materialista para essa convergência ao argumentar, em</w:t>
      </w:r>
      <w:r>
        <w:t xml:space="preserve"> </w:t>
      </w:r>
      <w:r>
        <w:rPr>
          <w:i/>
          <w:iCs/>
        </w:rPr>
        <w:t xml:space="preserve">Calibã e a Bruxa</w:t>
      </w:r>
      <w:r>
        <w:t xml:space="preserve">, que a caça às bruxas europeia não foi histeria religiosa, mas acumulação primitiva do corpo feminino, pois assim como os cercamentos expropriaram o campesinato da terra comunal, a caça às bruxas expropriou as mulheres de seus corpos (FEDERICI, 2017, p. 328). Essa leitura, influente mas contestada quanto à cronologia e à base social das vítimas, ilumina um aspecto da articulação entre bruxaria, escravidão e acumulação colonial sem esgotar o fenômeno, que é também crise de autoridade epistêmica sobre quem controla o saber do corpo, conflito comunitário e pânico moral. Importa reter que, mesmo onde a economia política ajuda a explicar a expropriação do saber-corpo, a forma pela qual essa expropriação se realiza permanece jurídica: é o aparato inquisitorial que nomeia, processa e pune, e é essa forma penal, não a tese econômica, o objeto deste artigo. O que ela mostra para a Europa só pode ser deslocado para o Atlântico com cautela. No Brasil colonial, plantation, tráfico negreiro e justiça inquisitorial articulam formas distintas de captura do corpo e do saber, e a indígena que conhece ervas, a africana associada ao calundu e a europeia pobre que benze ou parteja não são a mesma personagem histórica, tornam-se comparáveis apenas porque a ordem colonial tenta enquadrá-las numa mesma gramática de suspeição. Quando Federici nomeia a mulher</w:t>
      </w:r>
      <w:r>
        <w:t xml:space="preserve"> </w:t>
      </w:r>
      <w:r>
        <w:rPr>
          <w:i/>
          <w:iCs/>
        </w:rPr>
        <w:t xml:space="preserve">obeah</w:t>
      </w:r>
      <w:r>
        <w:t xml:space="preserve"> </w:t>
      </w:r>
      <w:r>
        <w:t xml:space="preserve">que envenena a comida do senhor e inspira revoltas (FEDERICI, 2017, p. 22), o paralelo luso-brasileiro só pode ser estrutural, não há equivalência terminológica automática, mas há a mesma disputa sobre quem controla cura, corpo, reprodução, medo e autoridade. A hibridização, portanto, não é sincretismo, termo que presume fusão pacífica de tradições, é conflito, expropriação e resistência num único movimento: a bruxa brasileira é alvo não porque crê em superstições, mas porque seu corpo e seu saber são obstáculo à acumulação, e ao processar a feiticeira colonial a Inquisição não está apenas punindo heresia, está limpando o terreno para o trabalho escravizado e a monocultura.</w:t>
      </w:r>
    </w:p>
    <w:bookmarkEnd w:id="27"/>
    <w:bookmarkStart w:id="28" w:name="angola-e-goa-extensões-comparativas"/>
    <w:p>
      <w:pPr>
        <w:pStyle w:val="Heading2"/>
      </w:pPr>
      <w:r>
        <w:t xml:space="preserve">Angola e Goa: extensões comparativas</w:t>
      </w:r>
    </w:p>
    <w:p>
      <w:pPr>
        <w:pStyle w:val="FirstParagraph"/>
      </w:pPr>
      <w:r>
        <w:t xml:space="preserve">Angola e Goa entram aqui como limites comparativos do argumento, não como base empírica equivalente ao eixo Lisboa-Bahia. A versão atual tem lastro documental mais firme para Cajada, para a primeira visitação e para a recomposição brasileira da suspeição, e os casos africano e asiático devem ser tratados como hipóteses de circulação que ajudam a testar o argumento sem carregar a prova principal. No caso de Angola, o vocabulário luso-africano permite observar uma dificuldade de tradução: termos como</w:t>
      </w:r>
      <w:r>
        <w:t xml:space="preserve"> </w:t>
      </w:r>
      <w:r>
        <w:rPr>
          <w:i/>
          <w:iCs/>
        </w:rPr>
        <w:t xml:space="preserve">nganga</w:t>
      </w:r>
      <w:r>
        <w:t xml:space="preserve"> </w:t>
      </w:r>
      <w:r>
        <w:t xml:space="preserve">e</w:t>
      </w:r>
      <w:r>
        <w:t xml:space="preserve"> </w:t>
      </w:r>
      <w:r>
        <w:rPr>
          <w:i/>
          <w:iCs/>
        </w:rPr>
        <w:t xml:space="preserve">quimbo</w:t>
      </w:r>
      <w:r>
        <w:t xml:space="preserve">, quando capturados por fontes portuguesas, tendem a ser aproximados de curandeiro, feiticeiro ou feitiço, e essa aproximação é precisamente o problema, porque desloca autoridades rituais, terapêuticas e políticas para dentro de uma gramática cristã de erro, superstição e dano; a formulação prudente afirma não uma equivalência direta entre</w:t>
      </w:r>
      <w:r>
        <w:t xml:space="preserve"> </w:t>
      </w:r>
      <w:r>
        <w:rPr>
          <w:i/>
          <w:iCs/>
        </w:rPr>
        <w:t xml:space="preserve">nganga</w:t>
      </w:r>
      <w:r>
        <w:t xml:space="preserve"> </w:t>
      </w:r>
      <w:r>
        <w:t xml:space="preserve">e bruxa europeia, mas a violência classificatória pela qual um saber local se torna legível como suspeição punível. No caso de Goa, a Inquisição instalada em 1560 não é simples prolongamento de Lisboa, opera em outro campo de conversão, vigilância e tradução religiosa, e deve funcionar como caso-limite em que a suspeição cruza idolatria, cripto-religião, costumes domésticos e práticas rituais de convertidos; a questão comparativa é menos saber se havia bruxas goesas e mais entender que operações de classificação permitiam converter práticas locais em superstição, heresia ou feitiçaria.</w:t>
      </w:r>
    </w:p>
    <w:bookmarkEnd w:id="28"/>
    <w:bookmarkStart w:id="29" w:name="Xba9b3bec6d987f96b321b1f2e569f080ff0c23c"/>
    <w:p>
      <w:pPr>
        <w:pStyle w:val="Heading2"/>
      </w:pPr>
      <w:r>
        <w:t xml:space="preserve">A circulação como readaptação, não difusão</w:t>
      </w:r>
    </w:p>
    <w:p>
      <w:pPr>
        <w:pStyle w:val="FirstParagraph"/>
      </w:pPr>
      <w:r>
        <w:t xml:space="preserve">A circulação atlântica da suspeição inquisitorial não é história de transmissão, é história de perdas, ganhos e deformações semânticas. Em Lisboa, o</w:t>
      </w:r>
      <w:r>
        <w:t xml:space="preserve"> </w:t>
      </w:r>
      <w:r>
        <w:rPr>
          <w:i/>
          <w:iCs/>
        </w:rPr>
        <w:t xml:space="preserve">maleficium</w:t>
      </w:r>
      <w:r>
        <w:t xml:space="preserve"> </w:t>
      </w:r>
      <w:r>
        <w:t xml:space="preserve">podia ser manejado dentro de uma gramática demonológico-jurídica relativamente estável. Em Salvador, a mesma gramática encontrou corpos que não cabiam inteiramente nela, portuguesas pobres, mulheres de fama infamante, curandeiras, indígenas, africanas, forras, escravizadas, benzedeiras e parteiras. Em Luanda e Goa, como hipótese a ser aprofundada, o problema aparece de modo ainda mais evidente, porque o arquivo português só reconhece certas práticas quando consegue traduzi-las como erro, superstição, feitiço ou heresia. Em cada nó a categoria se recompõe, não como cópia, mas como adaptação violenta que revela mais sobre quem traduz do que sobre quem é traduzido. A Inquisição portuguesa não difundiu uma crença na bruxaria, fabricou uma máquina de reconhecimento que convertia qualquer forma de saber feminino autônomo em</w:t>
      </w:r>
      <w:r>
        <w:t xml:space="preserve"> </w:t>
      </w:r>
      <w:r>
        <w:rPr>
          <w:i/>
          <w:iCs/>
        </w:rPr>
        <w:t xml:space="preserve">maleficium</w:t>
      </w:r>
      <w:r>
        <w:t xml:space="preserve">, e essa máquina, não o</w:t>
      </w:r>
      <w:r>
        <w:t xml:space="preserve"> </w:t>
      </w:r>
      <w:r>
        <w:rPr>
          <w:i/>
          <w:iCs/>
        </w:rPr>
        <w:t xml:space="preserve">Malleus</w:t>
      </w:r>
      <w:r>
        <w:t xml:space="preserve">, é o verdadeiro objeto deste artigo. Se a suspeição circula e se readapta em cada nó colonial, a pergunta que permanece é que forma ela assume, porque a bruxa não é apenas categoria jurídica, é também imagem, e essa imagem tem uma genealogia visual que o artigo precisa rastrear.</w:t>
      </w:r>
    </w:p>
    <w:bookmarkEnd w:id="29"/>
    <w:bookmarkEnd w:id="30"/>
    <w:bookmarkStart w:id="31" w:name="Xf200388cdac0718a81329893b52899155491b67"/>
    <w:p>
      <w:pPr>
        <w:pStyle w:val="Heading1"/>
      </w:pPr>
      <w:r>
        <w:t xml:space="preserve">Seção 5. Figura punitiva, figura alegórica: interface com a tese ICONOCRACIA</w:t>
      </w:r>
    </w:p>
    <w:p>
      <w:pPr>
        <w:pStyle w:val="FirstParagraph"/>
      </w:pPr>
      <w:r>
        <w:t xml:space="preserve">A suspeição inquisitorial de bruxaria construída nas seções anteriores não é apenas categoria jurídica, é também figura alegórico-visual, a bruxa como figura que organiza a visibilidade punitiva do poder. Esta seção permanece em estado de esboço, a ser expandida após a entrega de 30 de junho.</w:t>
      </w:r>
    </w:p>
    <w:p>
      <w:pPr>
        <w:pStyle w:val="BodyText"/>
      </w:pPr>
      <w:r>
        <w:t xml:space="preserve">A suspeição inquisitorial e a alegoria feminina, a Justiça, a República, a Liberdade, são duas faces da mesma moeda iconocrática: a alegoria expõe a soberania, a bruxa figura a sua violação. Não há bruxa sem uma ordem de Justiça que a nomeie, não há Justiça sem figuras de desvio que tornem visível a sua força punitiva. Seguindo Georges Didi-Huberman (2017) e Jeffrey Jerome Cohen (1996), a bruxa é monstro alegórico, não apenas criatura do imaginário, mas figura que organiza a visibilidade do poder: corpo feminino, nudez, fogo, vassoura, gato, caldeirão, cada elemento é signo visual que organiza a visibilidade da transgressão, e o processo fabrica a imagem que o auto de fé exibe, a ré na fogueira, a sentença lida em público, a multidão que assiste. A expansão prevista desenvolverá a bruxa como lado penal da iconocracia, a bruxa como imagem que pune, no sentido de Didi-Huberman, e a conexão com os quatro estudos de caso da tese.</w:t>
      </w:r>
    </w:p>
    <w:bookmarkEnd w:id="31"/>
    <w:bookmarkStart w:id="32" w:name="conclusão"/>
    <w:p>
      <w:pPr>
        <w:pStyle w:val="Heading1"/>
      </w:pPr>
      <w:r>
        <w:t xml:space="preserve">Conclusão</w:t>
      </w:r>
    </w:p>
    <w:p>
      <w:pPr>
        <w:pStyle w:val="FirstParagraph"/>
      </w:pPr>
      <w:r>
        <w:t xml:space="preserve">A construção atlântica da suspeição inquisitorial de bruxaria não é história jurídica da Península Ibérica transplantada para as colônias. É recomposição da categoria de suspeição em cada nó colonial, Lisboa, Salvador, Luanda, Goa, onde o</w:t>
      </w:r>
      <w:r>
        <w:t xml:space="preserve"> </w:t>
      </w:r>
      <w:r>
        <w:rPr>
          <w:i/>
          <w:iCs/>
        </w:rPr>
        <w:t xml:space="preserve">Malleus</w:t>
      </w:r>
      <w:r>
        <w:t xml:space="preserve"> </w:t>
      </w:r>
      <w:r>
        <w:t xml:space="preserve">é lido através de lentes locais, e a bruxa é reescrita como figura punitiva alegórica que organiza a visibilidade da soberania. O caso de Maria Gonçalves Cajada funciona como pivô não porque represente a bruxaria portuguesa, mas porque mostra que a alcunha, tropo vernacular da</w:t>
      </w:r>
      <w:r>
        <w:t xml:space="preserve"> </w:t>
      </w:r>
      <w:r>
        <w:rPr>
          <w:i/>
          <w:iCs/>
        </w:rPr>
        <w:t xml:space="preserve">maleficium</w:t>
      </w:r>
      <w:r>
        <w:t xml:space="preserve"> </w:t>
      </w:r>
      <w:r>
        <w:t xml:space="preserve">do</w:t>
      </w:r>
      <w:r>
        <w:t xml:space="preserve"> </w:t>
      </w:r>
      <w:r>
        <w:rPr>
          <w:i/>
          <w:iCs/>
        </w:rPr>
        <w:t xml:space="preserve">Malleus</w:t>
      </w:r>
      <w:r>
        <w:t xml:space="preserve">, é o ponto de tradução entre o latim universitário e a suspeição da vizinhança colonial. E mostra, sobretudo, que o tribunal punia mesmo quando registrava a sua própria dúvida, que tudo parecia embustes e enganos, porque a função da pena não era confirmar uma certeza metafísica, mas estabilizar uma categoria e reafirmar a presença e a jurisdição do tribunal onde a prova lhe escapava.</w:t>
      </w:r>
    </w:p>
    <w:p>
      <w:pPr>
        <w:pStyle w:val="BodyText"/>
      </w:pPr>
      <w:r>
        <w:t xml:space="preserve">Há, ainda, uma dimensão material que convém não perder de vista, ainda que ela não seja o eixo deste trabalho. Na leitura de Federici (2017), a caça às bruxas foi também acumulação primitiva do corpo feminino, e o que se pode acrescentar é que essa expropriação não se deteve no Atlântico. Mas o que este artigo demonstra não é a tese econômica e sim a sua forma jurídica: a plantation, o tráfico e a Inquisição colonial partilham um regime de expropriação, e a suspeição inquisitorial de bruxaria é a forma penal que o torna operante, aquilo que nomeia, processa e pune. A bruxa de Estremoz e a escravizada de Salvador não são figuras análogas, mas a mesma máquina de reconhecimento as alcança. A Inquisição portuguesa não difundiu uma crença na bruxaria, fabricou uma máquina de reconhecimento que convertia qualquer forma de saber feminino autônomo em</w:t>
      </w:r>
      <w:r>
        <w:t xml:space="preserve"> </w:t>
      </w:r>
      <w:r>
        <w:rPr>
          <w:i/>
          <w:iCs/>
        </w:rPr>
        <w:t xml:space="preserve">maleficium</w:t>
      </w:r>
      <w:r>
        <w:t xml:space="preserve">. Essa máquina, e não o</w:t>
      </w:r>
      <w:r>
        <w:t xml:space="preserve"> </w:t>
      </w:r>
      <w:r>
        <w:rPr>
          <w:i/>
          <w:iCs/>
        </w:rPr>
        <w:t xml:space="preserve">Malleus</w:t>
      </w:r>
      <w:r>
        <w:t xml:space="preserve">, é o que atravessou o Atlântico, reconfigurando-se em cada nó colonial, e é ela que o artigo rastreou, do texto doutrinário à prática processual, do latim ao vernáculo, da metrópole à colônia.</w:t>
      </w:r>
    </w:p>
    <w:bookmarkEnd w:id="32"/>
    <w:bookmarkStart w:id="33" w:name="referências"/>
    <w:p>
      <w:pPr>
        <w:pStyle w:val="Heading1"/>
      </w:pPr>
      <w:r>
        <w:t xml:space="preserve">Referências</w:t>
      </w:r>
    </w:p>
    <w:p>
      <w:pPr>
        <w:pStyle w:val="FirstParagraph"/>
      </w:pPr>
      <w:r>
        <w:t xml:space="preserve">ARQUIVO NACIONAL DA TORRE DO TOMBO (Portugal).</w:t>
      </w:r>
      <w:r>
        <w:t xml:space="preserve"> </w:t>
      </w:r>
      <w:r>
        <w:rPr>
          <w:i/>
          <w:iCs/>
        </w:rPr>
        <w:t xml:space="preserve">Processo de Maria Gonçalves Cajada</w:t>
      </w:r>
      <w:r>
        <w:t xml:space="preserve">. Inquisição de Lisboa, processo nº 10748. Lisboa, 1592-1593. Disponível em: https://digitarq.arquivos.pt/documentDetails/5dd3e23b11834342a1c57a5e90d01584.</w:t>
      </w:r>
    </w:p>
    <w:p>
      <w:pPr>
        <w:pStyle w:val="BodyText"/>
      </w:pPr>
      <w:r>
        <w:t xml:space="preserve">BEHRINGER, Wolfgang.</w:t>
      </w:r>
      <w:r>
        <w:t xml:space="preserve"> </w:t>
      </w:r>
      <w:r>
        <w:rPr>
          <w:i/>
          <w:iCs/>
        </w:rPr>
        <w:t xml:space="preserve">Witches and Witch-Hunts: A Global History</w:t>
      </w:r>
      <w:r>
        <w:t xml:space="preserve">. Cambridge: Polity, 2004.</w:t>
      </w:r>
    </w:p>
    <w:p>
      <w:pPr>
        <w:pStyle w:val="BodyText"/>
      </w:pPr>
      <w:r>
        <w:t xml:space="preserve">BENNASSAR, Bartolomé.</w:t>
      </w:r>
      <w:r>
        <w:t xml:space="preserve"> </w:t>
      </w:r>
      <w:r>
        <w:rPr>
          <w:i/>
          <w:iCs/>
        </w:rPr>
        <w:t xml:space="preserve">L’Inquisition espagnole: XVe-XIXe siècle</w:t>
      </w:r>
      <w:r>
        <w:t xml:space="preserve">. Paris: Seuil, 1979.</w:t>
      </w:r>
    </w:p>
    <w:p>
      <w:pPr>
        <w:pStyle w:val="BodyText"/>
      </w:pPr>
      <w:r>
        <w:t xml:space="preserve">BETHENCOURT, Francisco.</w:t>
      </w:r>
      <w:r>
        <w:t xml:space="preserve"> </w:t>
      </w:r>
      <w:r>
        <w:rPr>
          <w:i/>
          <w:iCs/>
        </w:rPr>
        <w:t xml:space="preserve">História das Inquisições: Portugal, Espanha e Itália, séculos XV-XIX</w:t>
      </w:r>
      <w:r>
        <w:t xml:space="preserve">. Lisboa: Círculo de Leitores, 1994.</w:t>
      </w:r>
    </w:p>
    <w:p>
      <w:pPr>
        <w:pStyle w:val="BodyText"/>
      </w:pPr>
      <w:r>
        <w:t xml:space="preserve">BETHENCOURT, Francisco.</w:t>
      </w:r>
      <w:r>
        <w:t xml:space="preserve"> </w:t>
      </w:r>
      <w:r>
        <w:rPr>
          <w:i/>
          <w:iCs/>
        </w:rPr>
        <w:t xml:space="preserve">O imaginário da magia: feiticeiras, saludadores e nigromantes no século XVI</w:t>
      </w:r>
      <w:r>
        <w:t xml:space="preserve">. Lisboa: Projecto Universidade Aberta, 1987.</w:t>
      </w:r>
    </w:p>
    <w:p>
      <w:pPr>
        <w:pStyle w:val="BodyText"/>
      </w:pPr>
      <w:r>
        <w:t xml:space="preserve">COHEN, Jeffrey Jerome.</w:t>
      </w:r>
      <w:r>
        <w:t xml:space="preserve"> </w:t>
      </w:r>
      <w:r>
        <w:rPr>
          <w:i/>
          <w:iCs/>
        </w:rPr>
        <w:t xml:space="preserve">Monster Theory: Reading Culture</w:t>
      </w:r>
      <w:r>
        <w:t xml:space="preserve">. Minneapolis: University of Minnesota Press, 1996.</w:t>
      </w:r>
    </w:p>
    <w:p>
      <w:pPr>
        <w:pStyle w:val="BodyText"/>
      </w:pPr>
      <w:r>
        <w:t xml:space="preserve">CRUZ DE ARAÚJO, Gilmara.</w:t>
      </w:r>
      <w:r>
        <w:t xml:space="preserve"> </w:t>
      </w:r>
      <w:r>
        <w:rPr>
          <w:i/>
          <w:iCs/>
        </w:rPr>
        <w:t xml:space="preserve">Práticas de feitiçarias: o caso de Maria Gonçalves Cajada</w:t>
      </w:r>
      <w:r>
        <w:t xml:space="preserve">. São Cristóvão: O Grifo/NUPEMBO, 2017.</w:t>
      </w:r>
    </w:p>
    <w:p>
      <w:pPr>
        <w:pStyle w:val="BodyText"/>
      </w:pPr>
      <w:r>
        <w:t xml:space="preserve">DAL RI JÚNIOR, Arno; SONTAG, Ricardo (org.).</w:t>
      </w:r>
      <w:r>
        <w:t xml:space="preserve"> </w:t>
      </w:r>
      <w:r>
        <w:rPr>
          <w:i/>
          <w:iCs/>
        </w:rPr>
        <w:t xml:space="preserve">História do Direito Penal entre Medievo e Modernidade</w:t>
      </w:r>
      <w:r>
        <w:t xml:space="preserve">. Belo Horizonte: Del Rey, 2011.</w:t>
      </w:r>
    </w:p>
    <w:p>
      <w:pPr>
        <w:pStyle w:val="BodyText"/>
      </w:pPr>
      <w:r>
        <w:t xml:space="preserve">DIDI-HUBERMAN, Georges.</w:t>
      </w:r>
      <w:r>
        <w:t xml:space="preserve"> </w:t>
      </w:r>
      <w:r>
        <w:rPr>
          <w:i/>
          <w:iCs/>
        </w:rPr>
        <w:t xml:space="preserve">A imagem sobrevivente: história da arte e tempo dos fantasmas segundo Aby Warburg</w:t>
      </w:r>
      <w:r>
        <w:t xml:space="preserve">. São Paulo: Ed. 34, 2017.</w:t>
      </w:r>
    </w:p>
    <w:p>
      <w:pPr>
        <w:pStyle w:val="BodyText"/>
      </w:pPr>
      <w:r>
        <w:t xml:space="preserve">EYMERICH, Nicolau; PEÑA, Francisco.</w:t>
      </w:r>
      <w:r>
        <w:t xml:space="preserve"> </w:t>
      </w:r>
      <w:r>
        <w:rPr>
          <w:i/>
          <w:iCs/>
        </w:rPr>
        <w:t xml:space="preserve">Manual dos inquisidores</w:t>
      </w:r>
      <w:r>
        <w:t xml:space="preserve">. Tradução de Maria José Lopes da Silva. Rio de Janeiro: Rosa dos Tempos; Brasília: EdUnB, 1993.</w:t>
      </w:r>
    </w:p>
    <w:p>
      <w:pPr>
        <w:pStyle w:val="BodyText"/>
      </w:pPr>
      <w:r>
        <w:t xml:space="preserve">FEDERICI, Silvia.</w:t>
      </w:r>
      <w:r>
        <w:t xml:space="preserve"> </w:t>
      </w:r>
      <w:r>
        <w:rPr>
          <w:i/>
          <w:iCs/>
        </w:rPr>
        <w:t xml:space="preserve">Calibã e a bruxa</w:t>
      </w:r>
      <w:r>
        <w:t xml:space="preserve">: mulheres, corpo e acumulação primitiva. Tradução de Coletivo Sycorax. São Paulo: Elefante, 2017 [2004].</w:t>
      </w:r>
    </w:p>
    <w:p>
      <w:pPr>
        <w:pStyle w:val="BodyText"/>
      </w:pPr>
      <w:r>
        <w:t xml:space="preserve">GLUCKMAN, Max.</w:t>
      </w:r>
      <w:r>
        <w:t xml:space="preserve"> </w:t>
      </w:r>
      <w:r>
        <w:rPr>
          <w:i/>
          <w:iCs/>
        </w:rPr>
        <w:t xml:space="preserve">Custom and Conflict in Africa</w:t>
      </w:r>
      <w:r>
        <w:t xml:space="preserve">. Oxford: Basil Blackwell, 1955.</w:t>
      </w:r>
    </w:p>
    <w:p>
      <w:pPr>
        <w:pStyle w:val="BodyText"/>
      </w:pPr>
      <w:r>
        <w:t xml:space="preserve">GLUCKMAN, Max. Gossip and scandal.</w:t>
      </w:r>
      <w:r>
        <w:t xml:space="preserve"> </w:t>
      </w:r>
      <w:r>
        <w:rPr>
          <w:i/>
          <w:iCs/>
        </w:rPr>
        <w:t xml:space="preserve">Current Anthropology</w:t>
      </w:r>
      <w:r>
        <w:t xml:space="preserve">, Chicago, v. 4, n. 3, p. 307-316, 1963.</w:t>
      </w:r>
    </w:p>
    <w:p>
      <w:pPr>
        <w:pStyle w:val="BodyText"/>
      </w:pPr>
      <w:r>
        <w:t xml:space="preserve">HENNINGSEN, Gustav.</w:t>
      </w:r>
      <w:r>
        <w:t xml:space="preserve"> </w:t>
      </w:r>
      <w:r>
        <w:rPr>
          <w:i/>
          <w:iCs/>
        </w:rPr>
        <w:t xml:space="preserve">The Witches’ Advocate: Basque Witchcraft and the Spanish Inquisition (1609-1614)</w:t>
      </w:r>
      <w:r>
        <w:t xml:space="preserve">. Reno: University of Nevada Press, 1980.</w:t>
      </w:r>
    </w:p>
    <w:p>
      <w:pPr>
        <w:pStyle w:val="BodyText"/>
      </w:pPr>
      <w:r>
        <w:t xml:space="preserve">HESPANHA, António Manuel.</w:t>
      </w:r>
      <w:r>
        <w:t xml:space="preserve"> </w:t>
      </w:r>
      <w:r>
        <w:rPr>
          <w:i/>
          <w:iCs/>
        </w:rPr>
        <w:t xml:space="preserve">Cultura Jurídica Europeia: Síntese de um Milénio</w:t>
      </w:r>
      <w:r>
        <w:t xml:space="preserve">. 3. ed. Coimbra: Almedina, 2018.</w:t>
      </w:r>
    </w:p>
    <w:p>
      <w:pPr>
        <w:pStyle w:val="BodyText"/>
      </w:pPr>
      <w:r>
        <w:t xml:space="preserve">HESPANHA, António Manuel.</w:t>
      </w:r>
      <w:r>
        <w:t xml:space="preserve"> </w:t>
      </w:r>
      <w:r>
        <w:rPr>
          <w:i/>
          <w:iCs/>
        </w:rPr>
        <w:t xml:space="preserve">Como os juristas viam o mundo. 1550-1750</w:t>
      </w:r>
      <w:r>
        <w:t xml:space="preserve">. Coimbra: Almedina, 2015.</w:t>
      </w:r>
    </w:p>
    <w:p>
      <w:pPr>
        <w:pStyle w:val="BodyText"/>
      </w:pPr>
      <w:r>
        <w:t xml:space="preserve">KAGAN, Richard.</w:t>
      </w:r>
      <w:r>
        <w:t xml:space="preserve"> </w:t>
      </w:r>
      <w:r>
        <w:rPr>
          <w:i/>
          <w:iCs/>
        </w:rPr>
        <w:t xml:space="preserve">Inquisitorial Inquiries: Brief Lives of Martyrs and Agonizers</w:t>
      </w:r>
      <w:r>
        <w:t xml:space="preserve">. Baltimore: Johns Hopkins University Press, 1995.</w:t>
      </w:r>
    </w:p>
    <w:p>
      <w:pPr>
        <w:pStyle w:val="BodyText"/>
      </w:pPr>
      <w:r>
        <w:t xml:space="preserve">KRAMER, Heinrich; SPRENGER, Jacob.</w:t>
      </w:r>
      <w:r>
        <w:t xml:space="preserve"> </w:t>
      </w:r>
      <w:r>
        <w:rPr>
          <w:i/>
          <w:iCs/>
        </w:rPr>
        <w:t xml:space="preserve">Malleus maleficarum</w:t>
      </w:r>
      <w:r>
        <w:t xml:space="preserve">: the hammer of witches. Tradução de Christopher S. Mackay. Cambridge: Cambridge University Press, 2009.</w:t>
      </w:r>
    </w:p>
    <w:p>
      <w:pPr>
        <w:pStyle w:val="BodyText"/>
      </w:pPr>
      <w:r>
        <w:t xml:space="preserve">LEVACK, Brian P.</w:t>
      </w:r>
      <w:r>
        <w:t xml:space="preserve"> </w:t>
      </w:r>
      <w:r>
        <w:rPr>
          <w:i/>
          <w:iCs/>
        </w:rPr>
        <w:t xml:space="preserve">The Witch-Hunt in Early Modern Europe</w:t>
      </w:r>
      <w:r>
        <w:t xml:space="preserve">. 4. ed. London: Routledge, 2015.</w:t>
      </w:r>
    </w:p>
    <w:p>
      <w:pPr>
        <w:pStyle w:val="BodyText"/>
      </w:pPr>
      <w:r>
        <w:t xml:space="preserve">MARTYN, Georges; PAUMEN, Vanessa; BOUSMAR, Eric; ROUSSEAUX, Xavier (eds.).</w:t>
      </w:r>
      <w:r>
        <w:t xml:space="preserve"> </w:t>
      </w:r>
      <w:r>
        <w:rPr>
          <w:i/>
          <w:iCs/>
        </w:rPr>
        <w:t xml:space="preserve">The Art of Law</w:t>
      </w:r>
      <w:r>
        <w:t xml:space="preserve">. Cham: Springer, 2018.</w:t>
      </w:r>
    </w:p>
    <w:p>
      <w:pPr>
        <w:pStyle w:val="BodyText"/>
      </w:pPr>
      <w:r>
        <w:t xml:space="preserve">MELLO E SOUZA, Laura de.</w:t>
      </w:r>
      <w:r>
        <w:t xml:space="preserve"> </w:t>
      </w:r>
      <w:r>
        <w:rPr>
          <w:i/>
          <w:iCs/>
        </w:rPr>
        <w:t xml:space="preserve">O Diabo e a Terra de Santa Cruz</w:t>
      </w:r>
      <w:r>
        <w:t xml:space="preserve">. São Paulo: Companhia das Letras, 1986.</w:t>
      </w:r>
    </w:p>
    <w:p>
      <w:pPr>
        <w:pStyle w:val="BodyText"/>
      </w:pPr>
      <w:r>
        <w:t xml:space="preserve">MERRY, Sally Engle. Legal pluralism.</w:t>
      </w:r>
      <w:r>
        <w:t xml:space="preserve"> </w:t>
      </w:r>
      <w:r>
        <w:rPr>
          <w:i/>
          <w:iCs/>
        </w:rPr>
        <w:t xml:space="preserve">Law &amp; Society Review</w:t>
      </w:r>
      <w:r>
        <w:t xml:space="preserve">, Amherst, v. 22, n. 5, p. 869-896, 1988.</w:t>
      </w:r>
    </w:p>
    <w:p>
      <w:pPr>
        <w:pStyle w:val="BodyText"/>
      </w:pPr>
      <w:r>
        <w:t xml:space="preserve">MONTER, William. Witchcraft in Iberia. In: LEVACK, Brian P. (org.).</w:t>
      </w:r>
      <w:r>
        <w:t xml:space="preserve"> </w:t>
      </w:r>
      <w:r>
        <w:rPr>
          <w:i/>
          <w:iCs/>
        </w:rPr>
        <w:t xml:space="preserve">The Oxford Handbook of Witchcraft</w:t>
      </w:r>
      <w:r>
        <w:t xml:space="preserve">. Oxford: Oxford University Press, 2013. p. 268-282.</w:t>
      </w:r>
    </w:p>
    <w:p>
      <w:pPr>
        <w:pStyle w:val="BodyText"/>
      </w:pPr>
      <w:r>
        <w:t xml:space="preserve">PAIVA, José Pedro.</w:t>
      </w:r>
      <w:r>
        <w:t xml:space="preserve"> </w:t>
      </w:r>
      <w:r>
        <w:rPr>
          <w:i/>
          <w:iCs/>
        </w:rPr>
        <w:t xml:space="preserve">Bruxaria e superstição num país sem</w:t>
      </w:r>
      <w:r>
        <w:rPr>
          <w:i/>
          <w:iCs/>
        </w:rPr>
        <w:t xml:space="preserve"> </w:t>
      </w:r>
      <w:r>
        <w:rPr>
          <w:i/>
          <w:iCs/>
        </w:rPr>
        <w:t xml:space="preserve">“caça às bruxas”</w:t>
      </w:r>
      <w:r>
        <w:rPr>
          <w:i/>
          <w:iCs/>
        </w:rPr>
        <w:t xml:space="preserve">: 1600-1774</w:t>
      </w:r>
      <w:r>
        <w:t xml:space="preserve">. Lisboa: Notícias, 1997.</w:t>
      </w:r>
    </w:p>
    <w:p>
      <w:pPr>
        <w:pStyle w:val="BodyText"/>
      </w:pPr>
      <w:r>
        <w:t xml:space="preserve">PANDOLFI, Maria. Repensando o conceito de rumor.</w:t>
      </w:r>
      <w:r>
        <w:t xml:space="preserve"> </w:t>
      </w:r>
      <w:r>
        <w:rPr>
          <w:i/>
          <w:iCs/>
        </w:rPr>
        <w:t xml:space="preserve">Cadernos de Campo</w:t>
      </w:r>
      <w:r>
        <w:t xml:space="preserve">, São Paulo, n. 12, p. 121-138, 2002.</w:t>
      </w:r>
    </w:p>
    <w:p>
      <w:pPr>
        <w:pStyle w:val="BodyText"/>
      </w:pPr>
      <w:r>
        <w:t xml:space="preserve">PATTERSON, Orlando.</w:t>
      </w:r>
      <w:r>
        <w:t xml:space="preserve"> </w:t>
      </w:r>
      <w:r>
        <w:rPr>
          <w:i/>
          <w:iCs/>
        </w:rPr>
        <w:t xml:space="preserve">Slavery and Social Death: A Comparative Study</w:t>
      </w:r>
      <w:r>
        <w:t xml:space="preserve">. Cambridge: Harvard University Press, 1982.</w:t>
      </w:r>
    </w:p>
    <w:p>
      <w:pPr>
        <w:pStyle w:val="BodyText"/>
      </w:pPr>
      <w:r>
        <w:t xml:space="preserve">PIERONI, Geraldo.</w:t>
      </w:r>
      <w:r>
        <w:t xml:space="preserve"> </w:t>
      </w:r>
      <w:r>
        <w:rPr>
          <w:i/>
          <w:iCs/>
        </w:rPr>
        <w:t xml:space="preserve">Os excluídos do Reino: a Inquisição portuguesa e o degredo para o Brasil-Colônia</w:t>
      </w:r>
      <w:r>
        <w:t xml:space="preserve">. Brasília: Edunb, 2000.</w:t>
      </w:r>
    </w:p>
    <w:p>
      <w:pPr>
        <w:pStyle w:val="BodyText"/>
      </w:pPr>
      <w:r>
        <w:t xml:space="preserve">REIS, João José. Magia jeje na Bahia: a invasão do calundu do Pasto de Cachoeira, 1785.</w:t>
      </w:r>
      <w:r>
        <w:t xml:space="preserve"> </w:t>
      </w:r>
      <w:r>
        <w:rPr>
          <w:i/>
          <w:iCs/>
        </w:rPr>
        <w:t xml:space="preserve">Revista Brasileira de História</w:t>
      </w:r>
      <w:r>
        <w:t xml:space="preserve">, São Paulo, v. 8, n. 16, p. 57-81, 1988.</w:t>
      </w:r>
    </w:p>
    <w:p>
      <w:pPr>
        <w:pStyle w:val="BodyText"/>
      </w:pPr>
      <w:r>
        <w:t xml:space="preserve">ROPER, Lyndal.</w:t>
      </w:r>
      <w:r>
        <w:t xml:space="preserve"> </w:t>
      </w:r>
      <w:r>
        <w:rPr>
          <w:i/>
          <w:iCs/>
        </w:rPr>
        <w:t xml:space="preserve">The Trouble with Witches</w:t>
      </w:r>
      <w:r>
        <w:t xml:space="preserve">. Cambridge, MA: Harvard University Press, 2013.</w:t>
      </w:r>
    </w:p>
    <w:p>
      <w:pPr>
        <w:pStyle w:val="BodyText"/>
      </w:pPr>
      <w:r>
        <w:t xml:space="preserve">SBRICCOLI, Mario. Justiça criminal.</w:t>
      </w:r>
      <w:r>
        <w:t xml:space="preserve"> </w:t>
      </w:r>
      <w:r>
        <w:rPr>
          <w:i/>
          <w:iCs/>
        </w:rPr>
        <w:t xml:space="preserve">Discursos Sediciosos</w:t>
      </w:r>
      <w:r>
        <w:t xml:space="preserve">: crime, direito e sociedade, Rio de Janeiro, n. 17/18, p. 464-476, 2011a.</w:t>
      </w:r>
    </w:p>
    <w:p>
      <w:pPr>
        <w:pStyle w:val="BodyText"/>
      </w:pPr>
      <w:r>
        <w:t xml:space="preserve">SBRICCOLI, Mario.</w:t>
      </w:r>
      <w:r>
        <w:t xml:space="preserve"> </w:t>
      </w:r>
      <w:r>
        <w:rPr>
          <w:i/>
          <w:iCs/>
        </w:rPr>
        <w:t xml:space="preserve">Tormentum idest torquere mentem: processo inquisitório e interrogatório por tortura na Itália comunal</w:t>
      </w:r>
      <w:r>
        <w:t xml:space="preserve">. In: DAL RI JÚNIOR, Arno; SONTAG, Ricardo (org.).</w:t>
      </w:r>
      <w:r>
        <w:t xml:space="preserve"> </w:t>
      </w:r>
      <w:r>
        <w:rPr>
          <w:i/>
          <w:iCs/>
        </w:rPr>
        <w:t xml:space="preserve">História do Direito Penal entre Medievo e Modernidade</w:t>
      </w:r>
      <w:r>
        <w:t xml:space="preserve">. Belo Horizonte: Del Rey, 2011b. p. 145-168.</w:t>
      </w:r>
    </w:p>
    <w:p>
      <w:pPr>
        <w:pStyle w:val="BodyText"/>
      </w:pPr>
      <w:r>
        <w:t xml:space="preserve">THOMAS, Keith.</w:t>
      </w:r>
      <w:r>
        <w:t xml:space="preserve"> </w:t>
      </w:r>
      <w:r>
        <w:rPr>
          <w:i/>
          <w:iCs/>
        </w:rPr>
        <w:t xml:space="preserve">Religion and the Decline of Magic</w:t>
      </w:r>
      <w:r>
        <w:t xml:space="preserve">. London: Weidenfeld &amp; Nicolson, 1971.</w:t>
      </w:r>
    </w:p>
    <w:p>
      <w:pPr>
        <w:pStyle w:val="BodyText"/>
      </w:pPr>
      <w:r>
        <w:t xml:space="preserve">VAINFAS, Ronaldo.</w:t>
      </w:r>
      <w:r>
        <w:t xml:space="preserve"> </w:t>
      </w:r>
      <w:r>
        <w:rPr>
          <w:i/>
          <w:iCs/>
        </w:rPr>
        <w:t xml:space="preserve">Trópico dos pecados: moral, sexualidade e Inquisição no Brasil</w:t>
      </w:r>
      <w:r>
        <w:t xml:space="preserve">. Rio de Janeiro: Campus, 1989.</w:t>
      </w:r>
    </w:p>
    <w:p>
      <w:pPr>
        <w:pStyle w:val="BodyText"/>
      </w:pPr>
      <w:r>
        <w:t xml:space="preserve">VANZIN, Ana.</w:t>
      </w:r>
      <w:r>
        <w:t xml:space="preserve"> </w:t>
      </w:r>
      <w:r>
        <w:rPr>
          <w:i/>
          <w:iCs/>
        </w:rPr>
        <w:t xml:space="preserve">ICONOCRACIA</w:t>
      </w:r>
      <w:r>
        <w:t xml:space="preserve">: alegoria feminina na história da cultura jurídica (séculos XIX-XX). 2026. Tese (Doutorado em Direito), Programa de Pós-Graduação em Direito, Universidade Federal de Santa Catarina, Florianópolis, 2026. No prelo.</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Até quando duvidam, punem: o Malleus Maleficarum, Maria Gonçalves Cajada e a construção atlântica da suspeição inquisitorial de bruxaria</dc:title>
  <dc:creator>Ana Vanzin</dc:creator>
  <dc:language>pt-BR</dc:language>
  <cp:keywords/>
  <dcterms:created xsi:type="dcterms:W3CDTF">2026-06-29T22:38:36Z</dcterms:created>
  <dcterms:modified xsi:type="dcterms:W3CDTF">2026-06-29T22:38:36Z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vt:lpwstr>consolida artigo_v1_consolidado.md (pesquisa) + Artigo_Duvidam_Punem_redacao-limpa.md (prosa + moldura jurídico-penal)</vt:lpwstr>
  </property>
  <property fmtid="{D5CDD505-2E9C-101B-9397-08002B2CF9AE}" pid="3" name="prazo">
    <vt:lpwstr>30-jun-2026</vt:lpwstr>
  </property>
  <property fmtid="{D5CDD505-2E9C-101B-9397-08002B2CF9AE}" pid="4" name="status">
    <vt:lpwstr>v2.3 (cluster Seção 3.2 resolvido: tortura removida [sem registro no proc.], âncora “embustes” confirmada no fl.1 do proc. 10748/ANTT) 27-jun-2026</vt:lpwstr>
  </property>
</Properties>
</file>