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  <w:rtl w:val="0"/>
        </w:rPr>
        <w:t>ICONOCRACIA-CV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Helvetica Neue" w:hAnsi="Helvetica Neue"/>
          <w:sz w:val="72"/>
          <w:szCs w:val="72"/>
          <w:rtl w:val="0"/>
        </w:rPr>
        <w:t>Visual cohort architecture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tl w:val="0"/>
              </w:rPr>
              <w:t>STATUS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Proposal</w:t>
            </w:r>
            <w:r>
              <w:rPr>
                <w:rtl w:val="0"/>
              </w:rPr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tl w:val="0"/>
              </w:rPr>
              <w:t>OWNER</w:t>
            </w:r>
            <w:r>
              <w:rPr>
                <w:rtl w:val="0"/>
              </w:rPr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Ana Vitória Vanzin Mendes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tl w:val="0"/>
              </w:rPr>
              <w:t>UPDATED</w:t>
            </w:r>
            <w:r>
              <w:rPr>
                <w:rtl w:val="0"/>
              </w:rPr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rtl w:val="0"/>
              </w:rPr>
              <w:t>August 14, 2026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>Author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Ana Vitória Vanzin Mendes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>Review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Course instructors and team — to be confirmed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>Documents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2026-08-12 freeze; integrated dossier; codebook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>Scope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From the cataloguing freeze to an audited visual cohort and the semester CBIR system.</w:t>
            </w:r>
            <w:r>
              <w:rPr>
                <w:rtl w:val="0"/>
              </w:rPr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>1.  Abstract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ICONOCRACIA-CV transforms the ICONOCRACIA cataloguing freeze into a visual cohort suitable for content-based image retrieval. The system compares classical descriptors, pretrained CNN embeddings, and, optionally, a vision transformer over the same audited gallery. Its output is a computational atlas of visual neighborhoods with metrics, error analysis, and human historical-iconographic interpretation.</w:t>
      </w:r>
      <w:r>
        <w:rPr>
          <w:rtl w:val="0"/>
        </w:rPr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The release fixes 335 canonical records and 286 coding-ledger entries, but contains zero image binaries. It also includes 106 all-zero vectors and 159 records with fragile or provisional provenance. The architecture separates metadata integrity, media materialization, label eligibility, and experimental readiness through gates G0–G3; it does not propose training a large CNN from scratch.</w:t>
      </w:r>
      <w:r>
        <w:rPr>
          <w:rtl w:val="0"/>
        </w:rPr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2.  Goals and non-goals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Goals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Non-goals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Build a verifiable visual cohort from the 335 records.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Treat 335 records as 335 trainable images.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Compare HOG/color, a pretrained CNN, and a transformer on one gallery.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Design or fully train a large original neural network.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Produce reproducible top-k retrieval with distance and provenance.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Claim that distance proves historical influence or iconological understanding.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Use auxiliary supervision only after G2 and G3.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Use false zeros or a composite score as evidentiary truth.</w:t>
            </w:r>
            <w:r>
              <w:rPr>
                <w:rtl w:val="0"/>
              </w:rPr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3.  Background and problem statement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The current freeze is internally consistent as a metadata snapshot: all 335 records pass schema validation, and the separate ledger has 286 entries. This does not make it a self-contained visual dataset. Cataloguing URLs do not guarantee a valid image, correspondence with the described object, or permission to redistribute it.</w:t>
      </w:r>
      <w:r>
        <w:rPr>
          <w:rtl w:val="0"/>
        </w:rPr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The ten indicators are formally present in all 335 records, but their substantive validity varies: 106 vectors are all zero, and 159 provenance records remain under audit. The architectural principle is closed failure: package validation alone never authorizes claims about media, labels, or machine-learning readiness.</w:t>
      </w:r>
      <w:r>
        <w:rPr>
          <w:rFonts w:ascii="Helvetica Neue" w:cs="Helvetica Neue" w:eastAsia="Helvetica Neue" w:hAnsi="Helvetica Neue"/>
          <w:sz w:val="13"/>
          <w:szCs w:val="13"/>
          <w:vertAlign w:val="superscript"/>
        </w:rPr>
        <w:footnoteReference w:customMarkFollows="0" w:id="0"/>
      </w:r>
      <w:r>
        <w:br w:type="page"/>
      </w:r>
      <w:r>
        <w:rPr>
          <w:rtl w:val="0"/>
        </w:rPr>
      </w:r>
    </w:p>
    <w:p w14:paraId="00000039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4.  Proposed architecture</w:t>
      </w:r>
    </w:p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3B">
      <w:pPr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drawing>
          <wp:inline distB="0" distT="0" distL="0" distR="0">
            <wp:extent cx="6126480" cy="3139821"/>
            <wp:effectExtent b="0" l="0" r="0" t="0"/>
            <wp:docPr id="1" name="ICONOCRACIA-CV architecture" descr="Flow from gates G0 to G3, followed by three visual representations and expert CBIR evaluation.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>Figure 1. Proposed ICONOCRACIA-CV architecture and evidence gates.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tl w:val="0"/>
        </w:rPr>
      </w:r>
    </w:p>
    <w:p w14:paraId="0000003E">
      <w:pPr>
        <w:pStyle w:val="Heading3"/>
        <w:spacing w:after="90" w:line="280" w:lineRule="auto"/>
        <w:rPr/>
      </w:pPr>
      <w:bookmarkStart w:colFirst="0" w:colLast="0" w:name="_heading=h.z8y8vnqzkka4" w:id="3"/>
      <w:bookmarkEnd w:id="3"/>
      <w:r>
        <w:rPr>
          <w:rtl w:val="0"/>
        </w:rPr>
        <w:t>Core components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Component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Responsibility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Storage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Failure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Freeze registry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Fixes release, IDs, schemas, counts, and hashes.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records.jsonl + manifest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Closed failure; G0 does not pass.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Cohort builder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Validates bytes, MIME, dimensions, correspondence, and license.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vision-v1 + cache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Excludes item; does not promote G1.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Label auditor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Records state, provenance, confidence, and adjudication.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ledger + provenance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Marks ineligible; never assumes zero.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Indexer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Produces descriptors and embeddings from versioned configuration.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features + hashes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Invalidates run; no hidden fallback.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4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Evaluator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5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Computes top-k, metrics, and expert error analysis.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6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rankings + judgments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7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Reports partial output and blocks conclusion.</w:t>
            </w:r>
            <w:r>
              <w:rPr>
                <w:rtl w:val="0"/>
              </w:rPr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5.  Request lifecycle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Execution receives an image or record_id, the release, the manifest, and the requested representation.</w:t>
      </w:r>
      <w:r>
        <w:rPr>
          <w:rtl w:val="0"/>
        </w:rPr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The record is resolved against the immutable freeze; unknown or ambiguous IDs terminate execution.</w:t>
      </w:r>
      <w:r>
        <w:rPr>
          <w:rtl w:val="0"/>
        </w:rPr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The system confirms G1 and verifies that the binary hash matches the visual manifest.</w:t>
      </w:r>
      <w:r>
        <w:rPr>
          <w:rtl w:val="0"/>
        </w:rPr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The image is decoded and processed with the versioned preprocessing of the selected representation.</w:t>
      </w:r>
      <w:r>
        <w:rPr>
          <w:rtl w:val="0"/>
        </w:rPr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The selected extractor produces the query feature or embedding.</w:t>
      </w:r>
      <w:r>
        <w:rPr>
          <w:rtl w:val="0"/>
        </w:rPr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The query is compared only with the gallery and groups authorized by the G3 split.</w:t>
      </w:r>
      <w:r>
        <w:rPr>
          <w:rtl w:val="0"/>
        </w:rPr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The output records top-k, IDs, distances, metadata, versions, and caveats; human review stays separate.</w:t>
      </w:r>
      <w:r>
        <w:rPr>
          <w:rtl w:val="0"/>
        </w:rPr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6.  Data and interface contracts</w:t>
      </w:r>
    </w:p>
    <w:p w14:paraId="00000064">
      <w:pPr>
        <w:pStyle w:val="Heading3"/>
        <w:spacing w:after="90" w:line="280" w:lineRule="auto"/>
        <w:rPr/>
      </w:pPr>
      <w:bookmarkStart w:colFirst="0" w:colLast="0" w:name="_heading=h.tw1sfexklg0y" w:id="4"/>
      <w:bookmarkEnd w:id="4"/>
      <w:r>
        <w:rPr>
          <w:rtl w:val="0"/>
        </w:rPr>
        <w:t>Primary data contract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Field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Type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Required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Description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record_id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Stable canonical identifier for the object.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freeze_release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Immutable tag from which the record was derived.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media_ref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object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Binary source, license, and redistribution conditions.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image_sha256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hex 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Exact identity of the validated bytes.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split_group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Indivisible group for duplicates, views, or series.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label_state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object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Conditional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Values, state, provenance, and adjudication.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representation_spec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object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Extractor, weights, preprocessing, version, and hash.</w:t>
            </w:r>
            <w:r>
              <w:rPr>
                <w:rtl w:val="0"/>
              </w:rPr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7">
      <w:pPr>
        <w:pStyle w:val="Heading3"/>
        <w:spacing w:after="90" w:line="280" w:lineRule="auto"/>
        <w:rPr/>
      </w:pPr>
      <w:bookmarkStart w:colFirst="0" w:colLast="0" w:name="_heading=h.379jmrhyew9b" w:id="5"/>
      <w:bookmarkEnd w:id="5"/>
      <w:r>
        <w:rPr>
          <w:rtl w:val="0"/>
        </w:rPr>
        <w:t>Contract guarantees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record_id is unique within an immutable freeze_release.</w:t>
      </w:r>
      <w:r>
        <w:rPr>
          <w:rtl w:val="0"/>
        </w:rPr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An eligible image has validated bytes and image_sha256; an isolated URL does not satisfy the contract.</w:t>
      </w:r>
      <w:r>
        <w:rPr>
          <w:rtl w:val="0"/>
        </w:rPr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Supervised labels are exposed only after G2; a zero without provenance never becomes a negative.</w:t>
      </w:r>
      <w:r>
        <w:rPr>
          <w:rtl w:val="0"/>
        </w:rPr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Manifest, split, representation, and seed fix the experiment; they do not prove historical causality.</w:t>
      </w:r>
      <w:r>
        <w:rPr>
          <w:rtl w:val="0"/>
        </w:rPr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The versioned contract and immutable release are published at</w:t>
      </w:r>
      <w:r>
        <w:rPr>
          <w:rtl w:val="0"/>
        </w:rPr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hyperlink r:id="rId9">
        <w:r>
          <w:rPr>
            <w:rFonts w:ascii="Helvetica Neue" w:cs="Helvetica Neue" w:eastAsia="Helvetica Neue" w:hAnsi="Helvetica Neue"/>
            <w:color w:val="2f6b9a"/>
            <w:u w:val="single"/>
            <w:rtl w:val="0"/>
          </w:rPr>
          <w:t>Hugging Face — ICONOCRACIA-CV-2026-08-12</w:t>
        </w:r>
      </w:hyperlink>
      <w:r>
        <w:rPr>
          <w:rFonts w:ascii="Helvetica Neue" w:cs="Helvetica Neue" w:eastAsia="Helvetica Neue" w:hAnsi="Helvetica Neue"/>
          <w:color w:val="233447"/>
          <w:rtl w:val="0"/>
        </w:rPr>
        <w:t xml:space="preserve"/>
      </w:r>
      <w:r>
        <w:rPr>
          <w:rtl w:val="0"/>
        </w:rPr>
      </w:r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90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7. Consistency, idempotency, and replay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Media identity is based on byte hashes, not URLs. Each run fixes the release, manifest, split, extractor, weights, preprocessing, and seed. Artifact divergence causes closed failure; legitimate changes create a new version without overwriting the previous freeze.</w:t>
      </w:r>
      <w:r>
        <w:rPr>
          <w:rtl w:val="0"/>
        </w:rPr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Scenario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Expected behavior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Reason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Same bytes reingested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Does not create a new unit; associates an alias with the group.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image_sha256 makes ingestion idempotent.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URL returns new bytes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Fails or creates an explicit version; never overwrites the freeze.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 URL is not content identity.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Duplicate or series reclassified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Creates a new manifest and split_group.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Previous splits remain reconstructible.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Replay artifact differs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Stops execution and reports the mismatched hash.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Prevents silent result reconstruction.</w:t>
            </w:r>
            <w:r>
              <w:rPr>
                <w:rtl w:val="0"/>
              </w:rPr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8. Security and privacy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Do not redistribute binaries without explicit rights; the metadata license does not transfer to the images.</w:t>
      </w:r>
      <w:r>
        <w:rPr>
          <w:rtl w:val="0"/>
        </w:rPr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Keep tokens, credentials, and local paths out of manifests, ZIP archives, logs, and reports.</w:t>
      </w:r>
      <w:r>
        <w:rPr>
          <w:rtl w:val="0"/>
        </w:rPr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Treat downloads as untrusted: validate MIME type, decoding, dimensions, and correspondence.</w:t>
      </w:r>
      <w:r>
        <w:rPr>
          <w:rtl w:val="0"/>
        </w:rPr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Verify hashes for data, weights, and artifacts before ingestion or replay.</w:t>
      </w:r>
      <w:r>
        <w:rPr>
          <w:rtl w:val="0"/>
        </w:rPr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Publish only permitted artifacts; provide a reconstructible manifest for restricted images.</w:t>
      </w:r>
      <w:r>
        <w:rPr>
          <w:rtl w:val="0"/>
        </w:rPr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C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9.  Operational readiness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Signal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SLO or alert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Owner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  <w:rtl w:val="0"/>
              </w:rPr>
              <w:t>Gate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Freeze integrity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335/335 valid; hashes and remote identity confirmed.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Freeze QA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G0 · 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Eligible media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100% decodable; zero HTML accepted as an image.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Media QA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8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G1 · 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Supervised labels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100% with state and provenance; zero false zeros.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Label QA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C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G2 · conditional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Leak-free separation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Zero split_group crossing the datasets.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ML curator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0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G3 · 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Reproducibility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100% of results linked to versions and hashes.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ML/CV + domain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Post-G3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082a4a"/>
                <w:rtl w:val="0"/>
              </w:rPr>
              <w:t>Current state: G0 approved; G1 failed because image binaries are absent; G2 not demonstrated; G3 does not yet exist. Promotion follows only the highest approved gate.</w:t>
            </w:r>
            <w:r>
              <w:rPr>
                <w:rtl w:val="0"/>
              </w:rPr>
            </w:r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C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10. Alternatives considered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Alternative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Why consider it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Why not select it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Deep CNN from scratch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Exercises end-to-end training and neural architecture.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Small cohort; high overfitting risk.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Classification as core task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Directly links images and indicators.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Deferred until provenance, classes, and split pass G2–G3.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JSON release as visual dataset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Simple and already published.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Passes G0 but contains zero image binaries.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Web application or API first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Supports demonstration and sharing.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Diverts effort from manifest, evaluation, and reproducibility.</w:t>
            </w:r>
            <w:r>
              <w:rPr>
                <w:rtl w:val="0"/>
              </w:rPr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11. Open questions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Is similarity retrieval accepted by the instructors as the primary task?</w:t>
      </w:r>
      <w:r>
        <w:rPr>
          <w:rtl w:val="0"/>
        </w:rPr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Does a linear head over a pretrained extractor satisfy the checkpoint requirement?</w:t>
      </w:r>
      <w:r>
        <w:rPr>
          <w:rtl w:val="0"/>
        </w:rPr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May the final ZIP omit restricted images and reconstruct them from the manifest?</w:t>
      </w:r>
      <w:r>
        <w:rPr>
          <w:rtl w:val="0"/>
        </w:rPr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What hardware will be available through VLAB@UFSC for the experiments?</w:t>
      </w:r>
      <w:r>
        <w:rPr>
          <w:rtl w:val="0"/>
        </w:rPr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E3">
      <w:pPr>
        <w:pStyle w:val="Heading1"/>
        <w:rPr>
          <w:rFonts w:ascii="Helvetica Neue" w:cs="Helvetica Neue" w:eastAsia="Helvetica Neue" w:hAnsi="Helvetica Neue"/>
        </w:rPr>
        <w:pageBreakBefore/>
      </w:pPr>
      <w:r>
        <w:rPr>
          <w:rFonts w:ascii="Helvetica Neue" w:cs="Helvetica Neue" w:eastAsia="Helvetica Neue" w:hAnsi="Helvetica Neue"/>
          <w:rtl w:val="0"/>
        </w:rPr>
        <w:t>12. Decision and next steps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Adopt the ICONOCRACIA-CV-2026-08-12 tag as the semester universe and build a vision-v1 cohort through explicit promotion across G0, G1, G2, and G3. Model comparison begins only after the grouped split; every result remains linked to the hashes and versions that produced it.</w:t>
      </w:r>
      <w:r>
        <w:rPr>
          <w:rtl w:val="0"/>
        </w:rPr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Milestone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Deliverable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Exit criterion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M1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Consolidated G0: tag, hashes, schemas, and crosswalk.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Immutable tag and 335/335 valid records.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M2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G1 / vision-v1: bytes, MIME, license, and hashes.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Every eligible item linked to validated bytes.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M3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G2–G3: labels, groups, splits, and data card.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Zero false zeros supervised and zero leakage.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M4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HOG, CNN, extension, evaluation, and deliverables.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Same gallery, reconstructible results, documented errors.</w:t>
            </w:r>
            <w:r>
              <w:rPr>
                <w:rtl w:val="0"/>
              </w:rPr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>ICONOCRACIA-CV | System Design 2026.2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Visual dataset means a G1–G3 cohort; the G0 freeze remains metadata-only.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huggingface.co/datasets/warholana/iconocracy-corpus/tree/ICONOCRACIA-CV-2026-08-12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