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METODOLOGIA (v.1)</w:t>
      </w:r>
    </w:p>
    <w:p>
      <w:pPr>
        <w:jc w:val="center"/>
      </w:pPr>
      <w:r>
        <w:rPr>
          <w:rFonts w:ascii="Times New Roman" w:hAnsi="Times New Roman"/>
          <w:b/>
          <w:sz w:val="24"/>
        </w:rPr>
        <w:t>ICONOCRACIA: Alegoria Feminina na História da Cultura Jurídica (Séculos XIX–XX)</w:t>
      </w:r>
    </w:p>
    <w:p>
      <w:pPr>
        <w:spacing w:before="0" w:after="0" w:lineRule="auto" w:line="36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Doutoranda: Ana Vanzin | Programa de Pós-Graduação em Direito — PPGD/UFSC</w:t>
      </w:r>
    </w:p>
    <w:p>
      <w:pPr>
        <w:spacing w:before="0" w:after="12" w:lineRule="auto" w:line="36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Disciplina: Métodos e Metodologias Aplicados ao Projeto de Tese | Encontro 5 · 09/04/2026</w:t>
      </w:r>
    </w:p>
    <w:p>
      <w:pPr>
        <w:spacing w:before="240" w:after="120" w:lineRule="auto" w:line="360"/>
        <w:ind w:firstLine="0"/>
        <w:jc w:val="left"/>
      </w:pPr>
      <w:r>
        <w:rPr>
          <w:rFonts w:ascii="Times New Roman" w:hAnsi="Times New Roman"/>
          <w:b/>
          <w:sz w:val="24"/>
        </w:rPr>
        <w:t>1  POSICIONAMENTO EPISTEMOLÓGICO E TRADIÇÃO DE PESQUISA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pesquisa se inscreve em uma tradição interdisciplinar que articula história do direito, história da arte e teoria de gênero. Do ponto de vista epistemológico, adota-se uma perspectiva qualitativa, histórico-interpretativa, que reconhece a imagem como documento histórico dotado de sentido jurídico-político próprio. A abordagem não é positivista — não busca leis gerais a partir de dados quantitativos —, mas tampouco é puramente hermenêutica no sentido diltheyano: parte-se da premissa de que as alegorias femininas, longe de serem meros ornamentos visuais, constituem dispositivos normativos que participam ativamente da construção e legitimação da ordem jurídica estatal.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tradição de pesquisa em que se insere esta tese é a da história da cultura jurídica visual, campo emergente que combina o historicismo jurídico humanista cultivado por Paolo Grossi, António Manuel Hespanha e Arno Dal Ri Jr. com os métodos da história da arte — especialmente o método iconológico de Erwin Panofsky e a noção warburguiana de Pathosformel — e com a teoria feminista do contrato social (Carole Pateman) e da produção simbólica de gênero (Marina Warner, Maurice Agulhon). A interdisciplinaridade não é ornamental: ela é constitutiva do objeto de pesquisa, pois a alegoria feminina da Justiça ou da República só pode ser adequadamente compreendida na interseção entre o campo jurídico, o campo visual e o campo das relações de gênero.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Nessa perspectiva, a imagem não é mero reflexo passivo das estruturas jurídicas: ela as produz, as naturaliza e as contesta. A cultura jurídica visual designa o conjunto de práticas, objetos e saberes pelos quais as sociedades modernas constituem e reproduzem, por meios visuais, sua ordem jurídica imaginada. A alegoria feminina estatal — seja a Marianne francesa, a Britannia britânica, a Germania wilhelminiana, a Columbia norte-americana, a Belgique constitucional ou a República brasileira positivista — é o operador visual central desse processo.</w:t>
      </w:r>
    </w:p>
    <w:p>
      <w:pPr>
        <w:spacing w:before="240" w:after="120" w:lineRule="auto" w:line="360"/>
        <w:ind w:firstLine="0"/>
        <w:jc w:val="left"/>
      </w:pPr>
      <w:r>
        <w:rPr>
          <w:rFonts w:ascii="Times New Roman" w:hAnsi="Times New Roman"/>
          <w:b/>
          <w:sz w:val="24"/>
        </w:rPr>
        <w:t>2  NATUREZA E TIPO DE PESQUISA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pesquisa é de natureza qualitativa, exploratória e histórico-comparada. É exploratória porque o campo da iconologia jurídica aplicada ao gênero — especialmente no âmbito do direito público comparado — carece de sistematização: os estudos existentes, como os de Stefan Huygebaert, Georges Martyn, Bettina Kocher e Gerlinde Schott, são majoritariamente monográficos e não estabelecem um protocolo de análise comparada entre múltiplas jurisdições nacionais ao longo de dois séculos. É histórica porque o corpus se estende por duzentos anos (1800–2000) e demanda contextualização em processos políticos de longa duração: fundações republicanas, consolidações institucionais, ciclos de guerra e imperialismo, descolonizações. É comparada porque examina seis jurisdições nacionais de modo sistemático, identificando convergências estruturais, divergências culturais e transferências iconográficas transnacionais.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unidade de análise é o item iconográfico — cada representação alegórica feminina em seu suporte material específico — e não o texto jurídico nem o sujeito individual. O corpus é, portanto, um corpus de imagens primárias, complementado por fontes documentais contextuais que permitem reconstituir as condições de produção, circulação e recepção de cada item. A dimensão empírica da pesquisa é fundamentalmente documental e arquivística: não se realizam entrevistas nem surveys, pois os sujeitos históricos não são acessíveis e a evidência pertinente reside nos objetos visuais e nos documentos que os enquadram institucionalmente.</w:t>
      </w:r>
    </w:p>
    <w:p>
      <w:pPr>
        <w:spacing w:before="240" w:after="120" w:lineRule="auto" w:line="360"/>
        <w:ind w:firstLine="0"/>
        <w:jc w:val="left"/>
      </w:pPr>
      <w:r>
        <w:rPr>
          <w:rFonts w:ascii="Times New Roman" w:hAnsi="Times New Roman"/>
          <w:b/>
          <w:sz w:val="24"/>
        </w:rPr>
        <w:t>3  MÉTODO CENTRAL: A ICONOLOGIA JURÍDICA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método central desta tese é a iconologia jurídica — adaptação do método iconológico de Erwin Panofsky ao campo do direito. Na formulação original de Panofsky, elaborada em Meaning in the Visual Arts (1955), a análise de imagens avança por três níveis progressivos de profundidade interpretativa. O primeiro é o nível pré-iconográfico, que descreve o que é visualmente perceptível sem recorrer à interpretação convencional: formas, postura, gesto, composição espacial, suporte material, texto inscrito. O segundo é o nível iconográfico, que identifica o significado convencional dos motivos e símbolos reconhecíveis pela cultura visual compartilhada: a balança como Justiça, o barrete frígio como Liberdade, o capacete como potência bélica, a cornucópia como prosperidade. O terceiro é o nível iconológico, que interpreta o significado intrínseco ou sintomático da obra, revelando os valores, pressupostos e tensões da época em que foi produzida.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adaptação jurídica deste método opera um deslocamento fundamental no terceiro nível: o que se interpreta não é apenas o 'espírito da época' no sentido burckardtiano, mas a função jurídico-política específica da alegoria — como ela legitima, estabiliza ou contesta a ordem estatal, como instrumentaliza o corpo feminino para fins de governo simbólico e como se inscreve em um regime iconocrático determinado. A iconologia jurídica, portanto, não trata as imagens como ilustrações do direito, mas como documentos jurídicos primários, dotados de eficácia normativa análoga à dos textos legais.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operacionalização deste método sobre o corpus se dá em três etapas articuladas. Na primeira etapa — análise pré-iconográfica —, cada item é descrito em termos de suas propriedades visuais objetivas: número e postura das figuras, vestimenta e grau de cobertura corporal, atributos físicos carregados (espada, balança, barrete frígio, coroa, escudo, fasces, tocha, livro de leis), composição espacial, técnica e suporte, texto inscrito. Na segunda etapa — análise iconográfica —, identifica-se o motivo alegórico específico (Marianne, Britannia, Germania, Columbia, Justitia, A República), o código Iconclass primário (48C51 para alegorias femininas estatais), a tradição iconográfica citada e a Pathosformel warburguiana ativa — a fórmula gestual que porta, em si mesma, uma memória de emoção histórica (Nachleben). Na terceira etapa — análise iconológica —, interpreta-se a função jurídico-política da alegoria, classificando-a em um dos três regimes iconocráticos (FUNDACIONAL, NORMATIVO, MILITAR) e avaliando o grau de ENDURECIMENTO do corpo alegórico mediante os dez indicadores de purificação.</w:t>
      </w:r>
    </w:p>
    <w:p>
      <w:pPr>
        <w:spacing w:before="240" w:after="120" w:lineRule="auto" w:line="360"/>
        <w:ind w:firstLine="0"/>
        <w:jc w:val="left"/>
      </w:pPr>
      <w:r>
        <w:rPr>
          <w:rFonts w:ascii="Times New Roman" w:hAnsi="Times New Roman"/>
          <w:b/>
          <w:sz w:val="24"/>
        </w:rPr>
        <w:t>4  OS TRÊS REGIMES ICONOCRÁTICOS E O CONCEITO DE ENDURECIMENTO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conceito de iconocracia designa o regime pelo qual o Estado moderno utiliza imagens — especialmente imagens do corpo feminino alegorizado — como instrumento de produção, estabilização e contestação da ordem jurídica legítima. Esta tese propõe uma tipologia de três regimes iconocráticos que correspondem a fases históricas e funções políticas distintas.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regime FUNDACIONAL caracteriza a fase de constituição dos Estados republicanos: o corpo alegórico está em seu estado mais vivo, dinâmico e exposto. A Marianne revolucionária de Delacroix — de peito nu, barrete frígio, bandeira erguida — é o paradigma deste regime. O corpo feminino funciona aqui como dispositivo sacrificial e fundador: ele encarna a ruptura com a ordem anterior e legitima a nova ordem pelo gesto e pela carne. O regime NORMATIVO caracteriza a fase de estabilização burocrática da república: a alegoria é domesticada, vestida, serializada e infinitamente reproduzível. A Semeuse de Oscar Roty, adotada nos selos e moedas francesas a partir de 1898, é o paradigma — corpo caminhante mas coberto, de perfil, sem dramatismo, perfeitamente reproduzível em milhões de exemplares idênticos. O regime MILITAR caracteriza a fase de mobilização imperial e bélica: o corpo alegórico ENDURECE ao máximo, armando-se, blindando-se, dominando territórios e sujeitos coloniais. A Britannia com tridente e capacete, sentada sobre o globo, é o seu paradigma.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ENDURECIMENTO — conceito original desta tese — designa o processo de purificação progressiva pelo qual o corpo feminino alegorizado se transforma de corpo vivo em ícone estatal imóvel, intercambiável e metalizado. Trata-se de um processo mensurável a partir de dez indicadores analíticos, cada um avaliado em escala ordinal de zero a quatro pontos (0 = ausente; 4 = extremo): (1) desincorporação — redução do corpo inteiro ao busto, ao rosto ou ao símbolo; (2) rigidez postural — congelamento progressivo do movimento; (3) dessexualização — ocultação do corpo e remoção de marcadores de corporalidade feminina; (4) uniformização facial — genericidade crescente das feições; (5) heraldicização — integração em programa heráldico ou institucional; (6) enquadramento arquitetônico — emolduramento por bordas arquitetônicas ou ornamentais; (7) apagamento narrativo — remoção do contexto de ação; (8) monocromatização — redução da policromia ao monocromo ou ao metálico; (9) serialidade — reprodução industrial em massa; e (10) inscrição estatal — texto ou símbolos estatais inscritos sobre ou ao redor do corpo. O score de ENDURECIMENTO de cada item é calculado como média aritmética dos dez indicadores (escala 0,0–4,0), funcionando sempre como síntese interpretativa, nunca como substituição da análise qualitativa individual de cada indicador.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Esta tese propõe igualmente dois conceitos originais que operacionalizam a dimensão de gênero do ENDURECIMENTO. O Contrato Sexual Visual designa o mecanismo pelo qual o Estado moderno instrumentaliza o corpo feminino alegorizado para fins de legitimação jurídico-política: o corpo da mulher — abstrato, idealizado, purificado — é convertido em suporte da autoridade estatal precisamente porque é esvaziado de sua particularidade de sujeito. A Feminilidade de Estado designa a feminilidade como tecnologia de governo visual: não uma feminilidade qualquer, mas aquela construída, selecionada e estabilizada pelo aparato estatal para representar os atributos que o Estado deseja ver associados à sua própria imagem — pureza, imparcialidade, majestade, fecundidade.</w:t>
      </w:r>
    </w:p>
    <w:p>
      <w:pPr>
        <w:spacing w:before="240" w:after="120" w:lineRule="auto" w:line="360"/>
        <w:ind w:firstLine="0"/>
        <w:jc w:val="left"/>
      </w:pPr>
      <w:r>
        <w:rPr>
          <w:rFonts w:ascii="Times New Roman" w:hAnsi="Times New Roman"/>
          <w:b/>
          <w:sz w:val="24"/>
        </w:rPr>
        <w:t>5  CONSTITUIÇÃO DO CORPUS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corpus da tese é composto por representações alegóricas femininas com função jurídico-política explícita, produzidas entre 1800 e 2000 em seis jurisdições nacionais: França (FR), Reino Unido (UK), Alemanha (DE), Estados Unidos (US), Bélgica (BE) e Brasil (BR). A seleção dessas jurisdições não é arbitrária: corresponde ao conjunto de países que, no período estudado, produziram as tradições iconográficas mais sistematizadas de alegoria feminina estatal — e que, ademais, mantiveram relações de influência e transferência recíproca, constituindo um sistema iconográfico transnacional cujas circulações a tese visa mapear.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inclusão de um item no corpus exige o cumprimento simultâneo de cinco critérios cumulativos: (1) a figura representada deve ser feminina e alegórica, excluindo-se retratos de mulheres reais e figuras masculinas; (2) deve exercer função jurídico-política explícita — representando a República, a Justiça, a Nação, a Lei ou o Estado —, excluindo-se figuras meramente decorativas ou mitológicas sem conexão com a ordem jurídica; (3) deve ser datável entre 1800 e 2000; (4) deve pertencer a uma das seis jurisdições contempladas; e (5) deve estar inscrita em um dos suportes materiais aceitos: moeda circulante ou colonial, selo postal, monumento público ou escultura, arquitetura forense (inclusive decoração interior de tribunais — murais, vitrais, relevos de vestíbulo, pinturas de teto), estampa ou gravura, frontispício de codificação legal, papel-moeda e cartaz oficial ou de propaganda.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estratégia de constituição do corpus é exaustiva dentro dos critérios estabelecidos — não por amostragem aleatória, mas por saturação informacional: a busca continua até que novas buscas sistemáticas nos acervos não produzam candidatos novos que satisfaçam os critérios de inclusão. Os acervos prioritários são aqueles com metadados verificáveis e imagens de alta resolução disponíveis em domínio público ou mediante licença: a Bibliothèque nationale de France (Gallica/BnF), o British Museum Collection Online, a Library of Congress Digital Collections, os portais de numismática comparada Numista e Colnect, a Biblioteca Nacional Digital do Brasil, o Musée des monnaies et médailles de Paris e a Bundesdruckerei. Para cada item selecionado, é registrada uma ficha-padrão contendo metadados completos — título, data, jurisdição, suporte, dimensões, acervo, URL ou referência de localização, direitos de reprodução — e a análise nos três níveis iconológicos.</w:t>
      </w:r>
    </w:p>
    <w:p>
      <w:pPr>
        <w:spacing w:before="240" w:after="120" w:lineRule="auto" w:line="360"/>
        <w:ind w:firstLine="0"/>
        <w:jc w:val="left"/>
      </w:pPr>
      <w:r>
        <w:rPr>
          <w:rFonts w:ascii="Times New Roman" w:hAnsi="Times New Roman"/>
          <w:b/>
          <w:sz w:val="24"/>
        </w:rPr>
        <w:t>6  TÉCNICAS DE PESQUISA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tese mobiliza três técnicas complementares que operam em sequência e de modo mutuamente informado. A primeira é a pesquisa documental e arquivística, que consiste na localização, recuperação e catalogação sistemática de fontes primárias nos acervos identificados. Esta técnica opera em dois planos simultâneos: o levantamento iconográfico — identificação das alegorias femininas nos suportes materiais aceitos — e o levantamento documental contextual — leis, decretos, relatórios de comissões parlamentares, concursos de cunhagem, correspondência oficial e registros administrativos que permitam reconstituir as condições de produção de cada item. O levantamento contextual é metodologicamente indispensável porque evita interpretações anacrônicas: saber que um concurso de Marianne foi politicamente disputado, ou que uma alegoria foi recusada pelo Tesouro por 'indecência', transforma radicalmente a interpretação iconológica do item resultante.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segunda técnica é a análise de conteúdo visual, entendida à luz da proposta metodológica de Laurence Bardin e adaptada às especificidades do documento iconográfico. As categorias analíticas são estabelecidas a priori com base no marco teórico da pesquisa e operacionalizadas pelo protocolo dos dez indicadores de ENDURECIMENTO: cada indicador funciona como uma categoria de análise com definição operacional explícita, escala de pontuação e exemplos-âncora calibrados por subgrupo de regime iconocrático. A análise é realizada em dupla rodada independente — com intervalo mínimo de quinze dias entre as rodadas — para controle da consistência interna. As divergências entre rodadas são reconciliadas por reflexão argumentada e documentadas no anexo metodológico.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terceira técnica é a comparação sistemática entre jurisdições. A comparação opera em dois níveis articulados. No primeiro nível, comparam-se os perfis médios de ENDURECIMENTO entre jurisdições e entre regimes iconocráticos, identificando tendências convergentes e divergentes. No segundo nível — o mais relevante para a tese —, analisam-se as transferências iconográficas transnacionais: como a Marianne francesa influenciou a República brasileira; como a Britannia colonial foi adaptada para as moedas do Império destinadas à Ásia; como a Germania wilhelminiana dialogou com a Minerva dos tribunais belgas. É neste segundo nível que a noção warburguiana de Zwischenraum — o espaço entre imagens de jurisdições distintas, prenhe de memória gestual e transferência formal — adquire sua plena potência analítica para a tese.</w:t>
      </w:r>
    </w:p>
    <w:p>
      <w:pPr>
        <w:spacing w:before="240" w:after="120" w:lineRule="auto" w:line="360"/>
        <w:ind w:firstLine="0"/>
        <w:jc w:val="left"/>
      </w:pPr>
      <w:r>
        <w:rPr>
          <w:rFonts w:ascii="Times New Roman" w:hAnsi="Times New Roman"/>
          <w:b/>
          <w:sz w:val="24"/>
        </w:rPr>
        <w:t>7  VALIDADE, CONFIABILIDADE E CONSISTÊNCIA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questão da validade em pesquisa histórico-iconográfica não se resolve pelos critérios estatísticos da replicabilidade experimental, mas exige um conjunto articulado de dispositivos que assegurem, simultaneamente, a consistência interna do método e a rastreabilidade intersubjetiva das interpretações. Para a presente tese, quatro dispositivos foram concebidos de forma integrada. O primeiro é a triangulação metodológica: cada peça do corpus é examinada por ao menos três vias analíticas independentes — a análise iconológica em três níveis, a pontuação dos dez indicadores de ENDURECIMENTO e a localização da peça no mapa comparativo do Zwischenraum — de modo que nenhuma conclusão interpretativa repousa sobre uma única operação analítica.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segundo dispositivo é a operacionalização explícita e pública dos conceitos. Os dez indicadores de ENDURECIMENTO são definidos operacionalmente no protocolo IconoCode com descrição verbal, exemplos positivos e negativos, e critérios de pontuação (escala ordinal 0–4) suficientemente precisos para permitir a aplicação independente por outros pesquisadores. Essa transparência definitória constitui a base da validade de constructo: o leitor pode contestar a pertinência da escala, mas não a arbitrariedade de sua aplicação ao corpus.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terceiro dispositivo é a dupla codificação amostral: uma subamostra de aproximadamente 20% do corpus (selecionada por sorteio estratificado por país e suporte) será codificada de forma independente por um segundo pesquisador treinado no protocolo IconoCode, calculando-se o índice de concordância inter-avaliador (Kappa de Cohen). Valores de κ ≥ 0,70 são tomados como limiar de confiabilidade aceitável; divergências sistemáticas serão registradas e utilizadas para refinamento dos descritores operacionais. O quarto dispositivo é o peer debriefing estruturado: capítulos analíticos serão submetidos, em versão preliminar, a especialistas externos em história da arte jurídica e em estudos de gênero, cujas objeções serão respondidas ou incorporadas antes da versão final, assegurando validade comunicativa e ancoragem disciplinar.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validade externa da tese é de natureza analítica, não estatística: o objetivo não é generalizar para uma população de imagens, mas testar a transferibilidade do modelo de ENDURECIMENTO para contextos culturais comparáveis. A estratégia de saturação teórica — encerramento da coleta quando novos itens deixam de acrescentar variação nos scores dos indicadores — fornece o critério de suficiência do corpus sem recorrer a cálculos amostrais probabilísticos. O conjunto dessas medidas confere à pesquisa o grau de rigor metodológico compatível com as exigências epistemológicas de uma tese histórico-interpretativa de doutoramento.</w:t>
      </w:r>
    </w:p>
    <w:p>
      <w:pPr>
        <w:spacing w:before="240" w:after="120" w:lineRule="auto" w:line="360"/>
        <w:ind w:firstLine="0"/>
        <w:jc w:val="left"/>
      </w:pPr>
      <w:r>
        <w:rPr>
          <w:rFonts w:ascii="Times New Roman" w:hAnsi="Times New Roman"/>
          <w:b/>
          <w:sz w:val="24"/>
        </w:rPr>
        <w:t>8  VIESES E LIMITAÇÕES DECLARADAS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declaração antecipada de limitações não enfraquece a tese; ao contrário, é condição de honestidade intelectual e de utilidade crítica para pesquisas subsequentes. A primeira limitação de ordem estrutural é o viés digital de arquivo: o corpus é constituído exclusivamente por peças disponíveis em acervos digitalizados publicamente acessíveis (Gallica/BnF, Europeana, Library of Congress, Brasiliana Digital, British Museum Online, Numista, Colnect). Essa escolha metodológica deliberada garante rastreabilidade e reprodutibilidade, mas introduz viés de sobrerrepresentação de itens provenientes de acervos europeus bem digitalizados — em especial franceses — e de subrepresentação de materiais brasileiros e belgas ainda em processo de digitalização. Os resultados comparativos devem ser lidos à luz desse desequilíbrio.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segunda limitação é o viés linguístico de cobertura bibliográfica: a revisão de literatura foi conduzida prioritariamente em francês, inglês e português, deixando potencialmente de lado contribuições relevantes em alemão, neerlandês e espanhol, idiomas nos quais parte substancial da historiografia sobre Germania, La Belgique e alegorias latino-americanas foi produzida. Esforços de ampliação linguística foram feitos onde possível, mas a limitação permanece e é declarada.</w:t>
      </w:r>
    </w:p>
    <w:p>
      <w:pPr>
        <w:spacing w:before="0" w:after="200" w:lineRule="auto" w:line="3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terceira limitação é inerente ao método interpretativo: a pontuação dos dez indicadores de ENDURECIMENTO depende, em última instância, do juízo informado da pesquisadora, cuja trajetória intelectual (formada na interface entre direito e história da arte) constitui simultaneamente o ativo e o limite da análise. O protocolo de dupla codificação reduz, mas não elimina, a dimensão subjetiva da leitura iconológica. A quarta limitação é de alcance geográfico-temporal: a tese cobre seis jurisdições entre 1800 e 2000, recorte que exclui deliberadamente o período contemporâneo (pós-2000) e jurisdições do Sul Global não colonizadoras, nos quais a alegoria feminina opera sob lógicas que merecem investigação autônoma. Essas exclusões são teóricas, não empíricas: definem o escopo legítimo de generalização analítica dos resultados desta tese.</w:t>
      </w:r>
    </w:p>
    <w:p>
      <w:pPr>
        <w:spacing w:before="240" w:after="120" w:lineRule="auto" w:line="360"/>
        <w:ind w:firstLine="0"/>
        <w:jc w:val="left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before="0" w:after="120" w:lineRule="auto" w:line="360"/>
        <w:ind w:firstLine="0" w:left="709"/>
        <w:jc w:val="both"/>
      </w:pPr>
      <w:r>
        <w:rPr>
          <w:rFonts w:ascii="Times New Roman" w:hAnsi="Times New Roman"/>
          <w:b/>
          <w:sz w:val="24"/>
        </w:rPr>
        <w:t xml:space="preserve">AGULHON, Maurice. </w:t>
      </w:r>
      <w:r>
        <w:rPr>
          <w:rFonts w:ascii="Times New Roman" w:hAnsi="Times New Roman"/>
          <w:sz w:val="24"/>
        </w:rPr>
        <w:t>Marianne au combat: l'imagerie et la symbolique républicaines de 1789 à 1880. Paris: Flammarion, 1979.</w:t>
      </w:r>
    </w:p>
    <w:p>
      <w:pPr>
        <w:spacing w:before="0" w:after="120" w:lineRule="auto" w:line="360"/>
        <w:ind w:firstLine="0" w:left="709"/>
        <w:jc w:val="both"/>
      </w:pPr>
      <w:r>
        <w:rPr>
          <w:rFonts w:ascii="Times New Roman" w:hAnsi="Times New Roman"/>
          <w:b/>
          <w:sz w:val="24"/>
        </w:rPr>
        <w:t xml:space="preserve">BARDIN, Laurence. </w:t>
      </w:r>
      <w:r>
        <w:rPr>
          <w:rFonts w:ascii="Times New Roman" w:hAnsi="Times New Roman"/>
          <w:sz w:val="24"/>
        </w:rPr>
        <w:t>Análise de conteúdo. Tradução de Luís Antero Reto e Augusto Pinheiro. São Paulo: Edições 70, 2011.</w:t>
      </w:r>
    </w:p>
    <w:p>
      <w:pPr>
        <w:spacing w:before="0" w:after="120" w:lineRule="auto" w:line="360"/>
        <w:ind w:firstLine="0" w:left="709"/>
        <w:jc w:val="both"/>
      </w:pPr>
      <w:r>
        <w:rPr>
          <w:rFonts w:ascii="Times New Roman" w:hAnsi="Times New Roman"/>
          <w:b/>
          <w:sz w:val="24"/>
        </w:rPr>
        <w:t xml:space="preserve">DAL RI JR., Arno. </w:t>
      </w:r>
      <w:r>
        <w:rPr>
          <w:rFonts w:ascii="Times New Roman" w:hAnsi="Times New Roman"/>
          <w:sz w:val="24"/>
        </w:rPr>
        <w:t>História do direito internacional: comércio e moeda, cidadania e nacionalidade. Florianópolis: Fundação Boiteux, 2004.</w:t>
      </w:r>
    </w:p>
    <w:p>
      <w:pPr>
        <w:spacing w:before="0" w:after="120" w:lineRule="auto" w:line="360"/>
        <w:ind w:firstLine="0" w:left="709"/>
        <w:jc w:val="both"/>
      </w:pPr>
      <w:r>
        <w:rPr>
          <w:rFonts w:ascii="Times New Roman" w:hAnsi="Times New Roman"/>
          <w:b/>
          <w:sz w:val="24"/>
        </w:rPr>
        <w:t xml:space="preserve">HUYGEBAERT, Stefan et al. </w:t>
      </w:r>
      <w:r>
        <w:rPr>
          <w:rFonts w:ascii="Times New Roman" w:hAnsi="Times New Roman"/>
          <w:sz w:val="24"/>
        </w:rPr>
        <w:t>The art of law: three centuries of justice depicted. Tielt: Lannoo, 2016.</w:t>
      </w:r>
    </w:p>
    <w:p>
      <w:pPr>
        <w:spacing w:before="0" w:after="120" w:lineRule="auto" w:line="360"/>
        <w:ind w:firstLine="0" w:left="709"/>
        <w:jc w:val="both"/>
      </w:pPr>
      <w:r>
        <w:rPr>
          <w:rFonts w:ascii="Times New Roman" w:hAnsi="Times New Roman"/>
          <w:b/>
          <w:sz w:val="24"/>
        </w:rPr>
        <w:t xml:space="preserve">KOCHER, Gernot; SCHOTT, Clausdieter (Hrsg.). </w:t>
      </w:r>
      <w:r>
        <w:rPr>
          <w:rFonts w:ascii="Times New Roman" w:hAnsi="Times New Roman"/>
          <w:sz w:val="24"/>
        </w:rPr>
        <w:t>Bilder aus der deutschen Rechtsgeschichte: von den Anfängen bis zur Gegenwart. München: C. H. Beck, 1992.</w:t>
      </w:r>
    </w:p>
    <w:p>
      <w:pPr>
        <w:spacing w:before="0" w:after="120" w:lineRule="auto" w:line="360"/>
        <w:ind w:firstLine="0" w:left="709"/>
        <w:jc w:val="both"/>
      </w:pPr>
      <w:r>
        <w:rPr>
          <w:rFonts w:ascii="Times New Roman" w:hAnsi="Times New Roman"/>
          <w:b/>
          <w:sz w:val="24"/>
        </w:rPr>
        <w:t xml:space="preserve">PANOFSKY, Erwin. </w:t>
      </w:r>
      <w:r>
        <w:rPr>
          <w:rFonts w:ascii="Times New Roman" w:hAnsi="Times New Roman"/>
          <w:sz w:val="24"/>
        </w:rPr>
        <w:t>Estudos de iconologia: temas humanísticos na arte do Renascimento. Tradução de Olinda Braga de Sousa. Lisboa: Estampa, 1986.</w:t>
      </w:r>
    </w:p>
    <w:p>
      <w:pPr>
        <w:spacing w:before="0" w:after="120" w:lineRule="auto" w:line="360"/>
        <w:ind w:firstLine="0" w:left="709"/>
        <w:jc w:val="both"/>
      </w:pPr>
      <w:r>
        <w:rPr>
          <w:rFonts w:ascii="Times New Roman" w:hAnsi="Times New Roman"/>
          <w:b/>
          <w:sz w:val="24"/>
        </w:rPr>
        <w:t xml:space="preserve">PATEMAN, Carole. </w:t>
      </w:r>
      <w:r>
        <w:rPr>
          <w:rFonts w:ascii="Times New Roman" w:hAnsi="Times New Roman"/>
          <w:sz w:val="24"/>
        </w:rPr>
        <w:t>The sexual contract. Cambridge: Polity Press, 1988.</w:t>
      </w:r>
    </w:p>
    <w:p>
      <w:pPr>
        <w:spacing w:before="0" w:after="120" w:lineRule="auto" w:line="360"/>
        <w:ind w:firstLine="0" w:left="709"/>
        <w:jc w:val="both"/>
      </w:pPr>
      <w:r>
        <w:rPr>
          <w:rFonts w:ascii="Times New Roman" w:hAnsi="Times New Roman"/>
          <w:b/>
          <w:sz w:val="24"/>
        </w:rPr>
        <w:t xml:space="preserve">WARNER, Marina. </w:t>
      </w:r>
      <w:r>
        <w:rPr>
          <w:rFonts w:ascii="Times New Roman" w:hAnsi="Times New Roman"/>
          <w:sz w:val="24"/>
        </w:rPr>
        <w:t>Monuments and maidens: the allegory of the female form. London: Weidenfeld and Nicolson, 1985.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