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Vrouwe Justitia não é uma mulher: purificação iconológica e crítica feminista da alegoria jurídica</w:t>
      </w:r>
    </w:p>
    <w:p>
      <w:pPr>
        <w:pStyle w:val="Date"/>
      </w:pPr>
      <w:r>
        <w:t xml:space="preserve">2026-03-30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0" w:name="Xc9b242c4c1af89632d0898673bd82f0ed9c680e"/>
    <w:p>
      <w:pPr>
        <w:pStyle w:val="Heading1"/>
      </w:pPr>
      <w:r>
        <w:rPr>
          <w:i/>
          <w:iCs/>
        </w:rPr>
        <w:t xml:space="preserve">Vrouwe Justitia</w:t>
      </w:r>
      <w:r>
        <w:t xml:space="preserve"> </w:t>
      </w:r>
      <w:r>
        <w:t xml:space="preserve">não é uma mulher: purificação iconológica e crítica feminista da alegoria jurídica</w:t>
      </w:r>
    </w:p>
    <w:p>
      <w:pPr>
        <w:pStyle w:val="FirstParagraph"/>
      </w:pPr>
      <w:r>
        <w:rPr>
          <w:b/>
          <w:bCs/>
        </w:rPr>
        <w:t xml:space="preserve">Ana Vitória Vanzin Mendes</w:t>
      </w:r>
      <w:r>
        <w:t xml:space="preserve"> </w:t>
      </w:r>
      <w:r>
        <w:t xml:space="preserve">e</w:t>
      </w:r>
      <w:r>
        <w:t xml:space="preserve"> </w:t>
      </w:r>
      <w:r>
        <w:rPr>
          <w:b/>
          <w:bCs/>
        </w:rPr>
        <w:t xml:space="preserve">Arno Dal Ri Júnior</w:t>
      </w:r>
      <w:r>
        <w:rPr>
          <w:rStyle w:val="FootnoteReference"/>
        </w:rPr>
        <w:footnoteReference w:id="9"/>
      </w:r>
    </w:p>
    <w:bookmarkStart w:id="10" w:name="resumo"/>
    <w:p>
      <w:pPr>
        <w:pStyle w:val="Heading2"/>
      </w:pPr>
      <w:r>
        <w:t xml:space="preserve">Resumo</w:t>
      </w:r>
    </w:p>
    <w:p>
      <w:pPr>
        <w:pStyle w:val="FirstParagraph"/>
      </w:pPr>
      <w:r>
        <w:t xml:space="preserve">Este artigo propõe o conceito de</w:t>
      </w:r>
      <w:r>
        <w:t xml:space="preserve"> </w:t>
      </w:r>
      <w:r>
        <w:rPr>
          <w:i/>
          <w:iCs/>
        </w:rPr>
        <w:t xml:space="preserve">purificação iconológica</w:t>
      </w:r>
      <w:r>
        <w:t xml:space="preserve"> </w:t>
      </w:r>
      <w:r>
        <w:t xml:space="preserve">para designar a operação pela qual a iconografia jurídica moderna transforma o corpo feminino particular em símbolo universal da Justiça. Partindo do método de leitura a três níveis de Erwin Panofsky, tal como adaptado à história do direito por Georges Martyn e pela escola de Gent, o artigo submete a figura da</w:t>
      </w:r>
      <w:r>
        <w:t xml:space="preserve"> </w:t>
      </w:r>
      <w:r>
        <w:rPr>
          <w:i/>
          <w:iCs/>
        </w:rPr>
        <w:t xml:space="preserve">Justitia</w:t>
      </w:r>
      <w:r>
        <w:t xml:space="preserve"> </w:t>
      </w:r>
      <w:r>
        <w:t xml:space="preserve">(e, especificamente, o atributo da venda) a uma análise que ultrapassa o registro da legitimação visual do poder judiciário em direção à crítica da representação de gênero. A noção de purificação é articulada a partir de Bruno Latour (</w:t>
      </w:r>
      <w:r>
        <w:rPr>
          <w:i/>
          <w:iCs/>
        </w:rPr>
        <w:t xml:space="preserve">Nous n’avons jamais été modernes</w:t>
      </w:r>
      <w:r>
        <w:t xml:space="preserve">, 1991) e confrontada com a teoria do ciborgue de Donna Haraway (</w:t>
      </w:r>
      <w:r>
        <w:rPr>
          <w:i/>
          <w:iCs/>
        </w:rPr>
        <w:t xml:space="preserve">Simians, Cyborgs, and Women</w:t>
      </w:r>
      <w:r>
        <w:t xml:space="preserve">, 1991), para quem a</w:t>
      </w:r>
      <w:r>
        <w:t xml:space="preserve"> </w:t>
      </w:r>
      <w:r>
        <w:t xml:space="preserve">“deusa”</w:t>
      </w:r>
      <w:r>
        <w:t xml:space="preserve"> </w:t>
      </w:r>
      <w:r>
        <w:t xml:space="preserve">(figura purificada, des-historicizada, esvaziada de conflito) constitui o oposto exato do ciborgue feminista. A análise empírica mobiliza três imagens do corpus ICONOCRACY (séculos XIX–XX) para demonstrar como a venda de Justitia opera simultaneamente como convenção iconográfica e como tecnologia de apagamento do sujeito feminino. O artigo conclui propondo uma</w:t>
      </w:r>
      <w:r>
        <w:t xml:space="preserve"> </w:t>
      </w:r>
      <w:r>
        <w:rPr>
          <w:i/>
          <w:iCs/>
        </w:rPr>
        <w:t xml:space="preserve">iconologia jurídica feminista</w:t>
      </w:r>
      <w:r>
        <w:t xml:space="preserve"> </w:t>
      </w:r>
      <w:r>
        <w:t xml:space="preserve">que, sem abandonar o rigor metodológico da tradição panofskiana, incorpore a pergunta pelo gênero da alegoria como dimensão constitutiva, e não meramente decorativa, do sentido jurídico das imagens. A articulação do conceito com a crítica feminista do Estado (MACKINNON, 1989) permite, por fim, nomear a</w:t>
      </w:r>
      <w:r>
        <w:t xml:space="preserve"> </w:t>
      </w:r>
      <w:r>
        <w:rPr>
          <w:i/>
          <w:iCs/>
        </w:rPr>
        <w:t xml:space="preserve">Feminilidade de Estado</w:t>
      </w:r>
      <w:r>
        <w:t xml:space="preserve"> </w:t>
      </w:r>
      <w:r>
        <w:t xml:space="preserve">como produto político da purificação iconológica: a forma pela qual o poder jurídico se representa como universal mediante a instrumentalização do corpo feminino como suporte de transcendência.</w:t>
      </w:r>
    </w:p>
    <w:p>
      <w:pPr>
        <w:pStyle w:val="BodyText"/>
      </w:pPr>
      <w:r>
        <w:rPr>
          <w:b/>
          <w:bCs/>
        </w:rPr>
        <w:t xml:space="preserve">Palavras-chave:</w:t>
      </w:r>
      <w:r>
        <w:t xml:space="preserve"> </w:t>
      </w:r>
      <w:r>
        <w:t xml:space="preserve">iconologia jurídica; Justitia; purificação iconológica; teoria do ciborgue; alegoria feminina; história do direito; Georges Martyn; Donna Haraway.</w:t>
      </w:r>
    </w:p>
    <w:p>
      <w:r>
        <w:pict>
          <v:rect style="width:0;height:1.5pt" o:hralign="center" o:hrstd="t" o:hr="t"/>
        </w:pict>
      </w:r>
    </w:p>
    <w:bookmarkEnd w:id="10"/>
    <w:bookmarkStart w:id="11" w:name="X27585973c3b0544f67ea945b47f5fa81660e3f6"/>
    <w:p>
      <w:pPr>
        <w:pStyle w:val="Heading2"/>
      </w:pPr>
      <w:r>
        <w:t xml:space="preserve">1 Introdução: o problema do corpo de Justitia</w:t>
      </w:r>
    </w:p>
    <w:p>
      <w:pPr>
        <w:pStyle w:val="FirstParagraph"/>
      </w:pPr>
      <w:r>
        <w:t xml:space="preserve">A figura feminina que personifica a Justiça está entre as alegorias mais reconhecíveis da cultura visual ocidental. Presente em fachadas de tribunais, frontispícios de códigos, selos de Estado e moedas desde pelo menos o século XIV, ela atravessa séculos com uma estabilidade formal notável: uma mulher de pé, portando balança e espada, frequentemente com os olhos vendados. Essa permanência convida à naturalização. A</w:t>
      </w:r>
      <w:r>
        <w:t xml:space="preserve"> </w:t>
      </w:r>
      <w:r>
        <w:rPr>
          <w:i/>
          <w:iCs/>
        </w:rPr>
        <w:t xml:space="preserve">Justitia</w:t>
      </w:r>
      <w:r>
        <w:t xml:space="preserve"> </w:t>
      </w:r>
      <w:r>
        <w:t xml:space="preserve">parece existir fora do tempo; é precisamente essa aparência que constitui o problema teórico deste artigo.</w:t>
      </w:r>
    </w:p>
    <w:p>
      <w:pPr>
        <w:pStyle w:val="BodyText"/>
      </w:pPr>
      <w:r>
        <w:t xml:space="preserve">Por que a Justiça é representada por um corpo feminino? A pergunta, que deveria ser o ponto de partida de qualquer análise iconológica, raramente é formulada pela historiografia jurídica. Georges Martyn, principal articulador contemporâneo do campo da</w:t>
      </w:r>
      <w:r>
        <w:t xml:space="preserve"> </w:t>
      </w:r>
      <w:r>
        <w:rPr>
          <w:i/>
          <w:iCs/>
        </w:rPr>
        <w:t xml:space="preserve">iconologia jurídica histórica</w:t>
      </w:r>
      <w:r>
        <w:t xml:space="preserve">, oferece um método rigoroso para a leitura de imagens jurídicas (a adaptação dos três níveis de Panofsky ao objeto do direito), mas opera predominantemente no registro da</w:t>
      </w:r>
      <w:r>
        <w:t xml:space="preserve"> </w:t>
      </w:r>
      <w:r>
        <w:rPr>
          <w:i/>
          <w:iCs/>
        </w:rPr>
        <w:t xml:space="preserve">legitimação</w:t>
      </w:r>
      <w:r>
        <w:t xml:space="preserve">: como as imagens servem ao direito, como elas sustentam a autoridade judicial, como elas constroem visualmente o Estado de Direito (MARTYN, 2018; HUYGEBAERT et al., 2018). A questão do gênero da alegoria permanece, nesse enquadramento, no limiar do impensado.</w:t>
      </w:r>
    </w:p>
    <w:p>
      <w:pPr>
        <w:pStyle w:val="BodyText"/>
      </w:pPr>
      <w:r>
        <w:t xml:space="preserve">Marina Warner, em</w:t>
      </w:r>
      <w:r>
        <w:t xml:space="preserve"> </w:t>
      </w:r>
      <w:r>
        <w:rPr>
          <w:i/>
          <w:iCs/>
        </w:rPr>
        <w:t xml:space="preserve">Monuments and Maidens</w:t>
      </w:r>
      <w:r>
        <w:t xml:space="preserve"> </w:t>
      </w:r>
      <w:r>
        <w:t xml:space="preserve">(1985), já havia identificado o paradoxo:</w:t>
      </w:r>
      <w:r>
        <w:t xml:space="preserve"> </w:t>
      </w:r>
      <w:r>
        <w:t xml:space="preserve">“as mulheres são usadas para representar virtudes que os homens são chamados a exercer”</w:t>
      </w:r>
      <w:r>
        <w:t xml:space="preserve"> </w:t>
      </w:r>
      <w:r>
        <w:t xml:space="preserve">(WARNER, 1985). Judith Resnik e Dennis Curtis, em</w:t>
      </w:r>
      <w:r>
        <w:t xml:space="preserve"> </w:t>
      </w:r>
      <w:r>
        <w:rPr>
          <w:i/>
          <w:iCs/>
        </w:rPr>
        <w:t xml:space="preserve">Representing Justice</w:t>
      </w:r>
      <w:r>
        <w:t xml:space="preserve"> </w:t>
      </w:r>
      <w:r>
        <w:t xml:space="preserve">(2011), rastrearam a genealogia da figura desde as virtudes cardinais medievais até os tribunais democráticos contemporâneos, mostrando como a feminilidade da Justiça foi historicamente construída e contestada (RESNIK; CURTIS, 2011). Essas contribuições, no entanto, não dialogam diretamente com o aparato metodológico da iconologia jurídica europeia, nem propõem um conceito operativo que permita descrever o</w:t>
      </w:r>
      <w:r>
        <w:t xml:space="preserve"> </w:t>
      </w:r>
      <w:r>
        <w:rPr>
          <w:i/>
          <w:iCs/>
        </w:rPr>
        <w:t xml:space="preserve">mecanismo</w:t>
      </w:r>
      <w:r>
        <w:t xml:space="preserve"> </w:t>
      </w:r>
      <w:r>
        <w:t xml:space="preserve">pelo qual o corpo feminino é convertido em símbolo universal.</w:t>
      </w:r>
    </w:p>
    <w:p>
      <w:pPr>
        <w:pStyle w:val="BodyText"/>
      </w:pPr>
      <w:r>
        <w:t xml:space="preserve">Este artigo propõe tal conceito: a</w:t>
      </w:r>
      <w:r>
        <w:t xml:space="preserve"> </w:t>
      </w:r>
      <w:r>
        <w:rPr>
          <w:i/>
          <w:iCs/>
        </w:rPr>
        <w:t xml:space="preserve">purificação iconológica</w:t>
      </w:r>
      <w:r>
        <w:t xml:space="preserve">. O termo é deliberadamente latouriano. Em</w:t>
      </w:r>
      <w:r>
        <w:t xml:space="preserve"> </w:t>
      </w:r>
      <w:r>
        <w:rPr>
          <w:i/>
          <w:iCs/>
        </w:rPr>
        <w:t xml:space="preserve">Nous n’avons jamais été modernes</w:t>
      </w:r>
      <w:r>
        <w:t xml:space="preserve"> </w:t>
      </w:r>
      <w:r>
        <w:t xml:space="preserve">(1991), Bruno Latour descreve a modernidade como uma operação de separação entre natureza e cultura, entre sujeito e objeto, entre o particular e o universal, a que ele chama de</w:t>
      </w:r>
      <w:r>
        <w:t xml:space="preserve"> </w:t>
      </w:r>
      <w:r>
        <w:rPr>
          <w:i/>
          <w:iCs/>
        </w:rPr>
        <w:t xml:space="preserve">purificação</w:t>
      </w:r>
      <w:r>
        <w:t xml:space="preserve"> </w:t>
      </w:r>
      <w:r>
        <w:t xml:space="preserve">(LATOUR, 1991). A tese deste artigo é que a iconografia jurídica moderna realiza um gesto análogo: separa o feminino-concreto (a mulher histórica, situada, corporificada) do feminino-abstrato (a Justiça universal, atemporal, des-sexuada) e apresenta essa separação como neutra. O instrumento privilegiado dessa operação é a</w:t>
      </w:r>
      <w:r>
        <w:t xml:space="preserve"> </w:t>
      </w:r>
      <w:r>
        <w:rPr>
          <w:i/>
          <w:iCs/>
        </w:rPr>
        <w:t xml:space="preserve">venda</w:t>
      </w:r>
      <w:r>
        <w:t xml:space="preserve"> </w:t>
      </w:r>
      <w:r>
        <w:t xml:space="preserve">sobre os olhos de Justitia.</w:t>
      </w:r>
    </w:p>
    <w:p>
      <w:pPr>
        <w:pStyle w:val="BodyText"/>
      </w:pPr>
      <w:r>
        <w:t xml:space="preserve">A venda, porém, não apenas purifica: ela produz o que Donna Haraway chamaria de</w:t>
      </w:r>
      <w:r>
        <w:t xml:space="preserve"> </w:t>
      </w:r>
      <w:r>
        <w:rPr>
          <w:i/>
          <w:iCs/>
        </w:rPr>
        <w:t xml:space="preserve">deusa</w:t>
      </w:r>
      <w:r>
        <w:t xml:space="preserve">, a figura oposta ao ciborgue.</w:t>
      </w:r>
      <w:r>
        <w:t xml:space="preserve"> </w:t>
      </w:r>
      <w:r>
        <w:t xml:space="preserve">“Prefiro ser um ciborgue a ser uma deusa”</w:t>
      </w:r>
      <w:r>
        <w:t xml:space="preserve">, escreve Haraway na última frase do</w:t>
      </w:r>
      <w:r>
        <w:t xml:space="preserve"> </w:t>
      </w:r>
      <w:r>
        <w:rPr>
          <w:i/>
          <w:iCs/>
        </w:rPr>
        <w:t xml:space="preserve">Manifesto Ciborgue</w:t>
      </w:r>
      <w:r>
        <w:t xml:space="preserve"> </w:t>
      </w:r>
      <w:r>
        <w:t xml:space="preserve">(HARAWAY, 1991). O ciborgue, na formulação harawayana, é uma entidade que recusa a purificação: habita a fronteira entre o orgânico e o mecânico, entre o natural e o construído, entre o masculino e o feminino, sem resolver a tensão em favor de nenhum polo. A Justitia vendada é o inverso exato: uma figura que se oferece como pura (pura imparcialidade, pura universalidade, pura transcendência), ao preço de apagar a mulher concreta que lhe empresta o corpo.</w:t>
      </w:r>
    </w:p>
    <w:p>
      <w:pPr>
        <w:pStyle w:val="BodyText"/>
      </w:pPr>
      <w:r>
        <w:t xml:space="preserve">O argumento se desenvolve em quatro movimentos. A seção 2 apresenta o método de Martyn e da escola de Gent, identificando suas contribuições e seus limites. A seção 3 reconstrói a genealogia iconográfica da venda, de Sebastian Brant (1494) a Hans Gieng (1543) e à codificação oitocentista. A seção 4 articula o conceito de purificação iconológica a partir de Latour e Haraway. A seção 5 aplica esse conceito a três imagens do corpus ICONOCRACY (séculos XIX–XX). A conclusão propõe os contornos de uma</w:t>
      </w:r>
      <w:r>
        <w:t xml:space="preserve"> </w:t>
      </w:r>
      <w:r>
        <w:rPr>
          <w:i/>
          <w:iCs/>
        </w:rPr>
        <w:t xml:space="preserve">iconologia jurídica feminista</w:t>
      </w:r>
      <w:r>
        <w:t xml:space="preserve"> </w:t>
      </w:r>
      <w:r>
        <w:t xml:space="preserve">como programa de investigação.</w:t>
      </w:r>
    </w:p>
    <w:bookmarkEnd w:id="11"/>
    <w:bookmarkStart w:id="14" w:name="X69294bccc8e11e9ef407efbce11f1893e97ad5b"/>
    <w:p>
      <w:pPr>
        <w:pStyle w:val="Heading2"/>
      </w:pPr>
      <w:r>
        <w:t xml:space="preserve">2 A iconologia jurídica histórica: método e limites</w:t>
      </w:r>
    </w:p>
    <w:p>
      <w:pPr>
        <w:pStyle w:val="FirstParagraph"/>
      </w:pPr>
      <w:r>
        <w:t xml:space="preserve">O campo da iconologia jurídica histórica consolidou-se nas duas últimas décadas a partir de um núcleo de investigadores vinculados à Universidade de Gent, sob a liderança de Georges Martyn. Dois marcos editoriais definem seus contornos: o catálogo da exposição</w:t>
      </w:r>
      <w:r>
        <w:t xml:space="preserve"> </w:t>
      </w:r>
      <w:r>
        <w:rPr>
          <w:i/>
          <w:iCs/>
        </w:rPr>
        <w:t xml:space="preserve">The Art of Law: Three Centuries of Justice Depicted</w:t>
      </w:r>
      <w:r>
        <w:t xml:space="preserve"> </w:t>
      </w:r>
      <w:r>
        <w:t xml:space="preserve">(HUYGEBAERT et al., 2016), organizada no Groeningemuseum de Bruges em 2016–2017, e o volume coletivo</w:t>
      </w:r>
      <w:r>
        <w:t xml:space="preserve"> </w:t>
      </w:r>
      <w:r>
        <w:rPr>
          <w:i/>
          <w:iCs/>
        </w:rPr>
        <w:t xml:space="preserve">The Art of Law: Artistic Representations and Iconography of Law and Justice in Context</w:t>
      </w:r>
      <w:r>
        <w:t xml:space="preserve"> </w:t>
      </w:r>
      <w:r>
        <w:t xml:space="preserve">(HUYGEBAERT et al., 2018), publicado pela Springer em 2018 na série</w:t>
      </w:r>
      <w:r>
        <w:t xml:space="preserve"> </w:t>
      </w:r>
      <w:r>
        <w:rPr>
          <w:i/>
          <w:iCs/>
        </w:rPr>
        <w:t xml:space="preserve">Ius Gentium</w:t>
      </w:r>
      <w:r>
        <w:t xml:space="preserve">.</w:t>
      </w:r>
    </w:p>
    <w:bookmarkStart w:id="12" w:name="panofsky-adaptado-ao-direito"/>
    <w:p>
      <w:pPr>
        <w:pStyle w:val="Heading3"/>
      </w:pPr>
      <w:r>
        <w:t xml:space="preserve">2.1 Panofsky adaptado ao direito</w:t>
      </w:r>
    </w:p>
    <w:p>
      <w:pPr>
        <w:pStyle w:val="FirstParagraph"/>
      </w:pPr>
      <w:r>
        <w:t xml:space="preserve">O substrato metodológico de Martyn é o esquema de leitura icónica proposto por Erwin Panofsky em</w:t>
      </w:r>
      <w:r>
        <w:t xml:space="preserve"> </w:t>
      </w:r>
      <w:r>
        <w:rPr>
          <w:i/>
          <w:iCs/>
        </w:rPr>
        <w:t xml:space="preserve">Studies in Iconology</w:t>
      </w:r>
      <w:r>
        <w:t xml:space="preserve"> </w:t>
      </w:r>
      <w:r>
        <w:t xml:space="preserve">(1939) e desenvolvido em</w:t>
      </w:r>
      <w:r>
        <w:t xml:space="preserve"> </w:t>
      </w:r>
      <w:r>
        <w:rPr>
          <w:i/>
          <w:iCs/>
        </w:rPr>
        <w:t xml:space="preserve">Meaning in the Visual Arts</w:t>
      </w:r>
      <w:r>
        <w:t xml:space="preserve"> </w:t>
      </w:r>
      <w:r>
        <w:t xml:space="preserve">(1955). Panofsky distingue três níveis de interpretação das imagens: o</w:t>
      </w:r>
      <w:r>
        <w:t xml:space="preserve"> </w:t>
      </w:r>
      <w:r>
        <w:rPr>
          <w:i/>
          <w:iCs/>
        </w:rPr>
        <w:t xml:space="preserve">pré-iconográfico</w:t>
      </w:r>
      <w:r>
        <w:t xml:space="preserve"> </w:t>
      </w:r>
      <w:r>
        <w:t xml:space="preserve">(descrição de formas e motivos), o</w:t>
      </w:r>
      <w:r>
        <w:t xml:space="preserve"> </w:t>
      </w:r>
      <w:r>
        <w:rPr>
          <w:i/>
          <w:iCs/>
        </w:rPr>
        <w:t xml:space="preserve">iconográfico</w:t>
      </w:r>
      <w:r>
        <w:t xml:space="preserve"> </w:t>
      </w:r>
      <w:r>
        <w:t xml:space="preserve">(identificação de temas e conceitos convencionais) e o</w:t>
      </w:r>
      <w:r>
        <w:t xml:space="preserve"> </w:t>
      </w:r>
      <w:r>
        <w:rPr>
          <w:i/>
          <w:iCs/>
        </w:rPr>
        <w:t xml:space="preserve">iconológico</w:t>
      </w:r>
      <w:r>
        <w:t xml:space="preserve"> </w:t>
      </w:r>
      <w:r>
        <w:t xml:space="preserve">(interpretação do significado intrínseco ou conteúdo da imagem enquanto sintoma de uma visão de mundo) (PANOFSKY, 1939, 1955).</w:t>
      </w:r>
    </w:p>
    <w:p>
      <w:pPr>
        <w:pStyle w:val="BodyText"/>
      </w:pPr>
      <w:r>
        <w:t xml:space="preserve">A adaptação operada por Martyn transpõe esses três níveis para o objeto jurídico. No nível pré-iconográfico, trata-se de identificar o suporte material, o formato, o contexto arquitetônico e institucional da imagem (uma pintura de câmara de tribunal, um frontispício de tratado, um selo oficial). No nível iconográfico, reconhecem-se figuras alegóricas,</w:t>
      </w:r>
      <w:r>
        <w:t xml:space="preserve"> </w:t>
      </w:r>
      <w:r>
        <w:rPr>
          <w:i/>
          <w:iCs/>
        </w:rPr>
        <w:t xml:space="preserve">exempla iustitiae</w:t>
      </w:r>
      <w:r>
        <w:t xml:space="preserve">, símbolos jurídicos codificados: a balança, a espada, a venda, o livro. No nível iconológico, a análise interroga a</w:t>
      </w:r>
      <w:r>
        <w:t xml:space="preserve"> </w:t>
      </w:r>
      <w:r>
        <w:rPr>
          <w:i/>
          <w:iCs/>
        </w:rPr>
        <w:t xml:space="preserve">função normativa</w:t>
      </w:r>
      <w:r>
        <w:t xml:space="preserve"> </w:t>
      </w:r>
      <w:r>
        <w:t xml:space="preserve">da imagem: como ela constrói, e não apenas reflete, realidades jurídicas (MARTYN, 2018).</w:t>
      </w:r>
    </w:p>
    <w:p>
      <w:pPr>
        <w:pStyle w:val="BodyText"/>
      </w:pPr>
      <w:r>
        <w:t xml:space="preserve">A chave da contribuição de Martyn reside neste terceiro nível. Ao articular a interpretação iconológica com fontes jurídicas primárias (legislação, jurisprudência, doutrina, atas de tribunal) e não apenas com fontes da história da arte, ele demonstra que as imagens jurídicas não são meras ilustrações do direito, mas</w:t>
      </w:r>
      <w:r>
        <w:t xml:space="preserve"> </w:t>
      </w:r>
      <w:r>
        <w:rPr>
          <w:i/>
          <w:iCs/>
        </w:rPr>
        <w:t xml:space="preserve">dispositivos de legitimação</w:t>
      </w:r>
      <w:r>
        <w:t xml:space="preserve">. A tradição dos</w:t>
      </w:r>
      <w:r>
        <w:t xml:space="preserve"> </w:t>
      </w:r>
      <w:r>
        <w:rPr>
          <w:i/>
          <w:iCs/>
        </w:rPr>
        <w:t xml:space="preserve">exempla iustitiae</w:t>
      </w:r>
      <w:r>
        <w:t xml:space="preserve">, que Martyn rastreia nos Países Baixos do Sul desde a Baixa Idade Média, é exemplar: imagens de atos de justiça históricos ou bíblicos (o Julgamento de Salomão, o Juízo de Cambises, a Castidade de Susana) eram afixadas nas câmaras de tribunal para instruir visualmente o juiz a fazer justiça imparcial (MARTYN, 2020).</w:t>
      </w:r>
    </w:p>
    <w:bookmarkEnd w:id="12"/>
    <w:bookmarkStart w:id="13" w:name="o-limite-da-legitimação"/>
    <w:p>
      <w:pPr>
        <w:pStyle w:val="Heading3"/>
      </w:pPr>
      <w:r>
        <w:t xml:space="preserve">2.2 O limite da legitimação</w:t>
      </w:r>
    </w:p>
    <w:p>
      <w:pPr>
        <w:pStyle w:val="FirstParagraph"/>
      </w:pPr>
      <w:r>
        <w:t xml:space="preserve">A força do método de Martyn é também seu limite. Ao situar a análise no registro da legitimação: como as imagens</w:t>
      </w:r>
      <w:r>
        <w:t xml:space="preserve"> </w:t>
      </w:r>
      <w:r>
        <w:rPr>
          <w:i/>
          <w:iCs/>
        </w:rPr>
        <w:t xml:space="preserve">servem</w:t>
      </w:r>
      <w:r>
        <w:t xml:space="preserve"> </w:t>
      </w:r>
      <w:r>
        <w:t xml:space="preserve">ao direito, ele produz uma descrição historicamente precisa do funcionamento institucional das imagens jurídicas, mas deixa sem resposta uma pergunta que está no cerne da iconologia desde Aby Warburg: o que as imagens</w:t>
      </w:r>
      <w:r>
        <w:t xml:space="preserve"> </w:t>
      </w:r>
      <w:r>
        <w:rPr>
          <w:i/>
          <w:iCs/>
        </w:rPr>
        <w:t xml:space="preserve">fazem</w:t>
      </w:r>
      <w:r>
        <w:t xml:space="preserve"> </w:t>
      </w:r>
      <w:r>
        <w:t xml:space="preserve">aos corpos que mobilizam?</w:t>
      </w:r>
    </w:p>
    <w:p>
      <w:pPr>
        <w:pStyle w:val="BodyText"/>
      </w:pPr>
      <w:r>
        <w:t xml:space="preserve">Carolin Behrmann, no mesmo volume de 2018, avança nessa direção com o conceito de</w:t>
      </w:r>
      <w:r>
        <w:t xml:space="preserve"> </w:t>
      </w:r>
      <w:r>
        <w:t xml:space="preserve">“axioma do espelho”</w:t>
      </w:r>
      <w:r>
        <w:t xml:space="preserve"> </w:t>
      </w:r>
      <w:r>
        <w:t xml:space="preserve">(</w:t>
      </w:r>
      <w:r>
        <w:rPr>
          <w:i/>
          <w:iCs/>
        </w:rPr>
        <w:t xml:space="preserve">mirror axiom</w:t>
      </w:r>
      <w:r>
        <w:t xml:space="preserve">): a imagem jurídica não apenas reflete o direito, mas o</w:t>
      </w:r>
      <w:r>
        <w:t xml:space="preserve"> </w:t>
      </w:r>
      <w:r>
        <w:rPr>
          <w:i/>
          <w:iCs/>
        </w:rPr>
        <w:t xml:space="preserve">constitui</w:t>
      </w:r>
      <w:r>
        <w:t xml:space="preserve"> </w:t>
      </w:r>
      <w:r>
        <w:t xml:space="preserve">enquanto tal, produzindo a ficção de que a lei existe antes e independentemente de sua representação (BEHRMANN, 2018). O argumento é promissor, mas Behrmann não o leva à questão do gênero.</w:t>
      </w:r>
    </w:p>
    <w:p>
      <w:pPr>
        <w:pStyle w:val="BodyText"/>
      </w:pPr>
      <w:r>
        <w:t xml:space="preserve">Importa ser preciso quanto à natureza desse limite. Não se trata de uma insuficiência do método de Martyn, mas de uma delimitação do seu domínio: a iconologia jurídica histórica, tal como praticada pela escola de Gent, é uma análise</w:t>
      </w:r>
      <w:r>
        <w:t xml:space="preserve"> </w:t>
      </w:r>
      <w:r>
        <w:rPr>
          <w:i/>
          <w:iCs/>
        </w:rPr>
        <w:t xml:space="preserve">institucional</w:t>
      </w:r>
      <w:r>
        <w:t xml:space="preserve">: descreve como as imagens servem às instituições jurídicas, e não uma análise da</w:t>
      </w:r>
      <w:r>
        <w:t xml:space="preserve"> </w:t>
      </w:r>
      <w:r>
        <w:rPr>
          <w:i/>
          <w:iCs/>
        </w:rPr>
        <w:t xml:space="preserve">subjetividade corporificada</w:t>
      </w:r>
      <w:r>
        <w:t xml:space="preserve"> </w:t>
      </w:r>
      <w:r>
        <w:t xml:space="preserve">que essas imagens mobilizam. O método é poderoso para o que se propõe. Mas há uma pergunta que ele permite formular sem, contudo, persegui-la:</w:t>
      </w:r>
      <w:r>
        <w:t xml:space="preserve"> </w:t>
      </w:r>
      <w:r>
        <w:rPr>
          <w:i/>
          <w:iCs/>
        </w:rPr>
        <w:t xml:space="preserve">o que acontece com a mulher</w:t>
      </w:r>
      <w:r>
        <w:t xml:space="preserve"> </w:t>
      </w:r>
      <w:r>
        <w:t xml:space="preserve">cujo corpo é mobilizado como veículo da legitimação? A Justitia é tratada como um símbolo entre outros (ao lado da espada, da balança, do livro), sem que a sua feminilidade seja interrogada como dimensão constitutiva do sentido. É como se o corpo feminino fosse transparente: um meio neutro pelo qual o significado jurídico transita sem resistência.</w:t>
      </w:r>
    </w:p>
    <w:p>
      <w:pPr>
        <w:pStyle w:val="BodyText"/>
      </w:pPr>
      <w:r>
        <w:t xml:space="preserve">Este artigo sustenta que essa transparência não é acidental: ela é o produto de uma operação que precisa ser nomeada. Proponho chamá-la de</w:t>
      </w:r>
      <w:r>
        <w:t xml:space="preserve"> </w:t>
      </w:r>
      <w:r>
        <w:rPr>
          <w:i/>
          <w:iCs/>
        </w:rPr>
        <w:t xml:space="preserve">purificação iconológica</w:t>
      </w:r>
      <w:r>
        <w:t xml:space="preserve">, enquanto</w:t>
      </w:r>
      <w:r>
        <w:t xml:space="preserve"> </w:t>
      </w:r>
      <w:r>
        <w:rPr>
          <w:i/>
          <w:iCs/>
        </w:rPr>
        <w:t xml:space="preserve">hipótese hermenêutica</w:t>
      </w:r>
      <w:r>
        <w:t xml:space="preserve">, no sentido panofskiano: uma proposta interpretativa que deve ser avaliada pela sua capacidade de tornar inteligíveis fenômenos que, sem ela, permanecem opacos.</w:t>
      </w:r>
    </w:p>
    <w:bookmarkEnd w:id="13"/>
    <w:bookmarkEnd w:id="14"/>
    <w:bookmarkStart w:id="17" w:name="Xf08b3d9b89f084a0b16196ba5a1443892369c70"/>
    <w:p>
      <w:pPr>
        <w:pStyle w:val="Heading2"/>
      </w:pPr>
      <w:r>
        <w:t xml:space="preserve">3 A venda: genealogia iconográfica de um dispositivo</w:t>
      </w:r>
    </w:p>
    <w:p>
      <w:pPr>
        <w:pStyle w:val="FirstParagraph"/>
      </w:pPr>
      <w:r>
        <w:t xml:space="preserve">Antes de articular o conceito de purificação, é necessário reconstruir a genealogia do seu instrumento privilegiado: a venda sobre os olhos de Justitia. A história desse atributo é bem documentada, embora raramente lida em chave feminista.</w:t>
      </w:r>
    </w:p>
    <w:bookmarkStart w:id="15" w:name="da-sátira-à-convenção"/>
    <w:p>
      <w:pPr>
        <w:pStyle w:val="Heading3"/>
      </w:pPr>
      <w:r>
        <w:t xml:space="preserve">3.1 Da sátira à convenção</w:t>
      </w:r>
    </w:p>
    <w:p>
      <w:pPr>
        <w:pStyle w:val="FirstParagraph"/>
      </w:pPr>
      <w:r>
        <w:t xml:space="preserve">A Justitia medieval não era vendada. As representações anteriores ao século XV mostram uma figura feminina de olhos abertos, portando balança e, frequentemente, espada. A tradição remonta à</w:t>
      </w:r>
      <w:r>
        <w:t xml:space="preserve"> </w:t>
      </w:r>
      <w:r>
        <w:rPr>
          <w:i/>
          <w:iCs/>
        </w:rPr>
        <w:t xml:space="preserve">Iconologia</w:t>
      </w:r>
      <w:r>
        <w:t xml:space="preserve"> </w:t>
      </w:r>
      <w:r>
        <w:t xml:space="preserve">de Cesare Ripa (1593, com ilustrações a partir de 1603), mas suas raízes são muito mais antigas: a balança evoca a psicostasia egípcia, e a espada, o</w:t>
      </w:r>
      <w:r>
        <w:t xml:space="preserve"> </w:t>
      </w:r>
      <w:r>
        <w:rPr>
          <w:i/>
          <w:iCs/>
        </w:rPr>
        <w:t xml:space="preserve">ius gladii</w:t>
      </w:r>
      <w:r>
        <w:t xml:space="preserve"> </w:t>
      </w:r>
      <w:r>
        <w:t xml:space="preserve">romano (RIPA, 1603).</w:t>
      </w:r>
    </w:p>
    <w:p>
      <w:pPr>
        <w:pStyle w:val="BodyText"/>
      </w:pPr>
      <w:r>
        <w:t xml:space="preserve">A venda aparece pela primeira vez em 1494, numa xilogravura que acompanha o</w:t>
      </w:r>
      <w:r>
        <w:t xml:space="preserve"> </w:t>
      </w:r>
      <w:r>
        <w:rPr>
          <w:i/>
          <w:iCs/>
        </w:rPr>
        <w:t xml:space="preserve">Das Narrenschiff</w:t>
      </w:r>
      <w:r>
        <w:t xml:space="preserve"> </w:t>
      </w:r>
      <w:r>
        <w:t xml:space="preserve">(A Nave dos Tolos) de Sebastian Brant. A xilogravura representa uma Justitia com os olhos vendados, num contexto inequivocamente satírico: a Justiça é cega, cega à injustiça, corrompida, incapaz de ver o que deveria ver. A venda é, na origem, um atributo</w:t>
      </w:r>
      <w:r>
        <w:t xml:space="preserve"> </w:t>
      </w:r>
      <w:r>
        <w:rPr>
          <w:i/>
          <w:iCs/>
        </w:rPr>
        <w:t xml:space="preserve">negativo</w:t>
      </w:r>
      <w:r>
        <w:t xml:space="preserve">: não designa imparcialidade, mas impotência moral. Importa notar que Brant não inventa a venda como atributo exclusivamente jurídico: ela participa de um repertório mais amplo de crítica à cegueira moral, presente na tradição dos</w:t>
      </w:r>
      <w:r>
        <w:t xml:space="preserve"> </w:t>
      </w:r>
      <w:r>
        <w:rPr>
          <w:i/>
          <w:iCs/>
        </w:rPr>
        <w:t xml:space="preserve">Narrenliteratur</w:t>
      </w:r>
      <w:r>
        <w:t xml:space="preserve">. O que é específico é a sua aplicação à figura de Justitia.</w:t>
      </w:r>
    </w:p>
    <w:p>
      <w:pPr>
        <w:pStyle w:val="BodyText"/>
      </w:pPr>
      <w:r>
        <w:t xml:space="preserve">A primeira representação escultórica de uma Justiça vendada que se pode datar com segurança é a</w:t>
      </w:r>
      <w:r>
        <w:t xml:space="preserve"> </w:t>
      </w:r>
      <w:r>
        <w:rPr>
          <w:i/>
          <w:iCs/>
        </w:rPr>
        <w:t xml:space="preserve">Gerechtigkeitsbrunnen</w:t>
      </w:r>
      <w:r>
        <w:t xml:space="preserve"> </w:t>
      </w:r>
      <w:r>
        <w:t xml:space="preserve">(Fonte da Justiça) de Hans Gieng, em Berna, datada de 1543. Entre Brant e Gieng (49 anos), o percurso da venda permanece documentariamente lacunoso; não se pode afirmar com certeza se a inversão semântica já estava em curso ou se foi Gieng quem a cristalizou em pedra. O que se observa é que, a partir de meados do século XVI, a venda generaliza-se progressivamente, e a sua valência semântica inverte-se: de sinal de defeito, torna-se insígnia de virtude. A Justiça vendada já não é cega à injustiça; é</w:t>
      </w:r>
      <w:r>
        <w:t xml:space="preserve"> </w:t>
      </w:r>
      <w:r>
        <w:rPr>
          <w:i/>
          <w:iCs/>
        </w:rPr>
        <w:t xml:space="preserve">imparcial</w:t>
      </w:r>
      <w:r>
        <w:t xml:space="preserve">. Não vê as partes, não se deixa corromper pela aparência, julga sem</w:t>
      </w:r>
      <w:r>
        <w:t xml:space="preserve"> </w:t>
      </w:r>
      <w:r>
        <w:rPr>
          <w:i/>
          <w:iCs/>
        </w:rPr>
        <w:t xml:space="preserve">acepção de pessoas</w:t>
      </w:r>
      <w:r>
        <w:t xml:space="preserve">. A venda torna-se, a partir do século XVII, a marca por excelência da universalidade do julgamento jurídico. Proponho tratar essa genealogia como uma</w:t>
      </w:r>
      <w:r>
        <w:t xml:space="preserve"> </w:t>
      </w:r>
      <w:r>
        <w:rPr>
          <w:i/>
          <w:iCs/>
        </w:rPr>
        <w:t xml:space="preserve">trajetória proposta</w:t>
      </w:r>
      <w:r>
        <w:t xml:space="preserve">, apoiada nos exemplares disponíveis, e não como fato histórico demonstrado em cada elo.</w:t>
      </w:r>
    </w:p>
    <w:bookmarkEnd w:id="15"/>
    <w:bookmarkStart w:id="16" w:name="a-venda-como-tecnologia-do-corpo"/>
    <w:p>
      <w:pPr>
        <w:pStyle w:val="Heading3"/>
      </w:pPr>
      <w:r>
        <w:t xml:space="preserve">3.2 A venda como tecnologia do corpo</w:t>
      </w:r>
    </w:p>
    <w:p>
      <w:pPr>
        <w:pStyle w:val="FirstParagraph"/>
      </w:pPr>
      <w:r>
        <w:t xml:space="preserve">Essa inversão semântica é notável, mas não é o aspecto mais significativo para a presente análise. O que importa aqui é o</w:t>
      </w:r>
      <w:r>
        <w:t xml:space="preserve"> </w:t>
      </w:r>
      <w:r>
        <w:rPr>
          <w:i/>
          <w:iCs/>
        </w:rPr>
        <w:t xml:space="preserve">efeito</w:t>
      </w:r>
      <w:r>
        <w:t xml:space="preserve"> </w:t>
      </w:r>
      <w:r>
        <w:t xml:space="preserve">da venda sobre o corpo que a porta. A venda não é um acessório neutro: ela</w:t>
      </w:r>
      <w:r>
        <w:t xml:space="preserve"> </w:t>
      </w:r>
      <w:r>
        <w:rPr>
          <w:i/>
          <w:iCs/>
        </w:rPr>
        <w:t xml:space="preserve">transforma</w:t>
      </w:r>
      <w:r>
        <w:t xml:space="preserve"> </w:t>
      </w:r>
      <w:r>
        <w:t xml:space="preserve">a mulher em Justiça.</w:t>
      </w:r>
    </w:p>
    <w:p>
      <w:pPr>
        <w:pStyle w:val="BodyText"/>
      </w:pPr>
      <w:r>
        <w:t xml:space="preserve">Retire-se a venda e tem-se uma mulher com uma espada e uma balança: um corpo particular, histórico, sexuado. Coloque-se a venda e o corpo desaparece: não há mais mulher, há Justiça. A venda opera, portanto, como o que poderíamos chamar, à maneira de Latour, de um</w:t>
      </w:r>
      <w:r>
        <w:t xml:space="preserve"> </w:t>
      </w:r>
      <w:r>
        <w:rPr>
          <w:i/>
          <w:iCs/>
        </w:rPr>
        <w:t xml:space="preserve">dispositivo de purificação</w:t>
      </w:r>
      <w:r>
        <w:t xml:space="preserve">: ela separa o que a figura tem de particular (feminino, corporal, histórico) do que ela deve ter de universal (imparcial, abstrato, atemporal).</w:t>
      </w:r>
    </w:p>
    <w:p>
      <w:pPr>
        <w:pStyle w:val="BodyText"/>
      </w:pPr>
      <w:r>
        <w:t xml:space="preserve">W. J. T. Mitchell, em</w:t>
      </w:r>
      <w:r>
        <w:t xml:space="preserve"> </w:t>
      </w:r>
      <w:r>
        <w:rPr>
          <w:i/>
          <w:iCs/>
        </w:rPr>
        <w:t xml:space="preserve">Iconology</w:t>
      </w:r>
      <w:r>
        <w:t xml:space="preserve"> </w:t>
      </w:r>
      <w:r>
        <w:t xml:space="preserve">(1986), argumenta que toda imagem é um campo de forças entre o visível e o invisível, entre o que se mostra e o que se oculta (MITCHELL, 1986). A venda de Justitia literaliza essa tensão: ela torna visível o ato de tornar invisível. A mulher está lá; o espectador vê o seu corpo, mas ela própria não vê. Sua subjetividade foi desligada. O que resta é uma</w:t>
      </w:r>
      <w:r>
        <w:t xml:space="preserve"> </w:t>
      </w:r>
      <w:r>
        <w:rPr>
          <w:i/>
          <w:iCs/>
        </w:rPr>
        <w:t xml:space="preserve">interface</w:t>
      </w:r>
      <w:r>
        <w:t xml:space="preserve">: um corpo feminino conectado ao aparato da lei (balança, espada) por um dispositivo (a venda) que desativa a agência da portadora.</w:t>
      </w:r>
    </w:p>
    <w:bookmarkEnd w:id="16"/>
    <w:bookmarkEnd w:id="17"/>
    <w:bookmarkStart w:id="22" w:name="X97de8ef1b6b9a2e55dbb02eb6d04cd2661a89fb"/>
    <w:p>
      <w:pPr>
        <w:pStyle w:val="Heading2"/>
      </w:pPr>
      <w:r>
        <w:t xml:space="preserve">4 Purificação iconológica: Latour, Haraway e o apagamento do feminino</w:t>
      </w:r>
    </w:p>
    <w:bookmarkStart w:id="18" w:name="purificação-à-maneira-de-latour"/>
    <w:p>
      <w:pPr>
        <w:pStyle w:val="Heading3"/>
      </w:pPr>
      <w:r>
        <w:t xml:space="preserve">4.1 Purificação à maneira de Latour</w:t>
      </w:r>
    </w:p>
    <w:p>
      <w:pPr>
        <w:pStyle w:val="FirstParagraph"/>
      </w:pPr>
      <w:r>
        <w:t xml:space="preserve">Em</w:t>
      </w:r>
      <w:r>
        <w:t xml:space="preserve"> </w:t>
      </w:r>
      <w:r>
        <w:rPr>
          <w:i/>
          <w:iCs/>
        </w:rPr>
        <w:t xml:space="preserve">Nous n’avons jamais été modernes</w:t>
      </w:r>
      <w:r>
        <w:t xml:space="preserve"> </w:t>
      </w:r>
      <w:r>
        <w:t xml:space="preserve">(1991), Bruno Latour descreve a constituição moderna como a articulação de duas práticas simétricas e simultâneas: a</w:t>
      </w:r>
      <w:r>
        <w:t xml:space="preserve"> </w:t>
      </w:r>
      <w:r>
        <w:rPr>
          <w:i/>
          <w:iCs/>
        </w:rPr>
        <w:t xml:space="preserve">purificação</w:t>
      </w:r>
      <w:r>
        <w:t xml:space="preserve">, que separa categorias ontológicas (natureza/cultura, humano/não-humano, sujeito/objeto), e a</w:t>
      </w:r>
      <w:r>
        <w:t xml:space="preserve"> </w:t>
      </w:r>
      <w:r>
        <w:rPr>
          <w:i/>
          <w:iCs/>
        </w:rPr>
        <w:t xml:space="preserve">tradução</w:t>
      </w:r>
      <w:r>
        <w:t xml:space="preserve"> </w:t>
      </w:r>
      <w:r>
        <w:t xml:space="preserve">(ou mediação), que prolifera híbridos que desmentem essas separações. A modernidade, para Latour, consiste na crença de que a purificação é real e a tradução é secundária, quando, na verdade, os híbridos proliferam</w:t>
      </w:r>
      <w:r>
        <w:t xml:space="preserve"> </w:t>
      </w:r>
      <w:r>
        <w:rPr>
          <w:i/>
          <w:iCs/>
        </w:rPr>
        <w:t xml:space="preserve">porque</w:t>
      </w:r>
      <w:r>
        <w:t xml:space="preserve"> </w:t>
      </w:r>
      <w:r>
        <w:t xml:space="preserve">a purificação os torna invisíveis (LATOUR, 1991).</w:t>
      </w:r>
    </w:p>
    <w:p>
      <w:pPr>
        <w:pStyle w:val="BodyText"/>
      </w:pPr>
      <w:r>
        <w:t xml:space="preserve">A iconografia jurídica moderna (entendida aqui como a produção visual associada ao direito entre o final do século XVIII e o início do XX) realiza uma operação análoga. Ela</w:t>
      </w:r>
      <w:r>
        <w:t xml:space="preserve"> </w:t>
      </w:r>
      <w:r>
        <w:rPr>
          <w:i/>
          <w:iCs/>
        </w:rPr>
        <w:t xml:space="preserve">purifica</w:t>
      </w:r>
      <w:r>
        <w:t xml:space="preserve"> </w:t>
      </w:r>
      <w:r>
        <w:t xml:space="preserve">a alegoria feminina da Justiça, separando dois registros que, na prática, são inseparáveis:</w:t>
      </w:r>
    </w:p>
    <w:p>
      <w:pPr>
        <w:numPr>
          <w:ilvl w:val="0"/>
          <w:numId w:val="1001"/>
        </w:numPr>
      </w:pPr>
      <w:r>
        <w:t xml:space="preserve">O</w:t>
      </w:r>
      <w:r>
        <w:t xml:space="preserve"> </w:t>
      </w:r>
      <w:r>
        <w:rPr>
          <w:b/>
          <w:bCs/>
        </w:rPr>
        <w:t xml:space="preserve">registro simbólico</w:t>
      </w:r>
      <w:r>
        <w:t xml:space="preserve">: a Justiça como virtude universal, atemporal, transcendente, expressão visual do Estado de Direito.</w:t>
      </w:r>
    </w:p>
    <w:p>
      <w:pPr>
        <w:numPr>
          <w:ilvl w:val="0"/>
          <w:numId w:val="1001"/>
        </w:numPr>
      </w:pPr>
      <w:r>
        <w:t xml:space="preserve">O</w:t>
      </w:r>
      <w:r>
        <w:t xml:space="preserve"> </w:t>
      </w:r>
      <w:r>
        <w:rPr>
          <w:b/>
          <w:bCs/>
        </w:rPr>
        <w:t xml:space="preserve">registro corporal</w:t>
      </w:r>
      <w:r>
        <w:t xml:space="preserve">: a mulher como corpo sexuado, histórico, situado, sujeito (ou não-sujeito) de direitos em uma ordem jurídica concreta.</w:t>
      </w:r>
    </w:p>
    <w:p>
      <w:pPr>
        <w:pStyle w:val="FirstParagraph"/>
      </w:pPr>
      <w:r>
        <w:t xml:space="preserve">A purificação consiste em apresentar (a) como se (b) não existisse. A alegoria funciona</w:t>
      </w:r>
      <w:r>
        <w:t xml:space="preserve"> </w:t>
      </w:r>
      <w:r>
        <w:rPr>
          <w:i/>
          <w:iCs/>
        </w:rPr>
        <w:t xml:space="preserve">porque</w:t>
      </w:r>
      <w:r>
        <w:t xml:space="preserve"> </w:t>
      </w:r>
      <w:r>
        <w:t xml:space="preserve">o espectador é treinado a não ver a mulher, mas apenas a Justiça. A venda sobre os olhos de Justitia é, assim, a inscrição material dessa purificação: ela está no corpo da figura como um lembrete permanente de que</w:t>
      </w:r>
      <w:r>
        <w:t xml:space="preserve"> </w:t>
      </w:r>
      <w:r>
        <w:rPr>
          <w:i/>
          <w:iCs/>
        </w:rPr>
        <w:t xml:space="preserve">este corpo não deve ser visto como corpo</w:t>
      </w:r>
      <w:r>
        <w:t xml:space="preserve">.</w:t>
      </w:r>
    </w:p>
    <w:p>
      <w:pPr>
        <w:pStyle w:val="BodyText"/>
      </w:pPr>
      <w:r>
        <w:t xml:space="preserve">Chamo</w:t>
      </w:r>
      <w:r>
        <w:t xml:space="preserve"> </w:t>
      </w:r>
      <w:r>
        <w:rPr>
          <w:i/>
          <w:iCs/>
        </w:rPr>
        <w:t xml:space="preserve">purificação iconológica</w:t>
      </w:r>
      <w:r>
        <w:t xml:space="preserve"> </w:t>
      </w:r>
      <w:r>
        <w:t xml:space="preserve">a essa operação específica: o processo pelo qual a iconografia jurídica transforma um corpo feminino particular em veículo de significação universal, apagando as marcas de gênero, de historicidade e de situação que o constituem como corpo concreto. O conceito se distingue da purificação latouriana genérica porque designa um mecanismo que opera</w:t>
      </w:r>
      <w:r>
        <w:t xml:space="preserve"> </w:t>
      </w:r>
      <w:r>
        <w:rPr>
          <w:i/>
          <w:iCs/>
        </w:rPr>
        <w:t xml:space="preserve">sobre e através do corpo feminino</w:t>
      </w:r>
      <w:r>
        <w:t xml:space="preserve">: não se trata de qualquer separação entre natureza e cultura, mas da separação específica entre</w:t>
      </w:r>
      <w:r>
        <w:t xml:space="preserve"> </w:t>
      </w:r>
      <w:r>
        <w:rPr>
          <w:i/>
          <w:iCs/>
        </w:rPr>
        <w:t xml:space="preserve">mulher</w:t>
      </w:r>
      <w:r>
        <w:t xml:space="preserve"> </w:t>
      </w:r>
      <w:r>
        <w:t xml:space="preserve">e</w:t>
      </w:r>
      <w:r>
        <w:t xml:space="preserve"> </w:t>
      </w:r>
      <w:r>
        <w:rPr>
          <w:i/>
          <w:iCs/>
        </w:rPr>
        <w:t xml:space="preserve">Justiça</w:t>
      </w:r>
      <w:r>
        <w:t xml:space="preserve">.</w:t>
      </w:r>
    </w:p>
    <w:p>
      <w:pPr>
        <w:pStyle w:val="BodyText"/>
      </w:pPr>
      <w:r>
        <w:t xml:space="preserve">Convém explicitar o que</w:t>
      </w:r>
      <w:r>
        <w:t xml:space="preserve"> </w:t>
      </w:r>
      <w:r>
        <w:rPr>
          <w:i/>
          <w:iCs/>
        </w:rPr>
        <w:t xml:space="preserve">não</w:t>
      </w:r>
      <w:r>
        <w:t xml:space="preserve"> </w:t>
      </w:r>
      <w:r>
        <w:t xml:space="preserve">seria purificação iconológica, sob pena de tornar o conceito irrefutável. Há purificação quando a representação</w:t>
      </w:r>
      <w:r>
        <w:t xml:space="preserve"> </w:t>
      </w:r>
      <w:r>
        <w:rPr>
          <w:i/>
          <w:iCs/>
        </w:rPr>
        <w:t xml:space="preserve">apaga sistematicamente</w:t>
      </w:r>
      <w:r>
        <w:t xml:space="preserve"> </w:t>
      </w:r>
      <w:r>
        <w:t xml:space="preserve">as marcas de particularidade do corpo feminino (historicidade, sexualidade, agência) para produzir universalidade. Não há purificação (ou a purificação é incompleta) quando a imagem preserva tensões visíveis entre o corpo particular e o símbolo abstrato: quando a feminilidade permanece como atributo político (como no caso de Marianne, analisado adiante), quando a figura exibe marcas de localidade, temporalidade ou conflito que resistem à abstração. A terceira imagem deste artigo foi escolhida precisamente para testar esse limite.</w:t>
      </w:r>
    </w:p>
    <w:bookmarkEnd w:id="18"/>
    <w:bookmarkStart w:id="19" w:name="a-deusa-como-anti-ciborgue"/>
    <w:p>
      <w:pPr>
        <w:pStyle w:val="Heading3"/>
      </w:pPr>
      <w:r>
        <w:t xml:space="preserve">4.2 A deusa como anti-ciborgue</w:t>
      </w:r>
    </w:p>
    <w:p>
      <w:pPr>
        <w:pStyle w:val="FirstParagraph"/>
      </w:pPr>
      <w:r>
        <w:t xml:space="preserve">É aqui que Donna Haraway se torna indispensável. No</w:t>
      </w:r>
      <w:r>
        <w:t xml:space="preserve"> </w:t>
      </w:r>
      <w:r>
        <w:rPr>
          <w:i/>
          <w:iCs/>
        </w:rPr>
        <w:t xml:space="preserve">Manifesto Ciborgue</w:t>
      </w:r>
      <w:r>
        <w:t xml:space="preserve"> </w:t>
      </w:r>
      <w:r>
        <w:t xml:space="preserve">(1985, publicado em livro em 1991), Haraway propõe o ciborgue como</w:t>
      </w:r>
      <w:r>
        <w:t xml:space="preserve"> </w:t>
      </w:r>
      <w:r>
        <w:t xml:space="preserve">“um organismo cibernético, um híbrido de máquina e organismo, uma criatura da realidade social e também uma criatura de ficção”</w:t>
      </w:r>
      <w:r>
        <w:t xml:space="preserve"> </w:t>
      </w:r>
      <w:r>
        <w:t xml:space="preserve">(HARAWAY, 1991). O ciborgue é uma figura que recusa a purificação: não aceita a separação entre o natural e o artificial, entre o orgânico e o mecânico, entre o masculino e o feminino. Habita a fronteira e faz dela um espaço de possibilidade política.</w:t>
      </w:r>
    </w:p>
    <w:p>
      <w:pPr>
        <w:pStyle w:val="BodyText"/>
      </w:pPr>
      <w:r>
        <w:t xml:space="preserve">A última frase do Manifesto é célebre:</w:t>
      </w:r>
      <w:r>
        <w:t xml:space="preserve"> </w:t>
      </w:r>
      <w:r>
        <w:t xml:space="preserve">“Prefiro ser um ciborgue a ser uma deusa.”</w:t>
      </w:r>
      <w:r>
        <w:t xml:space="preserve"> </w:t>
      </w:r>
      <w:r>
        <w:t xml:space="preserve">A oposição não é trivial. A</w:t>
      </w:r>
      <w:r>
        <w:t xml:space="preserve"> </w:t>
      </w:r>
      <w:r>
        <w:rPr>
          <w:i/>
          <w:iCs/>
        </w:rPr>
        <w:t xml:space="preserve">deusa</w:t>
      </w:r>
      <w:r>
        <w:t xml:space="preserve"> </w:t>
      </w:r>
      <w:r>
        <w:t xml:space="preserve">é, para Haraway, a figura feminina purificada, elevada acima da história, da materialidade, do conflito. A deusa é a mulher</w:t>
      </w:r>
      <w:r>
        <w:t xml:space="preserve"> </w:t>
      </w:r>
      <w:r>
        <w:rPr>
          <w:i/>
          <w:iCs/>
        </w:rPr>
        <w:t xml:space="preserve">depois</w:t>
      </w:r>
      <w:r>
        <w:t xml:space="preserve"> </w:t>
      </w:r>
      <w:r>
        <w:t xml:space="preserve">da purificação: des-corporificada, des-historicizada, convertida em princípio abstrato. O ciborgue é o oposto: a mulher</w:t>
      </w:r>
      <w:r>
        <w:t xml:space="preserve"> </w:t>
      </w:r>
      <w:r>
        <w:rPr>
          <w:i/>
          <w:iCs/>
        </w:rPr>
        <w:t xml:space="preserve">antes</w:t>
      </w:r>
      <w:r>
        <w:t xml:space="preserve"> </w:t>
      </w:r>
      <w:r>
        <w:t xml:space="preserve">(ou</w:t>
      </w:r>
      <w:r>
        <w:t xml:space="preserve"> </w:t>
      </w:r>
      <w:r>
        <w:rPr>
          <w:i/>
          <w:iCs/>
        </w:rPr>
        <w:t xml:space="preserve">contra</w:t>
      </w:r>
      <w:r>
        <w:t xml:space="preserve">) a purificação, que insiste em ser simultaneamente corpo e máquina, natureza e cultura, particular e universal.</w:t>
      </w:r>
    </w:p>
    <w:p>
      <w:pPr>
        <w:pStyle w:val="BodyText"/>
      </w:pPr>
      <w:r>
        <w:t xml:space="preserve">Sustento que a</w:t>
      </w:r>
      <w:r>
        <w:t xml:space="preserve"> </w:t>
      </w:r>
      <w:r>
        <w:rPr>
          <w:i/>
          <w:iCs/>
        </w:rPr>
        <w:t xml:space="preserve">Justitia vendada é a deusa que Haraway recusa</w:t>
      </w:r>
      <w:r>
        <w:t xml:space="preserve">. Ela é a alegoria feminina que foi submetida à purificação iconológica: o seu corpo está presente, mas sua subjetividade foi desativada (pela venda); seus atributos são tecnológicos (balança, espada), mas ela não é tratada como híbrida: é tratada como pura. A Justitia é, assim, um</w:t>
      </w:r>
      <w:r>
        <w:t xml:space="preserve"> </w:t>
      </w:r>
      <w:r>
        <w:rPr>
          <w:i/>
          <w:iCs/>
        </w:rPr>
        <w:t xml:space="preserve">anti-ciborgue</w:t>
      </w:r>
      <w:r>
        <w:t xml:space="preserve">: uma figura que porta a tecnologia sem habitar a fronteira, que exibe o corpo feminino sem reconhecê-lo como feminino.</w:t>
      </w:r>
    </w:p>
    <w:p>
      <w:pPr>
        <w:pStyle w:val="BodyText"/>
      </w:pPr>
      <w:r>
        <w:t xml:space="preserve">Mas (e aqui Haraway oferece mais do que uma gramática crítica) nenhuma purificação é jamais completa. Se o fosse, a alegoria não precisaria ser</w:t>
      </w:r>
      <w:r>
        <w:t xml:space="preserve"> </w:t>
      </w:r>
      <w:r>
        <w:rPr>
          <w:i/>
          <w:iCs/>
        </w:rPr>
        <w:t xml:space="preserve">repetida</w:t>
      </w:r>
      <w:r>
        <w:t xml:space="preserve">: a própria insistência em representar a Justiça como mulher vendada, século após século, fachada após fachada, denuncia uma operação que não se estabiliza sozinha. A purificação é</w:t>
      </w:r>
      <w:r>
        <w:t xml:space="preserve"> </w:t>
      </w:r>
      <w:r>
        <w:rPr>
          <w:i/>
          <w:iCs/>
        </w:rPr>
        <w:t xml:space="preserve">performativa</w:t>
      </w:r>
      <w:r>
        <w:t xml:space="preserve">, não substancial: ela precisa ser reencenada porque o corpo feminino resiste à abstração completa. Butler fornece a gramática teórica dessa performatividade: ao conceber o gênero como</w:t>
      </w:r>
      <w:r>
        <w:t xml:space="preserve"> </w:t>
      </w:r>
      <w:r>
        <w:rPr>
          <w:i/>
          <w:iCs/>
        </w:rPr>
        <w:t xml:space="preserve">citação</w:t>
      </w:r>
      <w:r>
        <w:t xml:space="preserve">, ela mostra que a naturalidade é o efeito acumulado da repetição, e não a sua origem (BUTLER, 1993). A venda de Justitia é, nesse sentido, um ato de citação institucional — um gesto repetido cuja eficácia depende da reiteração que converte a contingência histórica em evidência natural. A venda precisa ser recolocada porque, sem ela, o espectador veria o que a purificação procura ocultar: que a universalidade jurídica é sustentada por um corpo particular. Os</w:t>
      </w:r>
      <w:r>
        <w:t xml:space="preserve"> </w:t>
      </w:r>
      <w:r>
        <w:t xml:space="preserve">“vazamentos”</w:t>
      </w:r>
      <w:r>
        <w:t xml:space="preserve">, usando o vocabulário harawayano, são visíveis nas inconsistências iconográficas: Justitias que perdem a venda (Bruxelas), que perdem a balança (Brasília), que ganham atributos políticos (Marianne). Cada variação é um ponto onde a purificação vacila.</w:t>
      </w:r>
    </w:p>
    <w:p>
      <w:pPr>
        <w:pStyle w:val="BodyText"/>
      </w:pPr>
      <w:r>
        <w:t xml:space="preserve">A teoria harawayana permite, portanto, nomear o que a iconologia jurídica de Martyn deixa impensado: o</w:t>
      </w:r>
      <w:r>
        <w:t xml:space="preserve"> </w:t>
      </w:r>
      <w:r>
        <w:rPr>
          <w:i/>
          <w:iCs/>
        </w:rPr>
        <w:t xml:space="preserve">custo</w:t>
      </w:r>
      <w:r>
        <w:t xml:space="preserve"> </w:t>
      </w:r>
      <w:r>
        <w:t xml:space="preserve">da purificação para o sujeito feminino. Quando a escola de Gent descreve a função legitimadora das imagens jurídicas, ela opera dentro do mesmo regime de purificação que analisa. Descrever a Justitia como</w:t>
      </w:r>
      <w:r>
        <w:t xml:space="preserve"> </w:t>
      </w:r>
      <w:r>
        <w:t xml:space="preserve">“símbolo da imparcialidade judicial”</w:t>
      </w:r>
      <w:r>
        <w:t xml:space="preserve"> </w:t>
      </w:r>
      <w:r>
        <w:t xml:space="preserve">é</w:t>
      </w:r>
      <w:r>
        <w:t xml:space="preserve"> </w:t>
      </w:r>
      <w:r>
        <w:rPr>
          <w:i/>
          <w:iCs/>
        </w:rPr>
        <w:t xml:space="preserve">aceitar</w:t>
      </w:r>
      <w:r>
        <w:t xml:space="preserve"> </w:t>
      </w:r>
      <w:r>
        <w:t xml:space="preserve">a purificação como dado: é ver a Justiça onde há uma mulher com os olhos tapados.</w:t>
      </w:r>
    </w:p>
    <w:bookmarkEnd w:id="19"/>
    <w:bookmarkStart w:id="20" w:name="o-contrato-visual"/>
    <w:p>
      <w:pPr>
        <w:pStyle w:val="Heading3"/>
      </w:pPr>
      <w:r>
        <w:t xml:space="preserve">4.3 O contrato visual</w:t>
      </w:r>
    </w:p>
    <w:p>
      <w:pPr>
        <w:pStyle w:val="FirstParagraph"/>
      </w:pPr>
      <w:r>
        <w:t xml:space="preserve">Carole Pateman, em</w:t>
      </w:r>
      <w:r>
        <w:t xml:space="preserve"> </w:t>
      </w:r>
      <w:r>
        <w:rPr>
          <w:i/>
          <w:iCs/>
        </w:rPr>
        <w:t xml:space="preserve">The Sexual Contract</w:t>
      </w:r>
      <w:r>
        <w:t xml:space="preserve"> </w:t>
      </w:r>
      <w:r>
        <w:t xml:space="preserve">(1988), demonstrou que o contrato social descrito pela filosofia política moderna (Hobbes, Locke, Rousseau) é sustentado por um</w:t>
      </w:r>
      <w:r>
        <w:t xml:space="preserve"> </w:t>
      </w:r>
      <w:r>
        <w:rPr>
          <w:i/>
          <w:iCs/>
        </w:rPr>
        <w:t xml:space="preserve">contrato sexual</w:t>
      </w:r>
      <w:r>
        <w:t xml:space="preserve"> </w:t>
      </w:r>
      <w:r>
        <w:t xml:space="preserve">que lhe é anterior e que permanece oculto: o acordo pelo qual os homens se constituem como sujeitos políticos</w:t>
      </w:r>
      <w:r>
        <w:t xml:space="preserve"> </w:t>
      </w:r>
      <w:r>
        <w:rPr>
          <w:i/>
          <w:iCs/>
        </w:rPr>
        <w:t xml:space="preserve">mediante</w:t>
      </w:r>
      <w:r>
        <w:t xml:space="preserve"> </w:t>
      </w:r>
      <w:r>
        <w:t xml:space="preserve">a subordinação das mulheres (PATEMAN, 1988). A estrutura é a mesma da purificação latouriana: o contrato social se apresenta como universal</w:t>
      </w:r>
      <w:r>
        <w:t xml:space="preserve"> </w:t>
      </w:r>
      <w:r>
        <w:rPr>
          <w:i/>
          <w:iCs/>
        </w:rPr>
        <w:t xml:space="preserve">porque</w:t>
      </w:r>
      <w:r>
        <w:t xml:space="preserve"> </w:t>
      </w:r>
      <w:r>
        <w:t xml:space="preserve">o contrato sexual é tornado invisível.</w:t>
      </w:r>
    </w:p>
    <w:p>
      <w:pPr>
        <w:pStyle w:val="BodyText"/>
      </w:pPr>
      <w:r>
        <w:t xml:space="preserve">Proponho uma analogia estrutural, e não causal, entre o contrato sexual e o que chamo de</w:t>
      </w:r>
      <w:r>
        <w:t xml:space="preserve"> </w:t>
      </w:r>
      <w:r>
        <w:rPr>
          <w:i/>
          <w:iCs/>
        </w:rPr>
        <w:t xml:space="preserve">contrato visual</w:t>
      </w:r>
      <w:r>
        <w:t xml:space="preserve">. Assim como o contrato social se apresenta como universal porque o contrato sexual foi tornado invisível, a alegoria da Justiça funciona como símbolo universal porque a mulher que lhe empresta o corpo é tornada invisível enquanto mulher. O contrato visual é o acordo tácito pelo qual o espectador aceita ver a Justiça onde há um corpo feminino despojado de agência. A venda é a cláusula material desse contrato: ela sinaliza que o corpo não deve ser lido como corpo, mas como símbolo.</w:t>
      </w:r>
    </w:p>
    <w:p>
      <w:pPr>
        <w:pStyle w:val="BodyText"/>
      </w:pPr>
      <w:r>
        <w:t xml:space="preserve">A analogia é estrutural e não pretende estabelecer uma cadeia causal direta entre a purificação iconográfica e a exclusão material das mulheres das instituições jurídicas. O argumento é mais modesto e, creio, mais preciso: a iconografia jurídica</w:t>
      </w:r>
      <w:r>
        <w:t xml:space="preserve"> </w:t>
      </w:r>
      <w:r>
        <w:rPr>
          <w:i/>
          <w:iCs/>
        </w:rPr>
        <w:t xml:space="preserve">inscreve visualmente</w:t>
      </w:r>
      <w:r>
        <w:t xml:space="preserve"> </w:t>
      </w:r>
      <w:r>
        <w:t xml:space="preserve">uma lógica de exclusão que opera também por outros meios (jurídicos, econômicos, políticos). A purificação iconológica não</w:t>
      </w:r>
      <w:r>
        <w:t xml:space="preserve"> </w:t>
      </w:r>
      <w:r>
        <w:rPr>
          <w:i/>
          <w:iCs/>
        </w:rPr>
        <w:t xml:space="preserve">causa</w:t>
      </w:r>
      <w:r>
        <w:t xml:space="preserve"> </w:t>
      </w:r>
      <w:r>
        <w:t xml:space="preserve">a exclusão das mulheres; ela a</w:t>
      </w:r>
      <w:r>
        <w:t xml:space="preserve"> </w:t>
      </w:r>
      <w:r>
        <w:rPr>
          <w:i/>
          <w:iCs/>
        </w:rPr>
        <w:t xml:space="preserve">naturaliza</w:t>
      </w:r>
      <w:r>
        <w:t xml:space="preserve">: torna-a visualmente evidente e, ao mesmo tempo, invisível como problema. É uma tecnologia de</w:t>
      </w:r>
      <w:r>
        <w:t xml:space="preserve"> </w:t>
      </w:r>
      <w:r>
        <w:rPr>
          <w:i/>
          <w:iCs/>
        </w:rPr>
        <w:t xml:space="preserve">normalização</w:t>
      </w:r>
      <w:r>
        <w:t xml:space="preserve">, não de</w:t>
      </w:r>
      <w:r>
        <w:t xml:space="preserve"> </w:t>
      </w:r>
      <w:r>
        <w:rPr>
          <w:i/>
          <w:iCs/>
        </w:rPr>
        <w:t xml:space="preserve">produção</w:t>
      </w:r>
      <w:r>
        <w:t xml:space="preserve"> </w:t>
      </w:r>
      <w:r>
        <w:t xml:space="preserve">da desigualdade.</w:t>
      </w:r>
    </w:p>
    <w:bookmarkEnd w:id="20"/>
    <w:bookmarkStart w:id="21" w:name="X8f0e9478ad783dad22c8dba409224b414793c69"/>
    <w:p>
      <w:pPr>
        <w:pStyle w:val="Heading3"/>
      </w:pPr>
      <w:r>
        <w:t xml:space="preserve">4.4 Feminilidade de Estado: a alegoria como tecnologia de constituição do poder</w:t>
      </w:r>
    </w:p>
    <w:p>
      <w:pPr>
        <w:pStyle w:val="FirstParagraph"/>
      </w:pPr>
      <w:r>
        <w:t xml:space="preserve">A análise da purificação iconológica ficaria incompleta se não explicitasse o que a operação produz para além do símbolo. A tese que este artigo propõe — e que constitui a sua contribuição específica ao campo — é que a alegoria feminina purificada não é apenas um repertório decorativo do direito, mas uma</w:t>
      </w:r>
      <w:r>
        <w:t xml:space="preserve"> </w:t>
      </w:r>
      <w:r>
        <w:rPr>
          <w:i/>
          <w:iCs/>
        </w:rPr>
        <w:t xml:space="preserve">tecnologia de constituição do Estado</w:t>
      </w:r>
      <w:r>
        <w:t xml:space="preserve">: ela materializa o que proponho designar</w:t>
      </w:r>
      <w:r>
        <w:t xml:space="preserve"> </w:t>
      </w:r>
      <w:r>
        <w:rPr>
          <w:i/>
          <w:iCs/>
        </w:rPr>
        <w:t xml:space="preserve">Feminilidade de Estado</w:t>
      </w:r>
      <w:r>
        <w:t xml:space="preserve">, isto é, a forma específica pela qual o poder jurídico se representa como universal mediante a instrumentalização do corpo feminino como suporte de transcendência.</w:t>
      </w:r>
    </w:p>
    <w:p>
      <w:pPr>
        <w:pStyle w:val="BodyText"/>
      </w:pPr>
      <w:r>
        <w:t xml:space="preserve">Esse deslocamento permite articular a purificação iconológica com a crítica feminista do Estado. Em</w:t>
      </w:r>
      <w:r>
        <w:t xml:space="preserve"> </w:t>
      </w:r>
      <w:r>
        <w:rPr>
          <w:i/>
          <w:iCs/>
        </w:rPr>
        <w:t xml:space="preserve">Toward a Feminist Theory of the State</w:t>
      </w:r>
      <w:r>
        <w:t xml:space="preserve"> </w:t>
      </w:r>
      <w:r>
        <w:t xml:space="preserve">(1989), Catharine MacKinnon sustenta que o Estado, longe de ser neutro, é constituído pela diferença de gênero: a</w:t>
      </w:r>
      <w:r>
        <w:t xml:space="preserve"> </w:t>
      </w:r>
      <w:r>
        <w:t xml:space="preserve">“objetividade”</w:t>
      </w:r>
      <w:r>
        <w:t xml:space="preserve"> </w:t>
      </w:r>
      <w:r>
        <w:t xml:space="preserve">jurídica — a pretensão de julgar a partir de um ponto de vista universal — encobre um ponto de vista masculino que se apresenta como ausência de ponto de vista (MACKINNON, 1989). Há uma afinidade estrutural entre essa crítica e a leitura aqui proposta. A Justitia vendada é a figura perfeita dessa objetividade encenada: um corpo feminino mobilizado para produzir a aparência de imparcialidade, precisamente porque a sua feminilidade — isto é, a sua diferença — foi desativada. A venda não é apenas um dispositivo óptico; é um dispositivo</w:t>
      </w:r>
      <w:r>
        <w:t xml:space="preserve"> </w:t>
      </w:r>
      <w:r>
        <w:rPr>
          <w:i/>
          <w:iCs/>
        </w:rPr>
        <w:t xml:space="preserve">epistemológico</w:t>
      </w:r>
      <w:r>
        <w:t xml:space="preserve"> </w:t>
      </w:r>
      <w:r>
        <w:t xml:space="preserve">que institui a ficção de um olhar sem corpo, de uma justiça que não pertence a ninguém porque não pertence a nenhuma mulher.</w:t>
      </w:r>
    </w:p>
    <w:p>
      <w:pPr>
        <w:pStyle w:val="BodyText"/>
      </w:pPr>
      <w:r>
        <w:t xml:space="preserve">É aqui que a iconologia jurídica encontra a teoria feminista do Estado no seu ponto mais produtivo. A escola de Gent demonstra que as imagens jurídicas</w:t>
      </w:r>
      <w:r>
        <w:t xml:space="preserve"> </w:t>
      </w:r>
      <w:r>
        <w:rPr>
          <w:i/>
          <w:iCs/>
        </w:rPr>
        <w:t xml:space="preserve">constroem</w:t>
      </w:r>
      <w:r>
        <w:t xml:space="preserve"> </w:t>
      </w:r>
      <w:r>
        <w:t xml:space="preserve">o direito; a crítica feminista demonstra que o direito se constrói</w:t>
      </w:r>
      <w:r>
        <w:t xml:space="preserve"> </w:t>
      </w:r>
      <w:r>
        <w:rPr>
          <w:i/>
          <w:iCs/>
        </w:rPr>
        <w:t xml:space="preserve">mediante a diferença sexual</w:t>
      </w:r>
      <w:r>
        <w:t xml:space="preserve">. A purificação iconológica é o nome do mecanismo que faz essas duas teses trabalharem juntas: é a operação visual pela qual a construção do direito pelo feminino se apresenta como construção pelo universal. A</w:t>
      </w:r>
      <w:r>
        <w:t xml:space="preserve"> </w:t>
      </w:r>
      <w:r>
        <w:rPr>
          <w:i/>
          <w:iCs/>
        </w:rPr>
        <w:t xml:space="preserve">Feminilidade de Estado</w:t>
      </w:r>
      <w:r>
        <w:t xml:space="preserve"> </w:t>
      </w:r>
      <w:r>
        <w:t xml:space="preserve">é, assim, o produto político dessa operação — a forma feminina do poder que, quanto mais universal se pretende, mais exige o apagamento da mulher concreta que a sustenta.</w:t>
      </w:r>
    </w:p>
    <w:bookmarkEnd w:id="21"/>
    <w:bookmarkEnd w:id="22"/>
    <w:bookmarkStart w:id="27" w:name="X66481ba749cc224fc0577d86ce031a5667116ea"/>
    <w:p>
      <w:pPr>
        <w:pStyle w:val="Heading2"/>
      </w:pPr>
      <w:r>
        <w:t xml:space="preserve">5 Três imagens, três níveis: leituras do corpus ICONOCRACY</w:t>
      </w:r>
    </w:p>
    <w:p>
      <w:pPr>
        <w:pStyle w:val="FirstParagraph"/>
      </w:pPr>
      <w:r>
        <w:t xml:space="preserve">A fim de demonstrar a operatividade do conceito de purificação iconológica, proponho a leitura de três imagens do corpus ICONOCRACY, um conjunto de representações alegóricas femininas associadas à cultura jurídica dos séculos XIX e XX, catalogado no âmbito de pesquisa doutoral em curso no PPGD/UFSC. A leitura segue os três níveis panofskianos, tal como adaptados por Martyn, mas acrescenta, no terceiro nível, a pergunta pela purificação.</w:t>
      </w:r>
    </w:p>
    <w:bookmarkStart w:id="23" w:name="X566e51ecac2ae790495b5abcb0385be2eaee230"/>
    <w:p>
      <w:pPr>
        <w:pStyle w:val="Heading3"/>
      </w:pPr>
      <w:r>
        <w:t xml:space="preserve">5.1 Imagem 1: A Justitia do Palais de Justice de Bruxelas (séc. XIX)</w:t>
      </w:r>
    </w:p>
    <w:p>
      <w:pPr>
        <w:pStyle w:val="FirstParagraph"/>
      </w:pPr>
      <w:r>
        <w:rPr>
          <w:b/>
          <w:bCs/>
        </w:rPr>
        <w:t xml:space="preserve">Nível pré-iconográfico.</w:t>
      </w:r>
      <w:r>
        <w:t xml:space="preserve"> </w:t>
      </w:r>
      <w:r>
        <w:t xml:space="preserve">Escultura monumental em pedra calcária, posicionada na fachada principal do Palais de Justice de Bruxelas (Joseph Poelaert, 1866–1883), a uma altura de aproximadamente 15 metros em relação ao nível da rua. A figura feminina está de pé, em posição frontal e hierática, com uma escala estimada em três vezes o tamanho natural. A vestimenta é uma toga clássica com pregas verticais que acentuam a verticalidade do corpo. A mão esquerda sustenta uma balança de pratos largos; a mão direita empunha uma espada longa, apontada para baixo. Os pés estão descalços sobre um plinto de pedra. O rosto é oval, de feições idealizadas à maneira neoclássica, com nariz reto, queixo firme e cabelos apanhados sob um diadema discreto. Os olhos estão</w:t>
      </w:r>
      <w:r>
        <w:t xml:space="preserve"> </w:t>
      </w:r>
      <w:r>
        <w:rPr>
          <w:i/>
          <w:iCs/>
        </w:rPr>
        <w:t xml:space="preserve">abertos</w:t>
      </w:r>
      <w:r>
        <w:t xml:space="preserve">, sem qualquer vestígio de venda. A expressão é severa e impassível — o que Aby Warburg chamaria de uma</w:t>
      </w:r>
      <w:r>
        <w:t xml:space="preserve"> </w:t>
      </w:r>
      <w:r>
        <w:rPr>
          <w:i/>
          <w:iCs/>
        </w:rPr>
        <w:t xml:space="preserve">Pathosformel</w:t>
      </w:r>
      <w:r>
        <w:t xml:space="preserve"> </w:t>
      </w:r>
      <w:r>
        <w:t xml:space="preserve">da vigilância: um gesto expressivo carregado de autoridade que sobrevive nas fachadas judiciais do século XIX como eco secularizado das figuras hieráticas medievais. O corpo não apresenta sinais de movimento, erotismo ou vulnerabilidade; é uma forma estática que funciona como pilar arquitetônico tanto quanto como alegoria.</w:t>
      </w:r>
    </w:p>
    <w:p>
      <w:pPr>
        <w:pStyle w:val="BodyText"/>
      </w:pPr>
      <w:r>
        <w:rPr>
          <w:b/>
          <w:bCs/>
        </w:rPr>
        <w:t xml:space="preserve">Nível iconográfico.</w:t>
      </w:r>
      <w:r>
        <w:t xml:space="preserve"> </w:t>
      </w:r>
      <w:r>
        <w:t xml:space="preserve">A figura é identificável como Justitia pela combinação de balança e espada. A ausência de venda é significativa: trata-se de uma Justitia que</w:t>
      </w:r>
      <w:r>
        <w:t xml:space="preserve"> </w:t>
      </w:r>
      <w:r>
        <w:rPr>
          <w:i/>
          <w:iCs/>
        </w:rPr>
        <w:t xml:space="preserve">vê</w:t>
      </w:r>
      <w:r>
        <w:t xml:space="preserve">. O estilo neoclássico vincula-a à tradição das virtudes cardinais e à retórica visual do Estado liberal belga. A frontalidade hierática distingue-a das Justitias sentadas ou em movimento da tradição barroca, inscrevendo-a num registro de</w:t>
      </w:r>
      <w:r>
        <w:t xml:space="preserve"> </w:t>
      </w:r>
      <w:r>
        <w:rPr>
          <w:i/>
          <w:iCs/>
        </w:rPr>
        <w:t xml:space="preserve">decorum</w:t>
      </w:r>
      <w:r>
        <w:t xml:space="preserve"> </w:t>
      </w:r>
      <w:r>
        <w:t xml:space="preserve">judiciário que é simultaneamente estético e institucional.</w:t>
      </w:r>
    </w:p>
    <w:p>
      <w:pPr>
        <w:pStyle w:val="BodyText"/>
      </w:pPr>
      <w:r>
        <w:rPr>
          <w:b/>
          <w:bCs/>
        </w:rPr>
        <w:t xml:space="preserve">Nível iconológico (purificação).</w:t>
      </w:r>
      <w:r>
        <w:t xml:space="preserve"> </w:t>
      </w:r>
      <w:r>
        <w:t xml:space="preserve">O Palais de Justice de Bruxelas é o maior edifício judicial da Europa (26.000 m², maior que a Basílica de São Pedro) e um monumento à ambição do Estado belga oitocentista — erguido sob o reinado de Leopoldo II, no auge da expansão colonial belga, num contexto em que a acumulação do Estado esteve ligada à exploração do trabalho no Congo.O Palais de Justice, erguido durante o reinado de Leopoldo II, materializa a ambição monumental do Estado belga oitocentista — um Estado cuja projeção internacional e acumulação estavam indissociavelmente ligadas à empresa colonial no Congo. A Justitia sem venda representa, aqui, não a imparcialidade cega, mas a</w:t>
      </w:r>
      <w:r>
        <w:t xml:space="preserve"> </w:t>
      </w:r>
      <w:r>
        <w:rPr>
          <w:i/>
          <w:iCs/>
        </w:rPr>
        <w:t xml:space="preserve">vigilância</w:t>
      </w:r>
      <w:r>
        <w:t xml:space="preserve"> </w:t>
      </w:r>
      <w:r>
        <w:t xml:space="preserve">do Estado: uma Justiça que tudo vê e tudo julga. Contudo, a purificação opera igualmente, e por dois mecanismos simultâneos. Primeiro, a</w:t>
      </w:r>
      <w:r>
        <w:t xml:space="preserve"> </w:t>
      </w:r>
      <w:r>
        <w:rPr>
          <w:i/>
          <w:iCs/>
        </w:rPr>
        <w:t xml:space="preserve">monumentalização</w:t>
      </w:r>
      <w:r>
        <w:t xml:space="preserve">: o corpo feminino é amplificado a uma escala que o torna inabitável por qualquer mulher real. Nenhuma mulher concreta cabe naquele corpo — a sobre-dimensão é ela mesma um dispositivo de purificação. Segundo, a</w:t>
      </w:r>
      <w:r>
        <w:t xml:space="preserve"> </w:t>
      </w:r>
      <w:r>
        <w:rPr>
          <w:i/>
          <w:iCs/>
        </w:rPr>
        <w:t xml:space="preserve">destemporalização</w:t>
      </w:r>
      <w:r>
        <w:t xml:space="preserve">: a toga clássica, os pés descalços, o diadema remetem a uma antiguidade fictícia que apaga a historicidade tanto da mulher quanto da instituição. A feminilidade é preservada como forma e esvaziada como experiência. A</w:t>
      </w:r>
      <w:r>
        <w:t xml:space="preserve"> </w:t>
      </w:r>
      <w:r>
        <w:rPr>
          <w:i/>
          <w:iCs/>
        </w:rPr>
        <w:t xml:space="preserve">Pathosformel</w:t>
      </w:r>
      <w:r>
        <w:t xml:space="preserve"> </w:t>
      </w:r>
      <w:r>
        <w:t xml:space="preserve">da vigilância — olhos abertos, corpo estático, escala sobre-humana — sobrevive aqui como gesto de autoridade purificado: a mulher que vê tudo é, paradoxalmente, a mulher que não é vista como mulher.</w:t>
      </w:r>
    </w:p>
    <w:bookmarkEnd w:id="23"/>
    <w:bookmarkStart w:id="24" w:name="Xea13feffa2dbc70869165f98afbc0dd91b4048b"/>
    <w:p>
      <w:pPr>
        <w:pStyle w:val="Heading3"/>
      </w:pPr>
      <w:r>
        <w:t xml:space="preserve">5.2 Imagem 2: A Justitia de Alfredo Ceschiatti, STF, Brasília (1961)</w:t>
      </w:r>
    </w:p>
    <w:p>
      <w:pPr>
        <w:pStyle w:val="FirstParagraph"/>
      </w:pPr>
      <w:r>
        <w:rPr>
          <w:b/>
          <w:bCs/>
        </w:rPr>
        <w:t xml:space="preserve">Nível pré-iconográfico.</w:t>
      </w:r>
      <w:r>
        <w:t xml:space="preserve"> </w:t>
      </w:r>
      <w:r>
        <w:t xml:space="preserve">Escultura em granito cinza, com aproximadamente 3,30 metros de altura, posicionada sobre um plinto baixo diante da entrada principal do Supremo Tribunal Federal, na Praça dos Três Poderes, em Brasília. A figura feminina está</w:t>
      </w:r>
      <w:r>
        <w:t xml:space="preserve"> </w:t>
      </w:r>
      <w:r>
        <w:rPr>
          <w:i/>
          <w:iCs/>
        </w:rPr>
        <w:t xml:space="preserve">sentada</w:t>
      </w:r>
      <w:r>
        <w:t xml:space="preserve">, com as pernas unidas e os pés paralelos — uma postura de repouso e estabilidade que contrasta com a verticalidade da Justitia de Bruxelas. A cabeça é coberta por uma venda larga que oculta completamente os olhos e parte da testa. Uma espada de lâmina larga repousa sobre os joelhos, apoiada verticalmente pelo braço direito. Não há balança — ausência iconograficamente significativa. As formas são geometrizadas ao extremo: o rosto é um oval liso, sem feições individualizadas; os braços são cilindros maciços; o tronco é um bloco de granito apenas sugerindo a anatomia sob um drapeado simplificado. A superfície é polida, sem ornamentos, relevos ou inscrições. A figura está posicionada ao ar livre, em eixo frontal com a rampa de acesso ao STF, enquadrada à esquerda pelo espelho d’água e à direita pelo vazio da esplanada. A relação com o edifício de Oscar Niemeyer — vidro, colunas brancas, horizontalidade — é de contraste material: o granito pesado e opaco contra a transparência e leveza da arquitetura. A escala, embora monumental, é menor que a da Justitia de Bruxelas — a figura é acessível ao transeunte, o que a torna, paradoxalmente, mais vulnerável à intervenção física (como se verificou em janeiro de 2023).</w:t>
      </w:r>
    </w:p>
    <w:p>
      <w:pPr>
        <w:pStyle w:val="BodyText"/>
      </w:pPr>
      <w:r>
        <w:rPr>
          <w:b/>
          <w:bCs/>
        </w:rPr>
        <w:t xml:space="preserve">Nível iconográfico.</w:t>
      </w:r>
      <w:r>
        <w:t xml:space="preserve"> </w:t>
      </w:r>
      <w:r>
        <w:t xml:space="preserve">A identificação como Justitia depende da venda e da espada, já que a balança está ausente — escolha iconográfica incomum que desloca a ênfase do</w:t>
      </w:r>
      <w:r>
        <w:t xml:space="preserve"> </w:t>
      </w:r>
      <w:r>
        <w:rPr>
          <w:i/>
          <w:iCs/>
        </w:rPr>
        <w:t xml:space="preserve">equilíbrio</w:t>
      </w:r>
      <w:r>
        <w:t xml:space="preserve"> </w:t>
      </w:r>
      <w:r>
        <w:t xml:space="preserve">(pesagem) para a</w:t>
      </w:r>
      <w:r>
        <w:t xml:space="preserve"> </w:t>
      </w:r>
      <w:r>
        <w:rPr>
          <w:i/>
          <w:iCs/>
        </w:rPr>
        <w:t xml:space="preserve">autoridade</w:t>
      </w:r>
      <w:r>
        <w:t xml:space="preserve"> </w:t>
      </w:r>
      <w:r>
        <w:t xml:space="preserve">(coerção). A posição sentada sugere estabilidade e permanência, mas também passividade: esta Justitia não age, espera. O modernismo de Ceschiatti (formado na tradição do escultor francês Aristide Maillol) reduz o vocabulário formal ao mínimo: venda + espada + posição sentada. É uma Justitia por subtração.</w:t>
      </w:r>
    </w:p>
    <w:p>
      <w:pPr>
        <w:pStyle w:val="BodyText"/>
      </w:pPr>
      <w:r>
        <w:rPr>
          <w:b/>
          <w:bCs/>
        </w:rPr>
        <w:t xml:space="preserve">Nível iconológico (purificação).</w:t>
      </w:r>
      <w:r>
        <w:t xml:space="preserve"> </w:t>
      </w:r>
      <w:r>
        <w:t xml:space="preserve">Inaugurada com a nova capital em 1960–61, a Justitia de Ceschiatti participa do projeto modernista de construção nacional de Brasília — projeto que James Holston descreveu como uma utopia de</w:t>
      </w:r>
      <w:r>
        <w:t xml:space="preserve"> </w:t>
      </w:r>
      <w:r>
        <w:rPr>
          <w:i/>
          <w:iCs/>
        </w:rPr>
        <w:t xml:space="preserve">tabula rasa</w:t>
      </w:r>
      <w:r>
        <w:t xml:space="preserve">, apagamento deliberado do passado para instalar o futuro (HOLSTON, 1989). O gesto de purificação é aqui triplo. Primeiro, a</w:t>
      </w:r>
      <w:r>
        <w:t xml:space="preserve"> </w:t>
      </w:r>
      <w:r>
        <w:rPr>
          <w:i/>
          <w:iCs/>
        </w:rPr>
        <w:t xml:space="preserve">purificação estética</w:t>
      </w:r>
      <w:r>
        <w:t xml:space="preserve">: o modernismo simplifica o corpo feminino até torná-lo quase geométrico, eliminando qualquer vestígio de sensualidade, historicidade ou individualidade — o corpo é um volume, não uma pessoa. Segundo, a</w:t>
      </w:r>
      <w:r>
        <w:t xml:space="preserve"> </w:t>
      </w:r>
      <w:r>
        <w:rPr>
          <w:i/>
          <w:iCs/>
        </w:rPr>
        <w:t xml:space="preserve">purificação colonial</w:t>
      </w:r>
      <w:r>
        <w:t xml:space="preserve">: a Justitia de Brasília não é brasileira. Ela não remete a nenhuma mulher brasileira, a nenhum corpo situado na história local — não é negra, não é indígena, não é cabocla. É uma importação da tradição europeia, transplantada para o cerrado como signo de universalidade jurídica. Terceiro, a</w:t>
      </w:r>
      <w:r>
        <w:t xml:space="preserve"> </w:t>
      </w:r>
      <w:r>
        <w:rPr>
          <w:i/>
          <w:iCs/>
        </w:rPr>
        <w:t xml:space="preserve">purificação racial</w:t>
      </w:r>
      <w:r>
        <w:t xml:space="preserve">: mesmo geometrizado, o corpo de Ceschiatti preserva traços inequivocamente europeus — o nariz reto, a estrutura craniana, a postura de</w:t>
      </w:r>
      <w:r>
        <w:t xml:space="preserve"> </w:t>
      </w:r>
      <w:r>
        <w:rPr>
          <w:i/>
          <w:iCs/>
        </w:rPr>
        <w:t xml:space="preserve">matrona</w:t>
      </w:r>
      <w:r>
        <w:t xml:space="preserve"> </w:t>
      </w:r>
      <w:r>
        <w:t xml:space="preserve">clássica. Num país onde, à época da inauguração da estátua, a população negra era sistematicamente excluída do acesso à justiça e à cidadania plena, a branquitude da Justitia não é um detalhe estilístico — é uma cláusula do contrato visual. Como advertiu Lélia Gonzalez, a cultura brasileira opera por um</w:t>
      </w:r>
      <w:r>
        <w:t xml:space="preserve"> </w:t>
      </w:r>
      <w:r>
        <w:t xml:space="preserve">“racismo por denegação”</w:t>
      </w:r>
      <w:r>
        <w:t xml:space="preserve"> </w:t>
      </w:r>
      <w:r>
        <w:t xml:space="preserve">que se manifesta precisamente nos espaços simbólicos onde a presença negra é apagada (GONZALEZ, 1984). A Justitia de Ceschiatti é uma deusa (no sentido preciso de Haraway) plantada no planalto central: purificada de historicidade, de gênero e de raça, ela representa uma universalidade que só é possível porque o corpo concreto — feminino, racializado, situado — foi tornado invisível.</w:t>
      </w:r>
    </w:p>
    <w:bookmarkEnd w:id="24"/>
    <w:bookmarkStart w:id="25" w:name="X8dfcec8fe453ae6eeeb9a5d727aebbf3225ef36"/>
    <w:p>
      <w:pPr>
        <w:pStyle w:val="Heading3"/>
      </w:pPr>
      <w:r>
        <w:t xml:space="preserve">5.3 Imagem 3: Marianne-República com barrete frígio (França, séc. XIX)</w:t>
      </w:r>
    </w:p>
    <w:p>
      <w:pPr>
        <w:pStyle w:val="FirstParagraph"/>
      </w:pPr>
      <w:r>
        <w:rPr>
          <w:b/>
          <w:bCs/>
        </w:rPr>
        <w:t xml:space="preserve">Nível pré-iconográfico.</w:t>
      </w:r>
      <w:r>
        <w:t xml:space="preserve"> </w:t>
      </w:r>
      <w:r>
        <w:t xml:space="preserve">Gravura em papel, provavelmente litografia. Figura feminina de busto ou corpo inteiro, portando barrete frígio vermelho, por vezes acompanhada de feixe de varas (</w:t>
      </w:r>
      <w:r>
        <w:rPr>
          <w:i/>
          <w:iCs/>
        </w:rPr>
        <w:t xml:space="preserve">fasces</w:t>
      </w:r>
      <w:r>
        <w:t xml:space="preserve">), livro de leis ou tábua da Declaração dos Direitos. Olhos descobertos. Vestimenta clássica ou semi-contemporânea.</w:t>
      </w:r>
    </w:p>
    <w:p>
      <w:pPr>
        <w:pStyle w:val="BodyText"/>
      </w:pPr>
      <w:r>
        <w:rPr>
          <w:b/>
          <w:bCs/>
        </w:rPr>
        <w:t xml:space="preserve">Nível iconográfico.</w:t>
      </w:r>
      <w:r>
        <w:t xml:space="preserve"> </w:t>
      </w:r>
      <w:r>
        <w:t xml:space="preserve">A figura não é propriamente Justitia, mas</w:t>
      </w:r>
      <w:r>
        <w:t xml:space="preserve"> </w:t>
      </w:r>
      <w:r>
        <w:rPr>
          <w:i/>
          <w:iCs/>
        </w:rPr>
        <w:t xml:space="preserve">Marianne</w:t>
      </w:r>
      <w:r>
        <w:t xml:space="preserve">, a alegoria da República francesa. A sobreposição entre Marianne e Justitia é frequente na iconografia republicana oitocentista: ambas são mulheres, ambas representam princípios abstratos (respectivamente, a República e a Justiça), e ambas ocupam o mesmo espaço visual (edifícios públicos, selos, moedas).</w:t>
      </w:r>
    </w:p>
    <w:p>
      <w:pPr>
        <w:pStyle w:val="BodyText"/>
      </w:pPr>
      <w:r>
        <w:rPr>
          <w:b/>
          <w:bCs/>
        </w:rPr>
        <w:t xml:space="preserve">Nível iconológico (purificação).</w:t>
      </w:r>
      <w:r>
        <w:t xml:space="preserve"> </w:t>
      </w:r>
      <w:r>
        <w:t xml:space="preserve">O caso de Marianne é revelador porque a purificação é</w:t>
      </w:r>
      <w:r>
        <w:t xml:space="preserve"> </w:t>
      </w:r>
      <w:r>
        <w:rPr>
          <w:i/>
          <w:iCs/>
        </w:rPr>
        <w:t xml:space="preserve">incompleta</w:t>
      </w:r>
      <w:r>
        <w:t xml:space="preserve">. Ao contrário de Justitia, Marianne mantém traços de historicidade: o barrete frígio remete à Revolução, o</w:t>
      </w:r>
      <w:r>
        <w:t xml:space="preserve"> </w:t>
      </w:r>
      <w:r>
        <w:rPr>
          <w:i/>
          <w:iCs/>
        </w:rPr>
        <w:t xml:space="preserve">fasces</w:t>
      </w:r>
      <w:r>
        <w:t xml:space="preserve"> </w:t>
      </w:r>
      <w:r>
        <w:t xml:space="preserve">à República Romana, a vestimenta por vezes atualiza-se. Marianne é, assim, uma figura</w:t>
      </w:r>
      <w:r>
        <w:t xml:space="preserve"> </w:t>
      </w:r>
      <w:r>
        <w:rPr>
          <w:i/>
          <w:iCs/>
        </w:rPr>
        <w:t xml:space="preserve">menos purificada</w:t>
      </w:r>
      <w:r>
        <w:t xml:space="preserve"> </w:t>
      </w:r>
      <w:r>
        <w:t xml:space="preserve">que Justitia e, por isso, mais instável. Sua feminilidade é visível não apenas como forma, mas como</w:t>
      </w:r>
      <w:r>
        <w:t xml:space="preserve"> </w:t>
      </w:r>
      <w:r>
        <w:rPr>
          <w:i/>
          <w:iCs/>
        </w:rPr>
        <w:t xml:space="preserve">atributo político</w:t>
      </w:r>
      <w:r>
        <w:t xml:space="preserve">: o corpo de Marianne é deliberadamente erotizado em certas representações, e deliberadamente maternal em outras. Marianne oscila entre a deusa e o ciborgue: ela não é inteiramente purificada, mas também não é inteiramente híbrida. A comparação com Justitia torna visível, por contraste, a radicalidade da purificação operada pela alegoria da Justiça.</w:t>
      </w:r>
    </w:p>
    <w:bookmarkEnd w:id="25"/>
    <w:bookmarkStart w:id="26" w:name="contraponto-onde-a-purificação-falha"/>
    <w:p>
      <w:pPr>
        <w:pStyle w:val="Heading3"/>
      </w:pPr>
      <w:r>
        <w:t xml:space="preserve">5.4 Contraponto: onde a purificação falha</w:t>
      </w:r>
    </w:p>
    <w:p>
      <w:pPr>
        <w:pStyle w:val="FirstParagraph"/>
      </w:pPr>
      <w:r>
        <w:t xml:space="preserve">O conceito de purificação iconológica ganha poder analítico pleno quando se pode identificar os pontos onde a operação</w:t>
      </w:r>
      <w:r>
        <w:t xml:space="preserve"> </w:t>
      </w:r>
      <w:r>
        <w:rPr>
          <w:i/>
          <w:iCs/>
        </w:rPr>
        <w:t xml:space="preserve">falha</w:t>
      </w:r>
      <w:r>
        <w:t xml:space="preserve"> </w:t>
      </w:r>
      <w:r>
        <w:t xml:space="preserve">— onde o corpo feminino resiste à universalização e a mulher reaparece sob a alegoria. Marianne, como vimos, constitui um caso de purificação incompleta. Mas há exemplos mais radicais.</w:t>
      </w:r>
    </w:p>
    <w:p>
      <w:pPr>
        <w:pStyle w:val="BodyText"/>
      </w:pPr>
      <w:r>
        <w:t xml:space="preserve">Na tradição da imprensa satírica brasileira do início do século XX, a República-mulher — a mesma figura que as moedas e selos apresentavam como matrona serena — foi sistematicamente re-corporificada como</w:t>
      </w:r>
      <w:r>
        <w:t xml:space="preserve"> </w:t>
      </w:r>
      <w:r>
        <w:t xml:space="preserve">“mulher pública”</w:t>
      </w:r>
      <w:r>
        <w:t xml:space="preserve">, prostituta ou</w:t>
      </w:r>
      <w:r>
        <w:t xml:space="preserve"> </w:t>
      </w:r>
      <w:r>
        <w:t xml:space="preserve">“vaca leiteira”</w:t>
      </w:r>
      <w:r>
        <w:t xml:space="preserve"> </w:t>
      </w:r>
      <w:r>
        <w:t xml:space="preserve">do Estado. Em periódicos como</w:t>
      </w:r>
      <w:r>
        <w:t xml:space="preserve"> </w:t>
      </w:r>
      <w:r>
        <w:rPr>
          <w:i/>
          <w:iCs/>
        </w:rPr>
        <w:t xml:space="preserve">O Malho</w:t>
      </w:r>
      <w:r>
        <w:t xml:space="preserve"> </w:t>
      </w:r>
      <w:r>
        <w:t xml:space="preserve">(1902–1913) e</w:t>
      </w:r>
      <w:r>
        <w:t xml:space="preserve"> </w:t>
      </w:r>
      <w:r>
        <w:rPr>
          <w:i/>
          <w:iCs/>
        </w:rPr>
        <w:t xml:space="preserve">O Gato</w:t>
      </w:r>
      <w:r>
        <w:t xml:space="preserve"> </w:t>
      </w:r>
      <w:r>
        <w:t xml:space="preserve">(1913), cartunistas devolveram à alegoria precisamente os atributos que a purificação havia apagado: sexualidade, envelhecimento, vulnerabilidade, capacidade de ser corrompida. A República-como-prostituta é a inversão exata da Justitia-como-deusa: onde a purificação produz transcendência, a sátira restaura a imanência; onde a alegoria apaga o corpo, a caricatura o exibe. Esses</w:t>
      </w:r>
      <w:r>
        <w:t xml:space="preserve"> </w:t>
      </w:r>
      <w:r>
        <w:t xml:space="preserve">“vazamentos”</w:t>
      </w:r>
      <w:r>
        <w:t xml:space="preserve"> </w:t>
      </w:r>
      <w:r>
        <w:t xml:space="preserve">— para usar a metáfora harawayana — revelam que a purificação é</w:t>
      </w:r>
      <w:r>
        <w:t xml:space="preserve"> </w:t>
      </w:r>
      <w:r>
        <w:rPr>
          <w:i/>
          <w:iCs/>
        </w:rPr>
        <w:t xml:space="preserve">performativa</w:t>
      </w:r>
      <w:r>
        <w:t xml:space="preserve"> </w:t>
      </w:r>
      <w:r>
        <w:t xml:space="preserve">e não</w:t>
      </w:r>
      <w:r>
        <w:t xml:space="preserve"> </w:t>
      </w:r>
      <w:r>
        <w:rPr>
          <w:i/>
          <w:iCs/>
        </w:rPr>
        <w:t xml:space="preserve">substancial</w:t>
      </w:r>
      <w:r>
        <w:t xml:space="preserve">: ela precisa ser continuamente reencenada porque o corpo feminino resiste à abstração completa.</w:t>
      </w:r>
    </w:p>
    <w:p>
      <w:pPr>
        <w:pStyle w:val="BodyText"/>
      </w:pPr>
      <w:r>
        <w:t xml:space="preserve">Outro ponto de falha é a</w:t>
      </w:r>
      <w:r>
        <w:t xml:space="preserve"> </w:t>
      </w:r>
      <w:r>
        <w:rPr>
          <w:i/>
          <w:iCs/>
        </w:rPr>
        <w:t xml:space="preserve">Justitia sem venda</w:t>
      </w:r>
      <w:r>
        <w:t xml:space="preserve"> </w:t>
      </w:r>
      <w:r>
        <w:t xml:space="preserve">que persiste em vários contextos — como a própria Justitia de Bruxelas analisada acima. A tradição não é uniforme: em diversos tribunais europeus e latino-americanos, a Justitia mantém os olhos abertos, preservando a</w:t>
      </w:r>
      <w:r>
        <w:t xml:space="preserve"> </w:t>
      </w:r>
      <w:r>
        <w:rPr>
          <w:i/>
          <w:iCs/>
        </w:rPr>
        <w:t xml:space="preserve">agência do olhar</w:t>
      </w:r>
      <w:r>
        <w:t xml:space="preserve"> </w:t>
      </w:r>
      <w:r>
        <w:t xml:space="preserve">que a venda suprime. Essas variações não são resíduos de tradições anteriores à</w:t>
      </w:r>
      <w:r>
        <w:t xml:space="preserve"> </w:t>
      </w:r>
      <w:r>
        <w:t xml:space="preserve">“normalização”</w:t>
      </w:r>
      <w:r>
        <w:t xml:space="preserve"> </w:t>
      </w:r>
      <w:r>
        <w:t xml:space="preserve">da venda; são escolhas institucionais que revelam hesitações e resistências dentro do próprio aparato estatal diante da operação de purificação. A persistência da Justitia de olhos abertos é evidência de que a purificação não foi universalmente aceita — e de que a pergunta</w:t>
      </w:r>
      <w:r>
        <w:t xml:space="preserve"> </w:t>
      </w:r>
      <w:r>
        <w:t xml:space="preserve">“deve a Justiça ver ou não ver?”</w:t>
      </w:r>
      <w:r>
        <w:t xml:space="preserve"> </w:t>
      </w:r>
      <w:r>
        <w:t xml:space="preserve">é, em última instância, uma pergunta sobre se a mulher-alegoria deve ter agência ou não.</w:t>
      </w:r>
    </w:p>
    <w:bookmarkEnd w:id="26"/>
    <w:bookmarkEnd w:id="27"/>
    <w:bookmarkStart w:id="28" w:name="X78ae26c249fb92b85d294e0b1ec81a217a254c7"/>
    <w:p>
      <w:pPr>
        <w:pStyle w:val="Heading2"/>
      </w:pPr>
      <w:r>
        <w:t xml:space="preserve">6 Conclusão: para uma iconologia jurídica feminista</w:t>
      </w:r>
    </w:p>
    <w:p>
      <w:pPr>
        <w:pStyle w:val="FirstParagraph"/>
      </w:pPr>
      <w:r>
        <w:t xml:space="preserve">Este artigo partiu de um método (a iconologia jurídica de Martyn), confrontou-o com um problema (o gênero da alegoria) e propôs um conceito (a purificação iconológica) para nomear a operação pela qual a iconografia jurídica moderna transforma o corpo feminino em veículo de significação universal.</w:t>
      </w:r>
    </w:p>
    <w:p>
      <w:pPr>
        <w:pStyle w:val="BodyText"/>
      </w:pPr>
      <w:r>
        <w:t xml:space="preserve">A contribuição é, simultaneamente, metodológica e substantiva. No plano metodológico, o artigo sugere que o terceiro nível panofskiano, a interpretação iconológica, não pode ser exercido rigorosamente sem a pergunta pelo gênero. Quando Martyn interroga a</w:t>
      </w:r>
      <w:r>
        <w:t xml:space="preserve"> </w:t>
      </w:r>
      <w:r>
        <w:t xml:space="preserve">“função normativa”</w:t>
      </w:r>
      <w:r>
        <w:t xml:space="preserve"> </w:t>
      </w:r>
      <w:r>
        <w:t xml:space="preserve">das imagens jurídicas, ele identifica corretamente que essas imagens</w:t>
      </w:r>
      <w:r>
        <w:t xml:space="preserve"> </w:t>
      </w:r>
      <w:r>
        <w:rPr>
          <w:i/>
          <w:iCs/>
        </w:rPr>
        <w:t xml:space="preserve">constroem</w:t>
      </w:r>
      <w:r>
        <w:t xml:space="preserve"> </w:t>
      </w:r>
      <w:r>
        <w:t xml:space="preserve">o direito, mas descreve apenas metade da construção. A outra metade é a</w:t>
      </w:r>
      <w:r>
        <w:t xml:space="preserve"> </w:t>
      </w:r>
      <w:r>
        <w:rPr>
          <w:i/>
          <w:iCs/>
        </w:rPr>
        <w:t xml:space="preserve">generização</w:t>
      </w:r>
      <w:r>
        <w:t xml:space="preserve"> </w:t>
      </w:r>
      <w:r>
        <w:t xml:space="preserve">do sujeito jurídico: o fato de que a universalidade do direito é visualmente produzida por meio de um corpo feminino que é apresentado como neutro. Uma iconologia jurídica que não pergunta pelo gênero da alegoria é uma iconologia incompleta.</w:t>
      </w:r>
    </w:p>
    <w:p>
      <w:pPr>
        <w:pStyle w:val="BodyText"/>
      </w:pPr>
      <w:r>
        <w:t xml:space="preserve">No plano substantivo, o conceito de purificação iconológica permite descrever com precisão o mecanismo pelo qual a neutralidade é produzida. Não se trata de uma denúncia genérica (</w:t>
      </w:r>
      <w:r>
        <w:t xml:space="preserve">“a Justiça é representada por uma mulher, o que é paradoxal”</w:t>
      </w:r>
      <w:r>
        <w:t xml:space="preserve">), mas de uma análise do</w:t>
      </w:r>
      <w:r>
        <w:t xml:space="preserve"> </w:t>
      </w:r>
      <w:r>
        <w:rPr>
          <w:i/>
          <w:iCs/>
        </w:rPr>
        <w:t xml:space="preserve">dispositivo</w:t>
      </w:r>
      <w:r>
        <w:t xml:space="preserve"> </w:t>
      </w:r>
      <w:r>
        <w:t xml:space="preserve">específico que opera essa transformação. A venda é a inscrição material da purificação; a monumentalização do corpo é sua amplificação; a repetição iconográfica ao longo dos séculos é sua naturalização.</w:t>
      </w:r>
    </w:p>
    <w:p>
      <w:pPr>
        <w:pStyle w:val="BodyText"/>
      </w:pPr>
      <w:r>
        <w:t xml:space="preserve">A articulação com Haraway não é ornamental. A teoria do ciborgue oferece o contra-modelo necessário para que a purificação se torne visível como</w:t>
      </w:r>
      <w:r>
        <w:t xml:space="preserve"> </w:t>
      </w:r>
      <w:r>
        <w:rPr>
          <w:i/>
          <w:iCs/>
        </w:rPr>
        <w:t xml:space="preserve">operação</w:t>
      </w:r>
      <w:r>
        <w:t xml:space="preserve">, e não como</w:t>
      </w:r>
      <w:r>
        <w:t xml:space="preserve"> </w:t>
      </w:r>
      <w:r>
        <w:rPr>
          <w:i/>
          <w:iCs/>
        </w:rPr>
        <w:t xml:space="preserve">dado</w:t>
      </w:r>
      <w:r>
        <w:t xml:space="preserve">. Se a Justitia é a deusa, o ciborgue é a figura que permite imaginar uma outra relação entre corpo feminino e representação jurídica: uma relação que não exija o apagamento da mulher como condição de possibilidade do símbolo.</w:t>
      </w:r>
    </w:p>
    <w:p>
      <w:pPr>
        <w:pStyle w:val="BodyText"/>
      </w:pPr>
      <w:r>
        <w:t xml:space="preserve">Propor uma</w:t>
      </w:r>
      <w:r>
        <w:t xml:space="preserve"> </w:t>
      </w:r>
      <w:r>
        <w:rPr>
          <w:i/>
          <w:iCs/>
        </w:rPr>
        <w:t xml:space="preserve">iconologia jurídica feminista</w:t>
      </w:r>
      <w:r>
        <w:t xml:space="preserve"> </w:t>
      </w:r>
      <w:r>
        <w:t xml:space="preserve">não significa abandonar o rigor da tradição panofskiana. Significa levá-la a sério: se o terceiro nível de Panofsky exige a interpretação do</w:t>
      </w:r>
      <w:r>
        <w:t xml:space="preserve"> </w:t>
      </w:r>
      <w:r>
        <w:t xml:space="preserve">“significado intrínseco”</w:t>
      </w:r>
      <w:r>
        <w:t xml:space="preserve"> </w:t>
      </w:r>
      <w:r>
        <w:t xml:space="preserve">da imagem como sintoma de uma visão de mundo, então a feminilidade de Justitia não é um acidente formal, mas um</w:t>
      </w:r>
      <w:r>
        <w:t xml:space="preserve"> </w:t>
      </w:r>
      <w:r>
        <w:rPr>
          <w:i/>
          <w:iCs/>
        </w:rPr>
        <w:t xml:space="preserve">sintoma</w:t>
      </w:r>
      <w:r>
        <w:t xml:space="preserve">: o sintoma de uma ordem jurídica que precisa do corpo feminino para representar-se, mas que só funciona enquanto esse corpo permanecer invisível enquanto feminino.</w:t>
      </w:r>
    </w:p>
    <w:p>
      <w:pPr>
        <w:pStyle w:val="BodyText"/>
      </w:pPr>
      <w:r>
        <w:t xml:space="preserve">Uma iconologia jurídica feminista distinguir-se-ia, assim, por três operações:</w:t>
      </w:r>
      <w:r>
        <w:t xml:space="preserve"> </w:t>
      </w:r>
      <w:r>
        <w:rPr>
          <w:i/>
          <w:iCs/>
        </w:rPr>
        <w:t xml:space="preserve">primeiro</w:t>
      </w:r>
      <w:r>
        <w:t xml:space="preserve">, incorporar a pergunta pelo gênero da alegoria como dimensão constitutiva da análise iconológica, e não como adendo temático;</w:t>
      </w:r>
      <w:r>
        <w:t xml:space="preserve"> </w:t>
      </w:r>
      <w:r>
        <w:rPr>
          <w:i/>
          <w:iCs/>
        </w:rPr>
        <w:t xml:space="preserve">segundo</w:t>
      </w:r>
      <w:r>
        <w:t xml:space="preserve">, identificar os mecanismos de purificação (apagamento, monumentalização, repetição) que transformam corpos particulares em símbolos universais;</w:t>
      </w:r>
      <w:r>
        <w:t xml:space="preserve"> </w:t>
      </w:r>
      <w:r>
        <w:rPr>
          <w:i/>
          <w:iCs/>
        </w:rPr>
        <w:t xml:space="preserve">terceiro</w:t>
      </w:r>
      <w:r>
        <w:t xml:space="preserve">, rastrear os pontos de</w:t>
      </w:r>
      <w:r>
        <w:t xml:space="preserve"> </w:t>
      </w:r>
      <w:r>
        <w:rPr>
          <w:i/>
          <w:iCs/>
        </w:rPr>
        <w:t xml:space="preserve">falha</w:t>
      </w:r>
      <w:r>
        <w:t xml:space="preserve"> </w:t>
      </w:r>
      <w:r>
        <w:t xml:space="preserve">da purificação: as inconsistências, variações e resistências que revelam a operação como performativa e não como natural. Trabalhos futuros nessa direção poderiam examinar a racialização na iconografia jurídica (o pressuposto de um corpo feminino branco europeu como veículo universal), as representações de classe (a toga como marcador social), ou as tentativas de contestação iconográfica (as reapropriações feministas e pós-coloniais da figura de Justitia).</w:t>
      </w:r>
    </w:p>
    <w:p>
      <w:pPr>
        <w:pStyle w:val="BodyText"/>
      </w:pPr>
      <w:r>
        <w:t xml:space="preserve">Desvendar Justitia, retirar-lhe a venda, não para que ela</w:t>
      </w:r>
      <w:r>
        <w:t xml:space="preserve"> </w:t>
      </w:r>
      <w:r>
        <w:t xml:space="preserve">“veja melhor”</w:t>
      </w:r>
      <w:r>
        <w:t xml:space="preserve">, mas para que</w:t>
      </w:r>
      <w:r>
        <w:t xml:space="preserve"> </w:t>
      </w:r>
      <w:r>
        <w:rPr>
          <w:i/>
          <w:iCs/>
        </w:rPr>
        <w:t xml:space="preserve">nós a vejamos</w:t>
      </w:r>
      <w:r>
        <w:t xml:space="preserve"> </w:t>
      </w:r>
      <w:r>
        <w:t xml:space="preserve">como mulher, é o gesto inaugural de uma iconologia jurídica que não aceite a purificação como ponto de partida.</w:t>
      </w:r>
    </w:p>
    <w:p>
      <w:r>
        <w:pict>
          <v:rect style="width:0;height:1.5pt" o:hralign="center" o:hrstd="t" o:hr="t"/>
        </w:pict>
      </w:r>
    </w:p>
    <w:bookmarkEnd w:id="28"/>
    <w:bookmarkStart w:id="29" w:name="referências"/>
    <w:p>
      <w:pPr>
        <w:pStyle w:val="Heading2"/>
      </w:pPr>
      <w:r>
        <w:t xml:space="preserve">Referências</w:t>
      </w:r>
    </w:p>
    <w:p>
      <w:pPr>
        <w:pStyle w:val="Compact"/>
        <w:numPr>
          <w:ilvl w:val="0"/>
          <w:numId w:val="1002"/>
        </w:numPr>
      </w:pPr>
      <w:r>
        <w:t xml:space="preserve">BEHRMANN, Carolin. The mirror axiom: Legal iconology and the lure of reflection. In: HUYGEBAERT, Stefan; MARTYN, Georges; PAUMEN, Vanessa; ROUSSEAUX, Xavier (org.).</w:t>
      </w:r>
      <w:r>
        <w:t xml:space="preserve"> </w:t>
      </w:r>
      <w:r>
        <w:rPr>
          <w:i/>
          <w:iCs/>
        </w:rPr>
        <w:t xml:space="preserve">The Art of Law: Artistic Representations and Iconography of Law and Justice in Context, from the Middle Ages to the First World War</w:t>
      </w:r>
      <w:r>
        <w:t xml:space="preserve">. Cham: Springer, 2018. p. 57–80.</w:t>
      </w:r>
    </w:p>
    <w:p>
      <w:pPr>
        <w:pStyle w:val="Compact"/>
        <w:numPr>
          <w:ilvl w:val="0"/>
          <w:numId w:val="1002"/>
        </w:numPr>
      </w:pPr>
      <w:r>
        <w:t xml:space="preserve">BRANT, Sebastian.</w:t>
      </w:r>
      <w:r>
        <w:t xml:space="preserve"> </w:t>
      </w:r>
      <w:r>
        <w:rPr>
          <w:i/>
          <w:iCs/>
        </w:rPr>
        <w:t xml:space="preserve">Das Narrenschiff</w:t>
      </w:r>
      <w:r>
        <w:t xml:space="preserve">. Basel: [s.n.], 1494.</w:t>
      </w:r>
    </w:p>
    <w:p>
      <w:pPr>
        <w:pStyle w:val="Compact"/>
        <w:numPr>
          <w:ilvl w:val="0"/>
          <w:numId w:val="1002"/>
        </w:numPr>
      </w:pPr>
      <w:r>
        <w:t xml:space="preserve">BUTLER, Judith.</w:t>
      </w:r>
      <w:r>
        <w:t xml:space="preserve"> </w:t>
      </w:r>
      <w:r>
        <w:rPr>
          <w:i/>
          <w:iCs/>
        </w:rPr>
        <w:t xml:space="preserve">Bodies That Matter: On the Discursive Limits of</w:t>
      </w:r>
      <w:r>
        <w:rPr>
          <w:i/>
          <w:iCs/>
        </w:rPr>
        <w:t xml:space="preserve"> </w:t>
      </w:r>
      <w:r>
        <w:rPr>
          <w:i/>
          <w:iCs/>
        </w:rPr>
        <w:t xml:space="preserve">“Sex”</w:t>
      </w:r>
      <w:r>
        <w:t xml:space="preserve">. New York: Routledge, 1993.</w:t>
      </w:r>
    </w:p>
    <w:p>
      <w:pPr>
        <w:pStyle w:val="Compact"/>
        <w:numPr>
          <w:ilvl w:val="0"/>
          <w:numId w:val="1002"/>
        </w:numPr>
      </w:pPr>
      <w:r>
        <w:t xml:space="preserve">GONZALEZ, Lélia. Racismo e sexismo na cultura brasileira.</w:t>
      </w:r>
      <w:r>
        <w:t xml:space="preserve"> </w:t>
      </w:r>
      <w:r>
        <w:rPr>
          <w:i/>
          <w:iCs/>
        </w:rPr>
        <w:t xml:space="preserve">Revista Ciências Sociais Hoje</w:t>
      </w:r>
      <w:r>
        <w:t xml:space="preserve">, [s.l.]: ANPOCS, 1984. p. 223–244.</w:t>
      </w:r>
    </w:p>
    <w:p>
      <w:pPr>
        <w:pStyle w:val="Compact"/>
        <w:numPr>
          <w:ilvl w:val="0"/>
          <w:numId w:val="1002"/>
        </w:numPr>
      </w:pPr>
      <w:r>
        <w:t xml:space="preserve">HARAWAY, Donna.</w:t>
      </w:r>
      <w:r>
        <w:t xml:space="preserve"> </w:t>
      </w:r>
      <w:r>
        <w:rPr>
          <w:i/>
          <w:iCs/>
        </w:rPr>
        <w:t xml:space="preserve">Simians, Cyborgs, and Women: The Reinvention of Nature</w:t>
      </w:r>
      <w:r>
        <w:t xml:space="preserve">. New York: Routledge, 1991.</w:t>
      </w:r>
    </w:p>
    <w:p>
      <w:pPr>
        <w:pStyle w:val="Compact"/>
        <w:numPr>
          <w:ilvl w:val="0"/>
          <w:numId w:val="1002"/>
        </w:numPr>
      </w:pPr>
      <w:r>
        <w:t xml:space="preserve">HOLSTON, James.</w:t>
      </w:r>
      <w:r>
        <w:t xml:space="preserve"> </w:t>
      </w:r>
      <w:r>
        <w:rPr>
          <w:i/>
          <w:iCs/>
        </w:rPr>
        <w:t xml:space="preserve">The Modernist City: An Anthropological Critique of Brasília</w:t>
      </w:r>
      <w:r>
        <w:t xml:space="preserve">. Chicago: University of Chicago Press, 1989.</w:t>
      </w:r>
    </w:p>
    <w:p>
      <w:pPr>
        <w:pStyle w:val="Compact"/>
        <w:numPr>
          <w:ilvl w:val="0"/>
          <w:numId w:val="1002"/>
        </w:numPr>
      </w:pPr>
      <w:r>
        <w:t xml:space="preserve">HUYGEBAERT, Stefan; MARTYN, Georges; PAUMEN, Vanessa; ROUSSEAUX, Xavier (org.).</w:t>
      </w:r>
      <w:r>
        <w:t xml:space="preserve"> </w:t>
      </w:r>
      <w:r>
        <w:rPr>
          <w:i/>
          <w:iCs/>
        </w:rPr>
        <w:t xml:space="preserve">The Art of Law: Three Centuries of Justice Depicted</w:t>
      </w:r>
      <w:r>
        <w:t xml:space="preserve">. Tielt: Lannoo, 2016.</w:t>
      </w:r>
    </w:p>
    <w:p>
      <w:pPr>
        <w:pStyle w:val="Compact"/>
        <w:numPr>
          <w:ilvl w:val="0"/>
          <w:numId w:val="1002"/>
        </w:numPr>
      </w:pPr>
      <w:r>
        <w:t xml:space="preserve">HUYGEBAERT, Stefan; MARTYN, Georges; PAUMEN, Vanessa; ROUSSEAUX, Xavier (org.).</w:t>
      </w:r>
      <w:r>
        <w:t xml:space="preserve"> </w:t>
      </w:r>
      <w:r>
        <w:rPr>
          <w:i/>
          <w:iCs/>
        </w:rPr>
        <w:t xml:space="preserve">The Art of Law: Artistic Representations and Iconography of Law and Justice in Context, from the Middle Ages to the First World War</w:t>
      </w:r>
      <w:r>
        <w:t xml:space="preserve">. Cham: Springer, 2018. (Ius Gentium, v. 66).</w:t>
      </w:r>
    </w:p>
    <w:p>
      <w:pPr>
        <w:pStyle w:val="Compact"/>
        <w:numPr>
          <w:ilvl w:val="0"/>
          <w:numId w:val="1002"/>
        </w:numPr>
      </w:pPr>
      <w:r>
        <w:t xml:space="preserve">LATOUR, Bruno.</w:t>
      </w:r>
      <w:r>
        <w:t xml:space="preserve"> </w:t>
      </w:r>
      <w:r>
        <w:rPr>
          <w:i/>
          <w:iCs/>
        </w:rPr>
        <w:t xml:space="preserve">Nous n’avons jamais été modernes: Essai d’anthropologie symétrique</w:t>
      </w:r>
      <w:r>
        <w:t xml:space="preserve">. Paris: La Découverte, 1991.</w:t>
      </w:r>
    </w:p>
    <w:p>
      <w:pPr>
        <w:pStyle w:val="Compact"/>
        <w:numPr>
          <w:ilvl w:val="0"/>
          <w:numId w:val="1002"/>
        </w:numPr>
      </w:pPr>
      <w:r>
        <w:t xml:space="preserve">MACKINNON, Catharine A.</w:t>
      </w:r>
      <w:r>
        <w:t xml:space="preserve"> </w:t>
      </w:r>
      <w:r>
        <w:rPr>
          <w:i/>
          <w:iCs/>
        </w:rPr>
        <w:t xml:space="preserve">Toward a Feminist Theory of the State</w:t>
      </w:r>
      <w:r>
        <w:t xml:space="preserve">. Cambridge: Harvard University Press, 1989.</w:t>
      </w:r>
    </w:p>
    <w:p>
      <w:pPr>
        <w:pStyle w:val="Compact"/>
        <w:numPr>
          <w:ilvl w:val="0"/>
          <w:numId w:val="1002"/>
        </w:numPr>
      </w:pPr>
      <w:r>
        <w:t xml:space="preserve">MARTYN, Georges; HUYGEBAERT, Stefan. Twenty New Contributions to the Upcoming Research Field of Historical Legal Iconology. In: HUYGEBAERT, Stefan; MARTYN, Georges; PAUMEN, Vanessa; ROUSSEAUX, Xavier (org.).</w:t>
      </w:r>
      <w:r>
        <w:t xml:space="preserve"> </w:t>
      </w:r>
      <w:r>
        <w:rPr>
          <w:i/>
          <w:iCs/>
        </w:rPr>
        <w:t xml:space="preserve">The Art of Law: Artistic Representations and Iconography of Law and Justice in Context, from the Middle Ages to the First World War</w:t>
      </w:r>
      <w:r>
        <w:t xml:space="preserve">. Cham: Springer, 2018. p. 3–24.</w:t>
      </w:r>
    </w:p>
    <w:p>
      <w:pPr>
        <w:pStyle w:val="Compact"/>
        <w:numPr>
          <w:ilvl w:val="0"/>
          <w:numId w:val="1002"/>
        </w:numPr>
      </w:pPr>
      <w:r>
        <w:t xml:space="preserve">MARTYN, Georges. Introdução à iconologia histórica do direito. In: DAL RI JR., Arno (org.).</w:t>
      </w:r>
      <w:r>
        <w:t xml:space="preserve"> </w:t>
      </w:r>
      <w:r>
        <w:rPr>
          <w:i/>
          <w:iCs/>
        </w:rPr>
        <w:t xml:space="preserve">Printing &amp; Iconology as Legal-Historical Sources</w:t>
      </w:r>
      <w:r>
        <w:t xml:space="preserve">. Florianópolis: Ius Commune, 2020. p. 12–37.</w:t>
      </w:r>
    </w:p>
    <w:p>
      <w:pPr>
        <w:pStyle w:val="Compact"/>
        <w:numPr>
          <w:ilvl w:val="0"/>
          <w:numId w:val="1002"/>
        </w:numPr>
      </w:pPr>
      <w:r>
        <w:t xml:space="preserve">MITCHELL, W. J. T.</w:t>
      </w:r>
      <w:r>
        <w:t xml:space="preserve"> </w:t>
      </w:r>
      <w:r>
        <w:rPr>
          <w:i/>
          <w:iCs/>
        </w:rPr>
        <w:t xml:space="preserve">Iconology: Image, Text, Ideology</w:t>
      </w:r>
      <w:r>
        <w:t xml:space="preserve">. Chicago: University of Chicago Press, 1986.</w:t>
      </w:r>
    </w:p>
    <w:p>
      <w:pPr>
        <w:pStyle w:val="Compact"/>
        <w:numPr>
          <w:ilvl w:val="0"/>
          <w:numId w:val="1002"/>
        </w:numPr>
      </w:pPr>
      <w:r>
        <w:t xml:space="preserve">PANOFSKY, Erwin.</w:t>
      </w:r>
      <w:r>
        <w:t xml:space="preserve"> </w:t>
      </w:r>
      <w:r>
        <w:rPr>
          <w:i/>
          <w:iCs/>
        </w:rPr>
        <w:t xml:space="preserve">Studies in Iconology: Humanistic Themes in the Art of the Renaissance</w:t>
      </w:r>
      <w:r>
        <w:t xml:space="preserve">. New York: Oxford University Press, 1939.</w:t>
      </w:r>
    </w:p>
    <w:p>
      <w:pPr>
        <w:pStyle w:val="Compact"/>
        <w:numPr>
          <w:ilvl w:val="0"/>
          <w:numId w:val="1002"/>
        </w:numPr>
      </w:pPr>
      <w:r>
        <w:t xml:space="preserve">PANOFSKY, Erwin.</w:t>
      </w:r>
      <w:r>
        <w:t xml:space="preserve"> </w:t>
      </w:r>
      <w:r>
        <w:rPr>
          <w:i/>
          <w:iCs/>
        </w:rPr>
        <w:t xml:space="preserve">Meaning in the Visual Arts</w:t>
      </w:r>
      <w:r>
        <w:t xml:space="preserve">. Garden City: Doubleday Anchor Books, 1955.</w:t>
      </w:r>
    </w:p>
    <w:p>
      <w:pPr>
        <w:pStyle w:val="Compact"/>
        <w:numPr>
          <w:ilvl w:val="0"/>
          <w:numId w:val="1002"/>
        </w:numPr>
      </w:pPr>
      <w:r>
        <w:t xml:space="preserve">PATEMAN, Carole.</w:t>
      </w:r>
      <w:r>
        <w:t xml:space="preserve"> </w:t>
      </w:r>
      <w:r>
        <w:rPr>
          <w:i/>
          <w:iCs/>
        </w:rPr>
        <w:t xml:space="preserve">The Sexual Contract</w:t>
      </w:r>
      <w:r>
        <w:t xml:space="preserve">. Cambridge: Polity Press, 1988.</w:t>
      </w:r>
    </w:p>
    <w:p>
      <w:pPr>
        <w:pStyle w:val="Compact"/>
        <w:numPr>
          <w:ilvl w:val="0"/>
          <w:numId w:val="1002"/>
        </w:numPr>
      </w:pPr>
      <w:r>
        <w:t xml:space="preserve">RESNIK, Judith; CURTIS, Dennis.</w:t>
      </w:r>
      <w:r>
        <w:t xml:space="preserve"> </w:t>
      </w:r>
      <w:r>
        <w:rPr>
          <w:i/>
          <w:iCs/>
        </w:rPr>
        <w:t xml:space="preserve">Representing Justice: Invention, Controversy, and Rights in City-States and Democratic Courtrooms</w:t>
      </w:r>
      <w:r>
        <w:t xml:space="preserve">. New Haven: Yale University Press, 2011.</w:t>
      </w:r>
    </w:p>
    <w:p>
      <w:pPr>
        <w:pStyle w:val="Compact"/>
        <w:numPr>
          <w:ilvl w:val="0"/>
          <w:numId w:val="1002"/>
        </w:numPr>
      </w:pPr>
      <w:r>
        <w:t xml:space="preserve">RIPA, Cesare.</w:t>
      </w:r>
      <w:r>
        <w:t xml:space="preserve"> </w:t>
      </w:r>
      <w:r>
        <w:rPr>
          <w:i/>
          <w:iCs/>
        </w:rPr>
        <w:t xml:space="preserve">Iconologia, overo Descrittione dell’Imagini Universali</w:t>
      </w:r>
      <w:r>
        <w:t xml:space="preserve">. Roma: Lepido Facii, 1603.</w:t>
      </w:r>
    </w:p>
    <w:p>
      <w:pPr>
        <w:pStyle w:val="Compact"/>
        <w:numPr>
          <w:ilvl w:val="0"/>
          <w:numId w:val="1002"/>
        </w:numPr>
      </w:pPr>
      <w:r>
        <w:t xml:space="preserve">WARBURG, Aby.</w:t>
      </w:r>
      <w:r>
        <w:t xml:space="preserve"> </w:t>
      </w:r>
      <w:r>
        <w:rPr>
          <w:i/>
          <w:iCs/>
        </w:rPr>
        <w:t xml:space="preserve">The Renewal of Pagan Antiquity: Contributions to the Cultural History of the European Renaissance</w:t>
      </w:r>
      <w:r>
        <w:t xml:space="preserve">. Los Angeles: Getty Research Institute, 1999.</w:t>
      </w:r>
    </w:p>
    <w:p>
      <w:pPr>
        <w:pStyle w:val="Compact"/>
        <w:numPr>
          <w:ilvl w:val="0"/>
          <w:numId w:val="1002"/>
        </w:numPr>
      </w:pPr>
      <w:r>
        <w:t xml:space="preserve">WARNER, Marina.</w:t>
      </w:r>
      <w:r>
        <w:t xml:space="preserve"> </w:t>
      </w:r>
      <w:r>
        <w:rPr>
          <w:i/>
          <w:iCs/>
        </w:rPr>
        <w:t xml:space="preserve">Monuments and Maidens: The Allegory of the Female Form</w:t>
      </w:r>
      <w:r>
        <w:t xml:space="preserve">. London: Weidenfeld and Nicolson, 1985.</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Ana Vitória Vanzin Mendes é doutoranda em Direito pelo Programa de Pós-Graduação em Direito da Universidade Federal de Santa Catarina (PPGD/UFSC), na linha de pesquisa em Direito dos Grupos Vulneráveis, e mestra em Direito pelo PPGD/UFSC (2024). Advogada (OAB/SC 64.343). Currículo Lattes: http://lattes.cnpq.br/9079096818962275. ORCID: [PREENCHER]. E-mail: ana.vanzin@posgrad.ufsc.br. Arno Dal Ri Júnior é Professor do Programa de Pós-Graduação em Direito da Universidade Federal de Santa Catarina (PPGD/UFSC) e orientador da autora.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Vrouwe Justitia não é uma mulher: purificação iconológica e crítica feminista da alegoria jurídica</dc:title>
  <dc:creator/>
  <cp:keywords/>
  <dcterms:created xsi:type="dcterms:W3CDTF">2026-08-31T14:04:41Z</dcterms:created>
  <dcterms:modified xsi:type="dcterms:W3CDTF">2026-08-31T14:04:41Z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PPGD/UFSC — Ius Gentium (UFSC/CNPq)</vt:lpwstr>
  </property>
  <property fmtid="{D5CDD505-2E9C-101B-9397-08002B2CF9AE}" pid="3" name="authors">
    <vt:lpwstr/>
  </property>
  <property fmtid="{D5CDD505-2E9C-101B-9397-08002B2CF9AE}" pid="4" name="date">
    <vt:lpwstr>2026-03-30</vt:lpwstr>
  </property>
  <property fmtid="{D5CDD505-2E9C-101B-9397-08002B2CF9AE}" pid="5" name="date-v1">
    <vt:lpwstr>2026-03-28</vt:lpwstr>
  </property>
  <property fmtid="{D5CDD505-2E9C-101B-9397-08002B2CF9AE}" pid="6" name="status">
    <vt:lpwstr>v4 — peer review incorporado 2026-04-01</vt:lpwstr>
  </property>
  <property fmtid="{D5CDD505-2E9C-101B-9397-08002B2CF9AE}" pid="7" name="tags">
    <vt:lpwstr/>
  </property>
  <property fmtid="{D5CDD505-2E9C-101B-9397-08002B2CF9AE}" pid="8" name="versao">
    <vt:lpwstr>PT-BR, normalizado ABNT</vt:lpwstr>
  </property>
</Properties>
</file>