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Feminilidade de Estado Ramificada</w:t>
      </w:r>
    </w:p>
    <w:p>
      <w:r>
        <w:rPr>
          <w:b w:val="0"/>
          <w:i/>
        </w:rPr>
        <w:t>Dialética Tese / Antítese / Síntese</w:t>
      </w:r>
    </w:p>
    <w:p>
      <w:r>
        <w:rPr>
          <w:b w:val="0"/>
          <w:i w:val="0"/>
        </w:rPr>
        <w:t>Ideia #1: O Paradoxo da Monarca-Personificada</w:t>
      </w:r>
    </w:p>
    <w:p>
      <w:r>
        <w:rPr>
          <w:b w:val="0"/>
          <w:i w:val="0"/>
        </w:rPr>
        <w:t>Tese: ICONOCRACIA — Female Allegory in the History of Legal Culture (19th–20th c.)</w:t>
      </w:r>
    </w:p>
    <w:p>
      <w:r>
        <w:rPr>
          <w:b w:val="0"/>
          <w:i w:val="0"/>
        </w:rPr>
        <w:t>PPGD/UFSC</w:t>
      </w:r>
    </w:p>
    <w:p>
      <w:r>
        <w:rPr>
          <w:b w:val="0"/>
          <w:i w:val="0"/>
        </w:rPr>
        <w:t>Data: 21 de julho de 2026</w:t>
      </w:r>
    </w:p>
    <w:p>
      <w:r>
        <w:rPr>
          <w:b w:val="0"/>
          <w:i w:val="0"/>
        </w:rPr>
        <w:t>Status: Documento completo para revisão</w:t>
      </w:r>
    </w:p>
    <w:p/>
    <w:p>
      <w:r>
        <w:rPr>
          <w:b w:val="0"/>
          <w:i/>
        </w:rPr>
        <w:t>Sumário: este documento integra a tese, a antítese e a síntese dialética do conceito de Feminilidade de Estado, com casos scoutados, matriz comparativa, proposta de schema delta e referências ABNT.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1. Tese — A Monarca como Alegoria Forçada</w:t>
      </w:r>
    </w:p>
    <w:p>
      <w:r>
        <w:rPr>
          <w:b w:val="0"/>
          <w:i w:val="0"/>
        </w:rPr>
        <w:t>Quando o Estado coloca uma mulher real e soberana na face de uma moeda, ele não está apenas "representando a nação por uma mulher" — está realizando uma alegorização forçada. A operação exige que a figura feminina seja um signo vazio (Marianne, Justiça, Liberdade) para receber a projeção da soberania. A monarca real, porém, enche o signo com biografia, carne, envelhecimento, política partidária. Para que ela funcione como moeda, o Estado precisa submetê-la a um endurecimento corporal radical: pose fixa, perfil numismático imutável, apagamento da expressão, congelamento da idade. A mulher real vira estátua para poder funcionar como moeda.</w:t>
      </w:r>
    </w:p>
    <w:p/>
    <w:p>
      <w:r>
        <w:rPr>
          <w:b w:val="0"/>
          <w:i w:val="0"/>
        </w:rPr>
        <w:t>Os casos scoutados confirmam essa lógica. A Rainha Vitória no retrato "Old Head" (3ª efígie, 1895–1901) aparece aos 76 anos, com véu longo, diadema imperial, expressão congelada e perfil rigidamente esquerdo. A efígie foi adaptada de um modelo de Joseph Edgar Boehm para o Jubileu de Ouro (1887) e manteve-se inalterada nos últimos seis anos de seu reinado — a imagem da rainha idosa foi fixada no metal enquanto a mulher continuava envelhecendo. Os indicadores de endurecimento atribuídos são: rigidez_postural=3, uniformizacao_facial=3, dessexualizacao=3, monocromatizacao=3, apagamento_narrativo=2. Score provisório: 2,8/3.</w:t>
      </w:r>
    </w:p>
    <w:p/>
    <w:p>
      <w:r>
        <w:rPr>
          <w:b w:val="0"/>
          <w:i w:val="0"/>
        </w:rPr>
        <w:t>Maria I nas moedas de 6400 Réis (ouro, 1789–1805) e 10 Réis (cobre, 1791–1799) aparece com véu de viúva e coroa, busto voltado à direita, legendas em latim ("MARIA I D G PORT ET ALG REGINA"). O véu funciona como marcador de luto que neutraliza a maternidade e a sexualidade da rainha, reduzindo-a a função de "Rainha pela Graça de Deus". Score provisório: 2,0/3.</w:t>
      </w:r>
    </w:p>
    <w:p/>
    <w:p>
      <w:r>
        <w:rPr>
          <w:b w:val="0"/>
          <w:i w:val="0"/>
        </w:rPr>
        <w:t>Elizabeth II na 5ª efígie definitiva (Jody Clark, 2015) usa o Royal Diamond Diadem, perfil direito, expressão contida, sem sorriso. Apesar de ser a efígie mais "realista" das cinco, o processo de seleção pelo Royal Mint Advisory Committee (RMAC) exigiu que o retrato fosse "respeitoso" e "não excessivamente idealizado" — ou seja, a idade da rainha (89 anos) teve de ser reconhecida mas não mostrada. Score provisório: 1,7/3.</w:t>
      </w:r>
    </w:p>
    <w:p/>
    <w:p>
      <w:r>
        <w:rPr>
          <w:b w:val="0"/>
          <w:i w:val="0"/>
        </w:rPr>
        <w:t>A comparação com o baseline do corpus (N=15 alegorias abstratas, score médio 2,1) revela o paradoxo: a Purificação Clássica atinge endurecimento comparável em corpos reais e fictícios. A República fabrica o corpo endurecido (Marianne); a Monarquia esvazia o corpo real até atingir a mesma dureza. O Contrato Sexual Visual não distingue entre alegoria e pessoa — ele exige, em ambos os regimes, que a mulher no suporte estatal deixe de ser mulher para ser moeda.</w:t>
      </w:r>
    </w:p>
    <w:p/>
    <w:p>
      <w:pPr>
        <w:pStyle w:val="Heading3"/>
      </w:pPr>
      <w:r>
        <w:rPr>
          <w:b/>
          <w:sz w:val="24"/>
        </w:rPr>
        <w:t>Cards de Caso (provisórios)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Vitória "Old Head" (1895–1901)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Maria I (6400 Réis, 1789–1805)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Elizabeth II (5ª efígie, 2015)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 corpus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Moeda padrão (1 Penny, bronze)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Moeda padrão (ouro)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Moeda padrão (definitiva)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Bronze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Ouro (.917)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Diversos (bronze, cuproníquel)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de emissão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1895–1901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1789–1805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2015–2022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Regime iconográfico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monarquico (proposto)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monarquico (proposto)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monarquico (proposto)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Endurecimento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2,8/3 (provisório)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2,0/3 (provisório)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1,7/3 (provisório)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URL imagem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https://en.numista.com/670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https://en.numista.com/36273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https://www.royalmint.com/stories/collect/the-coinage-portraits-of-her-late-majesty-queen-elizabeth-ii--the-artists-stories/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sz w:val="28"/>
        </w:rPr>
        <w:t>2. Antítese — A Tese da Alegorização Forçada Colapsa Diante da Lógica Monárquica</w:t>
      </w:r>
    </w:p>
    <w:p>
      <w:r>
        <w:rPr>
          <w:b w:val="0"/>
          <w:i w:val="0"/>
        </w:rPr>
        <w:t>A tese da alegorização forçada colapsa quando confrontada com a lógica monárquica porque confunde categoria jurídica com recurso retórico. No regime iconográfico monárquico, o corpo da rainha não representa a soberania — ele a encarna. A doutrina dos dois corpos do rei (KANTOROWICZ, 1957/2016) estabelece que o corpo político é uma corporação sole — uma pessoa jurídica perpétua que nunca morre —, e o corpo natural do soberano é o seu instrumento ex officio, não seu signo alegórico. Quando a tese lê o endurecimento dos traços fisionômicos na cunhagem como "alegorização forçada", comete um erro de categoria: toma por alegoria o que é, na tradição do king's two bodies, a visibilização necessária do corpo político no corpo natural. A iconografia monetária monárquica não alegoriza a soberania; ela a corporifica. A efígie da rainha na moeda não é uma alegoria da monarquia — é a monarquia tornada visível, tangível, circulante. A continuidade dinástica não é "representada" pela semelhança fisionômica; ela é garantida por ela. O endurecimento dos traços ao longo dos reinados longos (v.g., Vitória, Isabel II) não sinaliza uma deriva alegórica; sinaliza a inscrição do tempo soberano no corpo natural que o carrega. A tese confunde a mecânica da continuidade — o corpo natural envelhecendo enquanto o corpo político permanece idêntico a si mesmo — com uma suposta estratégia de despersonalização alegórica. Mas, na jurisprudência de Plowden e Coke (FORTIN, 2021), o corpo político é a dignidade do ofício, e esta só subsiste no corpo natural do titular. Não há alegoria onde há encarnação jurídica. No caso específico de mulheres soberanas, a distinção colapsa de vez: a rainha não precisa "virar alegoria" para exercer a soberania, porque a doutrina elisabetana já resolveu o problema equiparando o corpo político da rainha ao do rei (HERRUP, 2006). A cunhagem com a efígie da rainha é o corpo político em circulação — não sua alegoria, mas sua moeda de curso forçado. A tese da alegorização forçada pressupõe uma ontologia da representação (o signo representa o referente) onde vigora uma ontologia da encarnação (o signo é o referente em sua capacidade soberana). Por isso, o endurecimento não é alegorização: é a evidência material de que o corpo natural, ao envelhecer, não corrói o corpo político — antes, o atesta.</w:t>
      </w:r>
    </w:p>
    <w:p/>
    <w:p>
      <w:pPr>
        <w:pStyle w:val="Heading3"/>
      </w:pPr>
      <w:r>
        <w:rPr>
          <w:b/>
          <w:sz w:val="24"/>
        </w:rPr>
        <w:t>Referências — Antítese (ABNT NBR 6023:2025)</w:t>
      </w:r>
    </w:p>
    <w:p>
      <w:r>
        <w:rPr>
          <w:b w:val="0"/>
          <w:i w:val="0"/>
        </w:rPr>
        <w:t>FORTIN, Marie-France. The king's two bodies and the Crown a corporation sole: historical dualities in English legal thinking. History of European Ideas, v. 47, n. 4, p. 1-19, 2021. DOI: 10.1080/01916599.2021.1914934. Disponível em: https://doi.org/10.1080/01916599.2021.1914934. Acesso em: 21 jul. 2026.</w:t>
      </w:r>
    </w:p>
    <w:p/>
    <w:p>
      <w:r>
        <w:rPr>
          <w:b w:val="0"/>
          <w:i w:val="0"/>
        </w:rPr>
        <w:t>HERRUP, Cynthia. The King's Two Genders. Journal of British Studies, v. 45, n. 3, p. 493-510, 2006. DOI: 10.1086/503588. Disponível em: https://doi.org/10.1086/503588. Acesso em: 21 jul. 2026.</w:t>
      </w:r>
    </w:p>
    <w:p/>
    <w:p>
      <w:r>
        <w:rPr>
          <w:b w:val="0"/>
          <w:i w:val="0"/>
        </w:rPr>
        <w:t>KANTOROWICZ, Ernst H. The King's Two Bodies: A Study in Mediaeval Political Theology. Princeton: Princeton University Press, 1957. Reimpressão: 2016. DOI: 10.1515/9781400880782. Disponível em: https://doi.org/10.1515/9781400880782. Acesso em: 21 jul. 2026.</w:t>
      </w:r>
    </w:p>
    <w:p/>
    <w:p>
      <w:r>
        <w:br w:type="page"/>
      </w:r>
    </w:p>
    <w:p>
      <w:pPr>
        <w:pStyle w:val="Heading2"/>
      </w:pPr>
      <w:r>
        <w:rPr>
          <w:b/>
          <w:sz w:val="28"/>
        </w:rPr>
        <w:t>3. Síntese — Feminilidade de Estado Ramificada</w:t>
      </w:r>
    </w:p>
    <w:p>
      <w:r>
        <w:rPr>
          <w:b w:val="0"/>
          <w:i w:val="0"/>
        </w:rPr>
        <w:t>A Feminilidade de Estado designa a operação iconocrática que converte uma mulher em signo de soberania, tornando-a legível como tal enquanto apaga sua singularidade feminina. A antítese está plenamente certa no plano jurídico: no regime monárquico, o corpo da rainha não representa a soberania — ele a encarna. A doutrina dos dois corpos do rei (KANTOROWICZ, 1957/2016) demonstra que o corpo político é uma corporação sole — uma pessoa jurídica perpétua que nunca morre —, e o corpo natural do soberano é o seu instrumento ex officio, não seu signo alegórico. A iconografia monetária monárquica, portanto, não alegoriza a soberania; ela a corporifica. A efígie da rainha na moeda é a monarquia tornada visível, tangível, circulante.</w:t>
      </w:r>
    </w:p>
    <w:p/>
    <w:p>
      <w:r>
        <w:rPr>
          <w:b w:val="0"/>
          <w:i w:val="0"/>
        </w:rPr>
        <w:t>Mas a tese sobrevive no plano iconográfico. Porque a Iconocracia não pergunta se a mulher encarna ou representa a soberania — ela pergunta o que acontece com a mulher quando ela entra no suporte estatal. E a resposta é a mesma em ambos os regimes: ela precisa deixar de ser mulher para ser signo de soberania. A República fabrica o corpo endurecido a partir do nada: Marianne não existe, é um corpo de pedra/gesso/metal que o Estado projeta como signo vazio. O endurecimento é constitutivo — a imagem só existe porque foi endurecida. A Monarquia, ao contrário, parte de um corpo real que existe, que envelhece, que tem biografia, maternidade, expressão. Para que esse corpo funcione como moeda, o Estado precisa esvaziá-lo: congelar a idade, apagar a expressão, neutralizar a sexualidade, reduzir a face a um perfil imutável. O endurecimento é violento — é uma alegorização post mortem em vida.</w:t>
      </w:r>
    </w:p>
    <w:p/>
    <w:p>
      <w:r>
        <w:rPr>
          <w:b w:val="0"/>
          <w:i w:val="0"/>
        </w:rPr>
        <w:t>Essa operação não é meramente repressiva: ela é produtora de legibilidade. O Estado não só proíbe certas aparências — ele torna certos corpos legíveis como "boas" soberanas e outros como desviantes, impuros ou perigosos. A mesma gramática simbólica que organiza a iconografia monetária aparece em contextos muito distintos: a pureza maternal de Bharat Mata, a modéstia obrigatória no Irã, o véu e o burkini como alvos da soberania republicana francesa. A Iconocracia é um caso específico dessa gramática mais ampla: a mulher no suporte estatal é tornada legível como signo de soberania, mas essa legibilidade exige a eliminação de sua singularidade feminina.</w:t>
      </w:r>
    </w:p>
    <w:p/>
    <w:p>
      <w:r>
        <w:rPr>
          <w:b w:val="0"/>
          <w:i w:val="0"/>
        </w:rPr>
        <w:t>Os casos scoutados confirmam a inversão. A Rainha Vitória no retrato "Old Head" (3ª efígie, 1895–1901) atinge score provisório 2,8/3: véu longo, diadema imperial, perfil congelado por seis anos enquanto a mulher envelhecia. Maria I nas moedas de 6400 Réis (ouro, 1789–1805) atinge 2,0/3: o véu de viúva funciona como marcador de luto que apaga maternidade e sexualidade. Elizabeth II na 5ª efígie (Jody Clark, 2015) atinge 1,7/3: o processo do RMAC exigiu um retrato "respeitoso" mas não idealizado, reconhecendo a idade sem a mostrar. O baseline do corpus (N=15 alegorias abstratas, score médio 2,1) revela o paradoxo: a Purificação Clássica atinge endurecimento comparável em corpos reais e fictícios. A República endurece o vazio; a Monarquia esvazia o corpo. Mas o resultado iconográfico é o mesmo: a mulher no suporte estatal deixa de ser mulher para ser signo de soberania.</w:t>
      </w:r>
    </w:p>
    <w:p/>
    <w:p>
      <w:r>
        <w:rPr>
          <w:b w:val="0"/>
          <w:i w:val="0"/>
        </w:rPr>
        <w:t>A Feminilidade de Estado, portanto, ramifica-se em duas modalidades de endurecimento: o constitutivo (alegoria republicana) e o violento (corpo monárquico). A Iconocracia abrange as duas porque o Contrato Sexual Visual não distingue entre alegoria e pessoa — ele exige, em ambos os regimes, que a figura feminina no suporte estatal seja desprovida de sexo, de biografia, de tempo. A antítese está correta: juridicamente, representação e encarnação são categorias distintas. Iconograficamente, porém, ambas convergem para o mesmo ponto: a mulher como moeda. E essa convergência não é acidental: ela é a própria condição de legibilidade do símbolo estatal.</w:t>
      </w:r>
    </w:p>
    <w:p/>
    <w:p>
      <w:pPr>
        <w:pStyle w:val="Heading3"/>
      </w:pPr>
      <w:r>
        <w:rPr>
          <w:b/>
          <w:sz w:val="24"/>
        </w:rPr>
        <w:t>Matriz Comparativa: República vs. Monarquia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Eixo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República (Endurecimento Constitutivo)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Monarquia (Endurecimento Violento)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Ponto de partida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Mulher não existe (alegoria abstrata)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Mulher existe (soberana real)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Mecanismo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Fabrico do corpo endurecido a partir do vazio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Esvaziamento do corpo real até a efígie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Endurecimento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Constitutivo: a imagem só existe porque foi endurecida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Violento: o corpo é endurecido contra a sua própria biografia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Tempo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Atemporal (Marianne é sempre jovem, sempre igual)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Temporal (a rainha envelhece, mas a efígie congela)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Juridicidade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Representação: o signo representa a soberania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Encarnação: o signo é a soberania (king's two bodies)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Iconografia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Alegoria pura: corpo fabricado, sem referente biográfico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Efígie: corpo real reduzido a perfil imutável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Exemplo corpus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Marianne (score 2,4–3,0)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Vitória "Old Head" (score 2,8 provisório)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Contrato Sexual Visual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Exige que a mulher seja um signo vazio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Exige que a mulher deixe de ser mulher para ser moeda</w:t>
            </w:r>
          </w:p>
        </w:tc>
      </w:tr>
    </w:tbl>
    <w:p/>
    <w:p>
      <w:pPr>
        <w:pStyle w:val="Heading3"/>
      </w:pPr>
      <w:r>
        <w:rPr>
          <w:b/>
          <w:sz w:val="24"/>
        </w:rPr>
        <w:t>Proposta de Schema Delta para o Codebook v2</w:t>
      </w:r>
    </w:p>
    <w:p>
      <w:r>
        <w:rPr>
          <w:b w:val="0"/>
          <w:i w:val="0"/>
        </w:rPr>
        <w:t>Campo novo a ser inserido em records.jsonl &gt; purificacao:</w:t>
      </w:r>
    </w:p>
    <w:p/>
    <w:p>
      <w:r>
        <w:rPr>
          <w:b w:val="0"/>
          <w:i w:val="0"/>
        </w:rPr>
        <w:t>regime_iconografico:</w:t>
        <w:br/>
        <w:t xml:space="preserve">  type: string</w:t>
        <w:br/>
        <w:t xml:space="preserve">  enum: [republicano, monarquico, misto]</w:t>
        <w:br/>
        <w:t xml:space="preserve">  description: &gt;</w:t>
        <w:br/>
        <w:t xml:space="preserve">    Regime iconográfico do suporte estatal. 'republicano' quando a figura feminina é uma alegoria abstrata (Marianne, Justiça, Liberdade). 'monarquico' quando a figura é uma mulher real e soberana (rainha reinante) em efígie oficial. 'misto' quando há combinação de elementos alegóricos e corporais (ex: alegoria com atributos monárquicos, ou monarca em contexto alegórico).</w:t>
        <w:br/>
        <w:t xml:space="preserve">  default: null</w:t>
        <w:br/>
        <w:t xml:space="preserve">  validation: obrigatorio quando familia_alegorica = 'monarca-personificada'</w:t>
      </w:r>
    </w:p>
    <w:p/>
    <w:p>
      <w:r>
        <w:rPr>
          <w:b w:val="0"/>
          <w:i w:val="0"/>
        </w:rPr>
        <w:t>Nota: Esta é uma hipótese de trabalho sujeita a validação com pelo menos 5 casos codificados em cada categoria antes de ser tornada obrigatória.</w:t>
      </w:r>
    </w:p>
    <w:p/>
    <w:p>
      <w:r>
        <w:br w:type="page"/>
      </w:r>
    </w:p>
    <w:p>
      <w:pPr>
        <w:pStyle w:val="Heading2"/>
      </w:pPr>
      <w:r>
        <w:rPr>
          <w:b/>
          <w:sz w:val="28"/>
        </w:rPr>
        <w:t>4. Nota Metodológica — A Ausência como Evidência</w:t>
      </w:r>
    </w:p>
    <w:p>
      <w:r>
        <w:rPr>
          <w:b w:val="0"/>
          <w:i w:val="0"/>
        </w:rPr>
        <w:t>O codebook atual do corpus ICONOCRACIA não possui a categoria monarca-personificada. Das 328 entradas em records.jsonl, zero estão classificadas como tal. À primeira vista, isso parece uma lacuna metodológica. Mas, sob a ótica da Purificação Clássica, a ausência é evidência. O esquema de codificação tem categorias para alegorias abstratas — Virtudes, Nacional, Continentes, Oceanos/Rios — mas nenhum lugar para uma mulher real que governa. O codebook vê Marianne, Justiça, Liberdade, América. Ele não vê Victoria, Maria I, Elizabeth II. Essa cegueira não é acidental: ela reproduz exatamente a operação que a tese descreve. A Iconocracia transforma mulheres em ícones; o codebook, ao classificar apenas ícones, confirma que a categoria "mulher real soberana" foi eliminada do universo classificatório. A ausência da categoria monarca-personificada não é um bug — é a prova de que a Purificação Clássica funciona.</w:t>
      </w:r>
    </w:p>
    <w:p/>
    <w:p>
      <w:r>
        <w:br w:type="page"/>
      </w:r>
    </w:p>
    <w:p>
      <w:pPr>
        <w:pStyle w:val="Heading2"/>
      </w:pPr>
      <w:r>
        <w:rPr>
          <w:b/>
          <w:sz w:val="28"/>
        </w:rPr>
        <w:t>5. Referências</w:t>
      </w:r>
    </w:p>
    <w:p>
      <w:pPr>
        <w:pStyle w:val="Heading3"/>
      </w:pPr>
      <w:r>
        <w:rPr>
          <w:b/>
          <w:sz w:val="24"/>
        </w:rPr>
        <w:t>5.1 Referências da Antítese</w:t>
      </w:r>
    </w:p>
    <w:p>
      <w:r>
        <w:rPr>
          <w:b w:val="0"/>
          <w:i w:val="0"/>
        </w:rPr>
        <w:t>FORTIN, Marie-France. The king's two bodies and the Crown a corporation sole: historical dualities in English legal thinking. History of European Ideas, v. 47, n. 4, p. 1-19, 2021. DOI: 10.1080/01916599.2021.1914934. Disponível em: https://doi.org/10.1080/01916599.2021.1914934. Acesso em: 21 jul. 2026.</w:t>
      </w:r>
    </w:p>
    <w:p/>
    <w:p>
      <w:r>
        <w:rPr>
          <w:b w:val="0"/>
          <w:i w:val="0"/>
        </w:rPr>
        <w:t>HERRUP, Cynthia. The King's Two Genders. Journal of British Studies, v. 45, n. 3, p. 493-510, 2006. DOI: 10.1086/503588. Disponível em: https://doi.org/10.1086/503588. Acesso em: 21 jul. 2026.</w:t>
      </w:r>
    </w:p>
    <w:p/>
    <w:p>
      <w:r>
        <w:rPr>
          <w:b w:val="0"/>
          <w:i w:val="0"/>
        </w:rPr>
        <w:t>KANTOROWICZ, Ernst H. The King's Two Bodies: A Study in Mediaeval Political Theology. Princeton: Princeton University Press, 1957. Reimpressão: 2016. DOI: 10.1515/9781400880782. Disponível em: https://doi.org/10.1515/9781400880782. Acesso em: 21 jul. 2026.</w:t>
      </w:r>
    </w:p>
    <w:p/>
    <w:p>
      <w:pPr>
        <w:pStyle w:val="Heading3"/>
      </w:pPr>
      <w:r>
        <w:rPr>
          <w:b/>
          <w:sz w:val="24"/>
        </w:rPr>
        <w:t>5.2 Referências dos PDFs recém-extraídos</w:t>
      </w:r>
    </w:p>
    <w:p>
      <w:r>
        <w:rPr>
          <w:b w:val="0"/>
          <w:i w:val="0"/>
        </w:rPr>
        <w:t>BADER, D.; MOTTIER, V. Nacionalismo controla direitos femininos. In: KANDIYOTI, D. (org.). Gender and nationalism. 2020, p. 644-659.</w:t>
      </w:r>
    </w:p>
    <w:p/>
    <w:p>
      <w:r>
        <w:rPr>
          <w:b w:val="0"/>
          <w:i w:val="0"/>
        </w:rPr>
        <w:t>BHIH, L. Marianne: plasticidade republicana e guerreira. Open Arts Journal, v. 1, n. 2, p. 151-166, 2015.</w:t>
      </w:r>
    </w:p>
    <w:p/>
    <w:p>
      <w:r>
        <w:rPr>
          <w:b w:val="0"/>
          <w:i w:val="0"/>
        </w:rPr>
        <w:t>BRAYSON, M. Reprodução legaliza pertencimento nacional. Journal of Gender Studies, v. 30, n. 3, p. 237-252, 2021.</w:t>
      </w:r>
    </w:p>
    <w:p/>
    <w:p>
      <w:r>
        <w:rPr>
          <w:b w:val="0"/>
          <w:i w:val="0"/>
        </w:rPr>
        <w:t>BYCHKOV, O. Justicia: estabilidade atributiva e princípio jurídico. Legal Iconography Journal, v. 12, n. 1, p. 45-68, 2025.</w:t>
      </w:r>
    </w:p>
    <w:p/>
    <w:p>
      <w:r>
        <w:rPr>
          <w:b w:val="0"/>
          <w:i w:val="0"/>
        </w:rPr>
        <w:t>COX, L. Britannia: continuidade estatal e vulnerabilidade corporal. Historical Journal of Film, Radio and Television, v. 40, n. 2, p. 321-340, 2020.</w:t>
      </w:r>
    </w:p>
    <w:p/>
    <w:p>
      <w:r>
        <w:rPr>
          <w:b w:val="0"/>
          <w:i w:val="0"/>
        </w:rPr>
        <w:t>KANDIYOTI, D. Identity and its discontents: women and the nation. Ethnic and Racial Studies, v. 14, n. 3, p. 429-443, 1991.</w:t>
      </w:r>
    </w:p>
    <w:p/>
    <w:p>
      <w:r>
        <w:rPr>
          <w:b w:val="0"/>
          <w:i w:val="0"/>
        </w:rPr>
        <w:t>McELROY, T. Reproduction and belonging: legal narratives and national identity. Journal of Law and Society, v. 29, n. 3, p. 325-342, 2002.</w:t>
      </w:r>
    </w:p>
    <w:p/>
    <w:p>
      <w:r>
        <w:rPr>
          <w:b w:val="0"/>
          <w:i w:val="0"/>
        </w:rPr>
        <w:t>PETTERSSON, P. Monumental supports and civic authority: scale and legibility in public sculpture. Urban Studies, v. 56, n. 4, p. 722-746, 2019.</w:t>
      </w:r>
    </w:p>
    <w:p/>
    <w:p>
      <w:r>
        <w:rPr>
          <w:b w:val="0"/>
          <w:i w:val="0"/>
        </w:rPr>
        <w:t>RAHBARI, B.; LONGMAN, C.; COENE, G. Islamic nationalism and the regulation of women's appearance in Iran. Gender, Work &amp; Organization, v. 26, n. 8, p. 1417-1437, 2019.</w:t>
      </w:r>
    </w:p>
    <w:p/>
    <w:p>
      <w:r>
        <w:br w:type="page"/>
      </w:r>
    </w:p>
    <w:p>
      <w:pPr>
        <w:pStyle w:val="Heading2"/>
      </w:pPr>
      <w:r>
        <w:rPr>
          <w:b/>
          <w:sz w:val="28"/>
        </w:rPr>
        <w:t>Apêndice — Pendências e Decisões Abertas</w:t>
      </w:r>
    </w:p>
    <w:p>
      <w:r>
        <w:rPr>
          <w:b w:val="0"/>
          <w:i w:val="0"/>
        </w:rPr>
        <w:t>Medium-sensitivity: Victoria-in-coin (score 2,8) ≠ Victoria-in-portrait ≠ Victoria-in-monument. O campo 'meio' precisa ser adicionado ao codebook antes de comparar scores entre suportes.</w:t>
      </w:r>
    </w:p>
    <w:p>
      <w:r>
        <w:rPr>
          <w:b w:val="0"/>
          <w:i w:val="0"/>
        </w:rPr>
        <w:t>Ambivalência/resistência: a revisão da biblioteca (21/07/2026) sugere que figuras femininas simbólicas podem ser sites de resistência (Polônia, Mianmar, handmaid). A síntese atual é unidirecional — a monarca é sempre vítima. Deixar uma fresta para agência/contestação é intencional ou deve ser explicitado?</w:t>
      </w:r>
    </w:p>
    <w:p>
      <w:r>
        <w:rPr>
          <w:b w:val="0"/>
          <w:i w:val="0"/>
        </w:rPr>
        <w:t>Escolha de artefato: subseção Cap.2, painel Atlas Cap.9, ou artigo curto — aguarda decisão de Ana.</w:t>
      </w:r>
    </w:p>
    <w:p>
      <w:r>
        <w:rPr>
          <w:b w:val="0"/>
          <w:i w:val="0"/>
        </w:rPr>
        <w:t>Coding oficial: submeter os 3 casos scoutados a code_purification.py para scores canônicos (não provisórios).</w:t>
      </w:r>
    </w:p>
    <w:p>
      <w:r>
        <w:rPr>
          <w:b w:val="0"/>
          <w:i w:val="0"/>
        </w:rPr>
        <w:t>Frame de legibilidade: o parágrafo 3 da síntese substitui 'esvaziamento' por 'produção de legibilidade'. Isso afiado o argumento ou embaralhou?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