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 olhar divino à cegueira imposta: a metamorfose semântica da venda da Justiça e a nudez política da Liberdade</w:t>
      </w:r>
    </w:p>
    <w:p>
      <w:pPr>
        <w:pStyle w:val="Author"/>
      </w:pPr>
      <w:r>
        <w:t xml:space="preserve">Ana Vanzin</w:t>
      </w:r>
    </w:p>
    <w:p>
      <w:pPr>
        <w:pStyle w:val="Date"/>
      </w:pPr>
      <w:r>
        <w:t xml:space="preserve">2026-07-27</w:t>
      </w:r>
    </w:p>
    <w:bookmarkStart w:id="32" w:name="do-olhar-divino-à-cegueira-imposta"/>
    <w:p>
      <w:pPr>
        <w:pStyle w:val="Heading1"/>
      </w:pPr>
      <w:r>
        <w:t xml:space="preserve">Do olhar divino à cegueira imposta</w:t>
      </w:r>
    </w:p>
    <w:bookmarkStart w:id="9" w:name="Xddf6408e9b6ddc0d12d93b1f9d33f9e122186de"/>
    <w:p>
      <w:pPr>
        <w:pStyle w:val="Heading2"/>
      </w:pPr>
      <w:r>
        <w:t xml:space="preserve">A metamorfose semântica da venda da Justiça e a nudez política da Liberdade</w:t>
      </w:r>
    </w:p>
    <w:p>
      <w:pPr>
        <w:pStyle w:val="BlockText"/>
      </w:pPr>
      <w:r>
        <w:rPr>
          <w:b/>
          <w:bCs/>
        </w:rPr>
        <w:t xml:space="preserve">NOTA EDITORIAL — versão revisada em 2026-07-27.</w:t>
      </w:r>
      <w:r>
        <w:t xml:space="preserve"> </w:t>
      </w:r>
      <w:r>
        <w:t xml:space="preserve">Esta versão preserva a tese central do documento original, substitui referências comerciais ou enciclopédicas por fontes acadêmicas e registros primários verificáveis e converte afirmações excessivamente categóricas em hipóteses interpretativas quando a documentação disponível não autoriza uma conclusão factual. Os blocos</w:t>
      </w:r>
      <w:r>
        <w:t xml:space="preserve"> </w:t>
      </w:r>
      <w:r>
        <w:rPr>
          <w:b/>
          <w:bCs/>
        </w:rPr>
        <w:t xml:space="preserve">CONFIRMAÇÃO DA AUTORA (C1–C6)</w:t>
      </w:r>
      <w:r>
        <w:t xml:space="preserve"> </w:t>
      </w:r>
      <w:r>
        <w:t xml:space="preserve">identificam decisões que dependem de Ana Vanzin.</w:t>
      </w:r>
    </w:p>
    <w:bookmarkEnd w:id="9"/>
    <w:bookmarkStart w:id="10" w:name="Xa5658ae45eebf69172d77716ba13783be86d257"/>
    <w:p>
      <w:pPr>
        <w:pStyle w:val="Heading2"/>
      </w:pPr>
      <w:r>
        <w:t xml:space="preserve">Introdução: a dissonância das alegorias femininas</w:t>
      </w:r>
    </w:p>
    <w:p>
      <w:pPr>
        <w:pStyle w:val="FirstParagraph"/>
      </w:pPr>
      <w:r>
        <w:t xml:space="preserve">A iconografia política ocidental recorreu de modo persistente ao corpo feminino para personificar abstrações como Justiça, Liberdade, República, Nação e Verdade. Essa centralidade simbólica coexistiu com restrições jurídicas e políticas impostas às mulheres concretas. Marina Warner descreve o paradoxo entre a elevação monumental da forma feminina e a redução histórica da agência das mulheres; Joan Landes demonstra que a feminização da representação nacional não equivaleu à inclusão das mulheres na esfera pública; Carole Pateman, em outro registro, expõe a subordinação sexual pressuposta pelas narrativas modernas do contrato político (WARNER, 1985; LANDES, 2001; PATEMAN, 1988).</w:t>
      </w:r>
    </w:p>
    <w:p>
      <w:pPr>
        <w:pStyle w:val="BodyText"/>
      </w:pPr>
      <w:r>
        <w:t xml:space="preserve">Neste repertório, Justiça e Liberdade operam em registros visuais distintos. A Justiça tende a ser apresentada como figura coberta, hierática e associada à balança, à espada e, desde a primeira modernidade, à venda. A Liberdade republicana francesa admite movimento, corpo exposto, barrete frígio e participação no conflito. A oposição não é absoluta: os atributos mudam conforme época, suporte, regime político e função institucional. Ela é, contudo, analiticamente produtiva porque permite perguntar por que a autoridade jurídica neutraliza o corpo que a encarna, enquanto a ruptura revolucionária mobiliza a exposição desse mesmo corpo (AGULHON, 1979; WARNER, 1985; RESNIK; CURTIS, 2011).</w:t>
      </w:r>
    </w:p>
    <w:p>
      <w:pPr>
        <w:pStyle w:val="BodyText"/>
      </w:pPr>
      <w:r>
        <w:t xml:space="preserve">A tese deste ensaio é que roupa, nudez, venda e olhar não são ornamentos intercambiáveis. Eles organizam modos distintos de apresentar o poder. A venda da Justiça passou de sinal satírico de erro ou corrupção a emblema de imparcialidade; a nudez da Liberdade condensa códigos de verdade, natureza, maternidade cívica e insurreição; no Brasil, a apropriação republicana desses repertórios foi filtrada pelo positivismo e por uma política visual de ordem. O corpo feminino alegórico torna-se, assim, território de disputa sobre a natureza do poder, os limites da cidadania e a relação entre presença simbólica e exclusão institucional.</w:t>
      </w:r>
    </w:p>
    <w:p>
      <w:pPr>
        <w:pStyle w:val="BlockText"/>
      </w:pPr>
      <w:r>
        <w:rPr>
          <w:b/>
          <w:bCs/>
        </w:rPr>
        <w:t xml:space="preserve">CONFIRMAÇÃO DA AUTORA — C1 (gênero e destino).</w:t>
      </w:r>
      <w:r>
        <w:t xml:space="preserve"> </w:t>
      </w:r>
      <w:r>
        <w:t xml:space="preserve">O original alternava “relatório”, “consulta” e ensaio interpretativo. Esta revisão assume um</w:t>
      </w:r>
      <w:r>
        <w:t xml:space="preserve"> </w:t>
      </w:r>
      <w:r>
        <w:rPr>
          <w:b/>
          <w:bCs/>
        </w:rPr>
        <w:t xml:space="preserve">ensaio acadêmico de história da cultura jurídica</w:t>
      </w:r>
      <w:r>
        <w:t xml:space="preserve">. Confirmar se o destino é: (a) seção de tese; (b) artigo autônomo; ou (c) texto de divulgação. A escolha afetará resumo, extensão, notas e densidade teórica, mas não a tese central.</w:t>
      </w:r>
    </w:p>
    <w:bookmarkEnd w:id="10"/>
    <w:bookmarkStart w:id="15" w:name="a-arqueologia-do-olhar-da-visão-à-venda"/>
    <w:p>
      <w:pPr>
        <w:pStyle w:val="Heading2"/>
      </w:pPr>
      <w:r>
        <w:t xml:space="preserve">1 A arqueologia do olhar: da visão à venda</w:t>
      </w:r>
    </w:p>
    <w:bookmarkStart w:id="11" w:name="justiça-discernimento-e-olhar"/>
    <w:p>
      <w:pPr>
        <w:pStyle w:val="Heading3"/>
      </w:pPr>
      <w:r>
        <w:t xml:space="preserve">1.1 Justiça, discernimento e olhar</w:t>
      </w:r>
    </w:p>
    <w:p>
      <w:pPr>
        <w:pStyle w:val="FirstParagraph"/>
      </w:pPr>
      <w:r>
        <w:t xml:space="preserve">As genealogias de</w:t>
      </w:r>
      <w:r>
        <w:t xml:space="preserve"> </w:t>
      </w:r>
      <w:r>
        <w:rPr>
          <w:i/>
          <w:iCs/>
        </w:rPr>
        <w:t xml:space="preserve">Themis</w:t>
      </w:r>
      <w:r>
        <w:t xml:space="preserve">,</w:t>
      </w:r>
      <w:r>
        <w:t xml:space="preserve"> </w:t>
      </w:r>
      <w:r>
        <w:rPr>
          <w:i/>
          <w:iCs/>
        </w:rPr>
        <w:t xml:space="preserve">Dike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Iustitia</w:t>
      </w:r>
      <w:r>
        <w:t xml:space="preserve"> </w:t>
      </w:r>
      <w:r>
        <w:t xml:space="preserve">não formam uma linha evolutiva simples. São tradições antigas que foram aproximadas, traduzidas e reorganizadas por repertórios medievais e modernos. O ponto relevante para este argumento é mais restrito: nas representações antigas e medievais discutidas pela iconologia jurídica, a venda não constitui atributo originário ou necessário da Justiça. A figura vê, pesa e decide. Resnik e Curtis mostram que os atributos da Justiça foram historicamente variáveis; Hayaert reconstrói a polissemia da venda e adverte contra a leitura retrospectiva que projeta a imparcialidade moderna sobre todas as imagens anteriores (HAYAERT, 2018; RESNIK; CURTIS, 2011).</w:t>
      </w:r>
    </w:p>
    <w:p>
      <w:pPr>
        <w:pStyle w:val="BodyText"/>
      </w:pPr>
      <w:r>
        <w:t xml:space="preserve">Também convém distinguir Justiça e Fortuna. A cegueira foi associada, em diferentes tradições, ao acaso, à ignorância, ao desejo ou à instabilidade. A incorporação da venda ao corpo de</w:t>
      </w:r>
      <w:r>
        <w:t xml:space="preserve"> </w:t>
      </w:r>
      <w:r>
        <w:rPr>
          <w:i/>
          <w:iCs/>
        </w:rPr>
        <w:t xml:space="preserve">Iustitia</w:t>
      </w:r>
      <w:r>
        <w:t xml:space="preserve"> </w:t>
      </w:r>
      <w:r>
        <w:t xml:space="preserve">não foi, portanto, uma simples continuidade clássica. Ela exigiu uma transformação do sentido da privação visual: o que podia significar deficiência, engano ou contingência passou a significar recusa de privilégios e tratamento impessoal (HAYAERT, 2018; HAYAERT, 2023).</w:t>
      </w:r>
    </w:p>
    <w:bookmarkEnd w:id="11"/>
    <w:bookmarkStart w:id="12" w:name="a-venda-como-sátira-em-das-narrenschiff"/>
    <w:p>
      <w:pPr>
        <w:pStyle w:val="Heading3"/>
      </w:pPr>
      <w:r>
        <w:t xml:space="preserve">1.2 A venda como sátira em</w:t>
      </w:r>
      <w:r>
        <w:t xml:space="preserve"> </w:t>
      </w:r>
      <w:r>
        <w:rPr>
          <w:i/>
          <w:iCs/>
        </w:rPr>
        <w:t xml:space="preserve">Das Narrenschiff</w:t>
      </w:r>
    </w:p>
    <w:p>
      <w:pPr>
        <w:pStyle w:val="FirstParagraph"/>
      </w:pPr>
      <w:r>
        <w:t xml:space="preserve">Um marco decisivo dessa história é a xilogravura publicada em</w:t>
      </w:r>
      <w:r>
        <w:t xml:space="preserve"> </w:t>
      </w:r>
      <w:r>
        <w:rPr>
          <w:i/>
          <w:iCs/>
        </w:rPr>
        <w:t xml:space="preserve">Das Narrenschiff</w:t>
      </w:r>
      <w:r>
        <w:t xml:space="preserve"> </w:t>
      </w:r>
      <w:r>
        <w:t xml:space="preserve">(</w:t>
      </w:r>
      <w:r>
        <w:rPr>
          <w:i/>
          <w:iCs/>
        </w:rPr>
        <w:t xml:space="preserve">A nau dos insensatos</w:t>
      </w:r>
      <w:r>
        <w:t xml:space="preserve">), de Sebastian Brant, impresso em Basileia em 1494. Nela, um tolo venda a figura identificável como Justiça pela balança. A cena não celebra neutralidade: dramatiza a obstrução do julgamento. A venda é aplicada por um agente e torna visível a ação da loucura ou da corrupção sobre a Justiça (BRANT, 1913; HAYAERT, 2018; RESNIK; CURTIS, 2011).</w:t>
      </w:r>
    </w:p>
    <w:p>
      <w:pPr>
        <w:pStyle w:val="BodyText"/>
      </w:pPr>
      <w:r>
        <w:t xml:space="preserve">Essa diferença gramatical é central: a Justiça não aparece apenas “vendada”; ela</w:t>
      </w:r>
      <w:r>
        <w:t xml:space="preserve"> </w:t>
      </w:r>
      <w:r>
        <w:rPr>
          <w:b/>
          <w:bCs/>
        </w:rPr>
        <w:t xml:space="preserve">é vendada</w:t>
      </w:r>
      <w:r>
        <w:t xml:space="preserve">. O gesto preserva o agente da privação e torna a cegueira um acontecimento. Em imagens posteriores, quando a venda se estabiliza como atributo, o agente desaparece. A violência deixa de ser narrada e passa a integrar o corpo alegórico como se fosse sua propriedade natural. A “cegueira imposta” transforma-se em “cegueira escolhida” ou em garantia institucional.</w:t>
      </w:r>
    </w:p>
    <w:p>
      <w:pPr>
        <w:pStyle w:val="BodyText"/>
      </w:pPr>
      <w:r>
        <w:t xml:space="preserve">A atribuição de parte das xilogravuras de</w:t>
      </w:r>
      <w:r>
        <w:t xml:space="preserve"> </w:t>
      </w:r>
      <w:r>
        <w:rPr>
          <w:i/>
          <w:iCs/>
        </w:rPr>
        <w:t xml:space="preserve">Das Narrenschiff</w:t>
      </w:r>
      <w:r>
        <w:t xml:space="preserve"> </w:t>
      </w:r>
      <w:r>
        <w:t xml:space="preserve">a um jovem Albrecht Dürer permanece discutida. Por isso, a formulação segura é “xilogravura da edição de 1494, tradicionalmente associada ao círculo do jovem Dürer”, e não “obra de Dürer”.</w:t>
      </w:r>
    </w:p>
    <w:bookmarkEnd w:id="12"/>
    <w:bookmarkStart w:id="13" w:name="da-ambivalência-à-imparcialidade"/>
    <w:p>
      <w:pPr>
        <w:pStyle w:val="Heading3"/>
      </w:pPr>
      <w:r>
        <w:t xml:space="preserve">1.3 Da ambivalência à imparcialidade</w:t>
      </w:r>
    </w:p>
    <w:p>
      <w:pPr>
        <w:pStyle w:val="FirstParagraph"/>
      </w:pPr>
      <w:r>
        <w:t xml:space="preserve">Não há base para fixar uma única data em que a venda deixou de ser negativa e se tornou positiva. A mudança foi gradual, descontínua e ambivalente. Representações dos séculos XVI e XVII já exploravam sentidos de interioridade, prudência e recusa das aparências, ao mesmo tempo que a cegueira continuava disponível como acusação de erro. Hayaert insiste precisamente nessa polissemia: a venda pode simultaneamente ocultar, proteger, interiorizar e deslegitimar o olhar (HAYAERT, 2018; HAYAERT, 2023).</w:t>
      </w:r>
    </w:p>
    <w:p>
      <w:pPr>
        <w:pStyle w:val="BodyText"/>
      </w:pPr>
      <w:r>
        <w:t xml:space="preserve">Nos repertórios jurídicos modernos, consolidou-se a leitura segundo a qual a Justiça não deve reconhecer riqueza, linhagem, aparência ou proximidade pessoal. A metáfora passa de “não ver a verdade” a “não ver o status”. A balança figura ponderação; a espada, a capacidade de executar a decisão; a venda, a suspensão de distinções consideradas juridicamente irrelevantes (RESNIK; CURTIS, 2011).</w:t>
      </w:r>
    </w:p>
    <w:p>
      <w:pPr>
        <w:pStyle w:val="BodyText"/>
      </w:pPr>
      <w:r>
        <w:t xml:space="preserve">É possível aproximar essa imagem do “véu de ignorância” de John Rawls, mas apenas como analogia retrospectiva, não como relação histórica de influência. Em Rawls, o véu é um experimento intelectual que impede as partes de conhecer suas posições sociais ao escolher princípios de justiça. A venda iconográfica antecede esse argumento em séculos e possui uma história própria (RAWLS, 1971).</w:t>
      </w:r>
    </w:p>
    <w:p>
      <w:pPr>
        <w:pStyle w:val="BodyText"/>
      </w:pPr>
      <w:r>
        <w:t xml:space="preserve">No século XIX, a Justiça vendada tornou-se amplamente reconhecível em tribunais, monumentos e impressos, embora nunca tenha eliminado as figuras de olhos abertos. A história correta é, portanto, a de uma convenção progressivamente dominante, e não a de uma substituição total.</w:t>
      </w:r>
    </w:p>
    <w:bookmarkEnd w:id="13"/>
    <w:bookmarkStart w:id="14" w:name="o-retorno-contemporâneo-do-olhar"/>
    <w:p>
      <w:pPr>
        <w:pStyle w:val="Heading3"/>
      </w:pPr>
      <w:r>
        <w:t xml:space="preserve">1.4 O retorno contemporâneo do olhar</w:t>
      </w:r>
    </w:p>
    <w:p>
      <w:pPr>
        <w:pStyle w:val="FirstParagraph"/>
      </w:pPr>
      <w:r>
        <w:t xml:space="preserve">Em 2024, uma nova estátua instalada na biblioteca dos juízes da Suprema Corte da Índia apresentou a Justiça com olhos abertos e com a Constituição no lugar da espada. Fontes contemporâneas atribuíram a encomenda ao então presidente da Corte, D. Y. Chandrachud, e difundiram a mensagem de que a lei “não é cega”, pois vê a todos igualmente (NDTV, 2024, tradução nossa).</w:t>
      </w:r>
    </w:p>
    <w:p>
      <w:pPr>
        <w:pStyle w:val="BodyText"/>
      </w:pPr>
      <w:r>
        <w:t xml:space="preserve">O episódio permite observar a abertura atual da convenção, mas não autoriza concluir, sozinho, que existe uma tendência mundial de abandono da venda. A peça indiana é um caso institucional específico. Sua leitura como crítica à neutralidade liberal e às desigualdades estruturais é uma interpretação plausível deste ensaio, não uma justificativa oficial demonstrada pela fonte disponível.</w:t>
      </w:r>
    </w:p>
    <w:p>
      <w:pPr>
        <w:pStyle w:val="BlockText"/>
      </w:pPr>
      <w:r>
        <w:rPr>
          <w:b/>
          <w:bCs/>
        </w:rPr>
        <w:t xml:space="preserve">CONFIRMAÇÃO DA AUTORA — C2 (caso indiano).</w:t>
      </w:r>
      <w:r>
        <w:t xml:space="preserve"> </w:t>
      </w:r>
      <w:r>
        <w:t xml:space="preserve">A notícia é verificável, mas não foi localizada nota oficial da Suprema Corte da Índia. Confirmar se o exemplo contemporâneo deve permanecer com essa ressalva ou ser retirado até aparecer fonte institucional primária.</w:t>
      </w:r>
    </w:p>
    <w:bookmarkEnd w:id="14"/>
    <w:bookmarkEnd w:id="15"/>
    <w:bookmarkStart w:id="18" w:name="a-toga-e-a-neutralização-do-corpo"/>
    <w:p>
      <w:pPr>
        <w:pStyle w:val="Heading2"/>
      </w:pPr>
      <w:r>
        <w:t xml:space="preserve">2 A toga e a neutralização do corpo</w:t>
      </w:r>
    </w:p>
    <w:bookmarkStart w:id="16" w:name="vestimenta-gênero-e-autoridade"/>
    <w:p>
      <w:pPr>
        <w:pStyle w:val="Heading3"/>
      </w:pPr>
      <w:r>
        <w:t xml:space="preserve">2.1 Vestimenta, gênero e autoridade</w:t>
      </w:r>
    </w:p>
    <w:p>
      <w:pPr>
        <w:pStyle w:val="FirstParagraph"/>
      </w:pPr>
      <w:r>
        <w:t xml:space="preserve">A roupagem de</w:t>
      </w:r>
      <w:r>
        <w:t xml:space="preserve"> </w:t>
      </w:r>
      <w:r>
        <w:rPr>
          <w:i/>
          <w:iCs/>
        </w:rPr>
        <w:t xml:space="preserve">Iustitia</w:t>
      </w:r>
      <w:r>
        <w:t xml:space="preserve"> </w:t>
      </w:r>
      <w:r>
        <w:t xml:space="preserve">participa da construção de autoridade. Túnicas, mantos e drapeados clássicos retiram a figura do vestuário cotidiano e a situam num tempo cívico idealizado. Não é rigoroso identificar toda vestimenta alegórica como “toga romana”: na Roma antiga, a toga possuía usos cívicos e masculinos específicos, enquanto o vestuário feminino seguia outras convenções. A alegoria moderna combina livremente repertórios greco-romanos e não reproduz um uniforme histórico único (SEBESTA; BONFANTE, 1994).</w:t>
      </w:r>
    </w:p>
    <w:p>
      <w:pPr>
        <w:pStyle w:val="BodyText"/>
      </w:pPr>
      <w:r>
        <w:t xml:space="preserve">Essa correção fortalece, em vez de enfraquecer, a tese. O drapeado clássico não registra uma mulher romana concreta; ele fabrica um corpo institucional abstrato. Ao cobrir curvas, pernas e seios, a vestimenta desloca a leitura da sexualidade para a dignidade, a permanência e o cargo. A figura feminina torna-se compatível com uma autoridade que, durante longos períodos, foi exercida predominantemente por homens.</w:t>
      </w:r>
    </w:p>
    <w:p>
      <w:pPr>
        <w:pStyle w:val="BodyText"/>
      </w:pPr>
      <w:r>
        <w:t xml:space="preserve">O argumento não deve ser formulado como intenção comprovada de cada artista (“a toga foi escolhida para apagar a mulher”), salvo quando houver documentação de encomenda. Em termos metodológicos, trata-se de um efeito recorrente do repertório: a cobertura, a rigidez e a frontalidade diminuem a individualização do corpo e aumentam sua legibilidade institucional.</w:t>
      </w:r>
    </w:p>
    <w:bookmarkEnd w:id="16"/>
    <w:bookmarkStart w:id="17" w:name="a-mulher-alegórica-e-a-mulher-histórica"/>
    <w:p>
      <w:pPr>
        <w:pStyle w:val="Heading3"/>
      </w:pPr>
      <w:r>
        <w:t xml:space="preserve">2.2 A mulher alegórica e a mulher histórica</w:t>
      </w:r>
    </w:p>
    <w:p>
      <w:pPr>
        <w:pStyle w:val="FirstParagraph"/>
      </w:pPr>
      <w:r>
        <w:t xml:space="preserve">Warner oferece a chave mais consistente para a contradição entre presença simbólica e ausência política. A forma feminina pode encarnar abstrações porque não precisa corresponder a uma mulher histórica particular. O corpo alegórico recebe conteúdos como Justiça, Liberdade ou Pátria sem adquirir, por isso, agência própria. Landes mostra como esse mecanismo participou da imaginação política revolucionária francesa ao mesmo tempo que a cidadania das mulheres foi restringida (WARNER, 1985; LANDES, 2001).</w:t>
      </w:r>
    </w:p>
    <w:p>
      <w:pPr>
        <w:pStyle w:val="BodyText"/>
      </w:pPr>
      <w:r>
        <w:t xml:space="preserve">O documento original chamou esse processo de “vaso vazio”. A expressão é útil se for apresentada como síntese interpretativa, não como citação literal atribuída a Warner. A formulação mais precisa é:</w:t>
      </w:r>
      <w:r>
        <w:t xml:space="preserve"> </w:t>
      </w:r>
      <w:r>
        <w:rPr>
          <w:b/>
          <w:bCs/>
        </w:rPr>
        <w:t xml:space="preserve">a alegoria esvazia a particularidade biográfica para tornar o corpo feminino disponível à abstração política</w:t>
      </w:r>
      <w:r>
        <w:t xml:space="preserve">. A figura representa a mulher e, simultaneamente, impede que se pergunte qual mulher, em qual condição jurídica e com qual poder.</w:t>
      </w:r>
    </w:p>
    <w:p>
      <w:pPr>
        <w:pStyle w:val="BodyText"/>
      </w:pPr>
      <w:r>
        <w:t xml:space="preserve">A maternidade cívica integra essa operação. A figura pode aparecer como protetora, nutriz ou mãe da comunidade sem remeter a uma experiência materna concreta. Maternidade, virgindade e autoridade não são categorias excludentes no repertório alegórico; são posições que podem ser combinadas para produzir uma feminilidade politicamente segura (WARNER, 1985).</w:t>
      </w:r>
    </w:p>
    <w:bookmarkEnd w:id="17"/>
    <w:bookmarkEnd w:id="18"/>
    <w:bookmarkStart w:id="22" w:name="Xaaa9599258b02f260d87dfe0433fe537f30a077"/>
    <w:p>
      <w:pPr>
        <w:pStyle w:val="Heading2"/>
      </w:pPr>
      <w:r>
        <w:t xml:space="preserve">3 A nudez da Liberdade: verdade, natureza e revolução</w:t>
      </w:r>
    </w:p>
    <w:bookmarkStart w:id="19" w:name="la-liberté-guidant-le-peuple"/>
    <w:p>
      <w:pPr>
        <w:pStyle w:val="Heading3"/>
      </w:pPr>
      <w:r>
        <w:t xml:space="preserve">3.1</w:t>
      </w:r>
      <w:r>
        <w:t xml:space="preserve"> </w:t>
      </w:r>
      <w:r>
        <w:rPr>
          <w:i/>
          <w:iCs/>
        </w:rPr>
        <w:t xml:space="preserve">La Liberté guidant le peuple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i/>
          <w:iCs/>
        </w:rPr>
        <w:t xml:space="preserve">Le 28 juillet 1830. La Liberté guidant le peuple</w:t>
      </w:r>
      <w:r>
        <w:t xml:space="preserve">, apresentada no Salão de 1831, Eugène Delacroix construiu uma figura que atravessa a fronteira entre mulher do povo e personificação política. Ela avança sobre a barricada, porta a bandeira tricolor e exibe os seios. O registro do Louvre confirma título, autoria, data e trajetória institucional da obra (MUSÉE DU LOUVRE, 1830).</w:t>
      </w:r>
    </w:p>
    <w:p>
      <w:pPr>
        <w:pStyle w:val="BodyText"/>
      </w:pPr>
      <w:r>
        <w:t xml:space="preserve">A nudez não possui um significado único. Ela participa da tradição da verdade nua (</w:t>
      </w:r>
      <w:r>
        <w:rPr>
          <w:i/>
          <w:iCs/>
        </w:rPr>
        <w:t xml:space="preserve">nuda veritas</w:t>
      </w:r>
      <w:r>
        <w:t xml:space="preserve">), do corpo clássico não submetido ao vestuário cotidiano, da maternidade que nutre e da ruptura material produzida pelo combate. Também introduz ambivalência: a figura é ativa e armada, mas seu corpo permanece disponível ao olhar. Reduzir os seios expostos a “nutrição, não erotismo” troca uma simplificação por outra. A força política da obra reside justamente na coexistência de códigos maternos, clássicos, populares, eróticos e insurgentes (AGULHON, 1979; WARNER, 1985; LANDES, 2001).</w:t>
      </w:r>
    </w:p>
    <w:bookmarkEnd w:id="19"/>
    <w:bookmarkStart w:id="20" w:name="Xe481155b4f467eb4d5050aa5bd405cafdfe4049"/>
    <w:p>
      <w:pPr>
        <w:pStyle w:val="Heading3"/>
      </w:pPr>
      <w:r>
        <w:t xml:space="preserve">3.2 Marianne em combate e Marianne instituída</w:t>
      </w:r>
    </w:p>
    <w:p>
      <w:pPr>
        <w:pStyle w:val="FirstParagraph"/>
      </w:pPr>
      <w:r>
        <w:t xml:space="preserve">Maurice Agulhon reconstruiu historicamente as variações da personificação republicana francesa. Em vez de duas essências fixas, há um campo de possibilidades: uma Marianne combativa, marcada por movimento, barrete frígio e exposição corporal; e formas institucionais mais serenas, cobertas e estabilizadas. À medida que a República busca duração, a energia insurrecional pode ser convertida em emblema de governo (AGULHON, 1979).</w:t>
      </w:r>
    </w:p>
    <w:p>
      <w:pPr>
        <w:pStyle w:val="BodyText"/>
      </w:pPr>
      <w:r>
        <w:t xml:space="preserve">A oposição entre “Marianne combattante” e “Marianne sage” deve ser usada como tipologia analítica, não como classificação rígida de todas as imagens. Suportes populares, bustos oficiais, moedas, selos, pinturas históricas e caricaturas obedecem a exigências diferentes. A nudez é mais compatível com a memória da fundação e com a ação; a cobertura, com a administração e a permanência. Há, porém, exceções em ambas as direções.</w:t>
      </w:r>
    </w:p>
    <w:bookmarkEnd w:id="20"/>
    <w:bookmarkStart w:id="21" w:name="X18e31d5d55618589e8cc80ef77b8107c8baa12e"/>
    <w:p>
      <w:pPr>
        <w:pStyle w:val="Heading3"/>
      </w:pPr>
      <w:r>
        <w:t xml:space="preserve">3.3 Marianne, laicidade e o corpo das mulheres</w:t>
      </w:r>
    </w:p>
    <w:p>
      <w:pPr>
        <w:pStyle w:val="FirstParagraph"/>
      </w:pPr>
      <w:r>
        <w:t xml:space="preserve">Em 2016, durante a controvérsia francesa sobre o</w:t>
      </w:r>
      <w:r>
        <w:t xml:space="preserve"> </w:t>
      </w:r>
      <w:r>
        <w:rPr>
          <w:i/>
          <w:iCs/>
        </w:rPr>
        <w:t xml:space="preserve">burkini</w:t>
      </w:r>
      <w:r>
        <w:t xml:space="preserve">, o então primeiro-ministro Manuel Valls invocou os seios nus de Marianne como sinal de liberdade e de ausência de véu. O episódio foi registrado pela imprensa contemporânea e criticado por historiadoras, entre elas Mathilde Larrère, que lembrou o caráter convencional e alegórico da nudez de Marianne (CHRISAFIS, 2016).</w:t>
      </w:r>
    </w:p>
    <w:p>
      <w:pPr>
        <w:pStyle w:val="BodyText"/>
      </w:pPr>
      <w:r>
        <w:t xml:space="preserve">O episódio revela uma inversão. Um código visual que, no século XIX, podia inquietar a respeitabilidade burguesa foi mobilizado como padrão nacional para avaliar a roupa de mulheres muçulmanas. A crítica não exige afirmar que toda nudez alegórica é emancipatória ou que toda cobertura é opressiva. Exige distinguir o corpo mítico autorizado pelo Estado dos corpos reais sujeitos a disciplina jurídica e social. A literatura de Joan Wallach Scott sobre o véu francês ajuda a situar essa disputa na interseção entre secularismo, gênero, sexualidade e identidade nacional (SCOTT, 2007).</w:t>
      </w:r>
    </w:p>
    <w:p>
      <w:pPr>
        <w:pStyle w:val="BlockText"/>
      </w:pPr>
      <w:r>
        <w:rPr>
          <w:b/>
          <w:bCs/>
        </w:rPr>
        <w:t xml:space="preserve">CONFIRMAÇÃO DA AUTORA — C3 (tom crítico).</w:t>
      </w:r>
      <w:r>
        <w:t xml:space="preserve"> </w:t>
      </w:r>
      <w:r>
        <w:t xml:space="preserve">A redação original afirmava que Valls usou “o corpo mítico da mulher para oprimir o corpo real”. A revisão mantém o núcleo crítico, mas troca a imputação direta de intenção por análise do efeito político do discurso. Confirmar se esse é o grau de contundência desejado.</w:t>
      </w:r>
    </w:p>
    <w:bookmarkEnd w:id="21"/>
    <w:bookmarkEnd w:id="22"/>
    <w:bookmarkStart w:id="28" w:name="X7d2c3e5dde44f1b40cf9d1484f801a1d201cda4"/>
    <w:p>
      <w:pPr>
        <w:pStyle w:val="Heading2"/>
      </w:pPr>
      <w:r>
        <w:t xml:space="preserve">4 A República brasileira entre Marianne e Clotilde</w:t>
      </w:r>
    </w:p>
    <w:bookmarkStart w:id="23" w:name="o-filtro-positivista"/>
    <w:p>
      <w:pPr>
        <w:pStyle w:val="Heading3"/>
      </w:pPr>
      <w:r>
        <w:t xml:space="preserve">4.1 O filtro positivista</w:t>
      </w:r>
    </w:p>
    <w:p>
      <w:pPr>
        <w:pStyle w:val="FirstParagraph"/>
      </w:pPr>
      <w:r>
        <w:t xml:space="preserve">A República brasileira foi proclamada por uma articulação militar e civil sem mobilização popular comparável às revoluções francesas evocadas pelo repertório de Marianne. Diferentes grupos disputaram os símbolos, os rituais e a narrativa do novo regime. Entre eles, os positivistas tiveram influência relevante sobre a bandeira e sobre parte da iconografia republicana, mas não monopolizaram a produção de imagens (CARVALHO, 1990; CASTRO, 2000).</w:t>
      </w:r>
    </w:p>
    <w:p>
      <w:pPr>
        <w:pStyle w:val="BodyText"/>
      </w:pPr>
      <w:r>
        <w:t xml:space="preserve">José Murilo de Carvalho demonstra que a tentativa de criar um imaginário republicano encontrou dificuldades de comunicação com a população. A figura feminina da República foi uma das alternativas mobilizadas nessa disputa. Nas obras ligadas ao Apostolado Positivista e a artistas como Décio Villares, a referência a Clotilde de Vaux contribuiu para uma personificação casta, moral e ordenadora. O estudo de Nascimento e Batista compara imagens francesas e brasileiras produzidas entre 1889 e 1896 e confirma a pertinência de analisar o gênero da propaganda republicana (CARVALHO, 1990; NASCIMENTO; BATISTA, 2022).</w:t>
      </w:r>
    </w:p>
    <w:p>
      <w:pPr>
        <w:pStyle w:val="BodyText"/>
      </w:pPr>
      <w:r>
        <w:t xml:space="preserve">É excessivo afirmar que “a República brasileira nasceu sob o signo de Clotilde” ou que “rejeitou a nudez jacobina” como se houvesse um programa estatal único e documentado. A formulação sustentável é mais precisa:</w:t>
      </w:r>
      <w:r>
        <w:t xml:space="preserve"> </w:t>
      </w:r>
      <w:r>
        <w:rPr>
          <w:b/>
          <w:bCs/>
        </w:rPr>
        <w:t xml:space="preserve">uma vertente influente da iconografia republicana brasileira traduziu o repertório feminino francês por meio de valores positivistas de ordem, moralidade e domesticidade</w:t>
      </w:r>
      <w:r>
        <w:t xml:space="preserve">.</w:t>
      </w:r>
    </w:p>
    <w:bookmarkEnd w:id="23"/>
    <w:bookmarkStart w:id="24" w:name="décio-villares-e-manoel-lopes-rodrigues"/>
    <w:p>
      <w:pPr>
        <w:pStyle w:val="Heading3"/>
      </w:pPr>
      <w:r>
        <w:t xml:space="preserve">4.2 Décio Villares e Manoel Lopes Rodrigues</w:t>
      </w:r>
    </w:p>
    <w:p>
      <w:pPr>
        <w:pStyle w:val="FirstParagraph"/>
      </w:pPr>
      <w:r>
        <w:t xml:space="preserve">Décio Villares aderiu ao positivismo e participou da concepção da bandeira republicana. O Museu Histórico Nacional registra sua atuação artística e conserva seu estudo</w:t>
      </w:r>
      <w:r>
        <w:t xml:space="preserve"> </w:t>
      </w:r>
      <w:r>
        <w:rPr>
          <w:i/>
          <w:iCs/>
        </w:rPr>
        <w:t xml:space="preserve">Alegoria à Lei de 13 de Maio de 1888</w:t>
      </w:r>
      <w:r>
        <w:t xml:space="preserve">, obra em que a figura feminina parcialmente nua se vincula à abolição, e não à imagem administrativa cotidiana do Estado (MUSEU HISTÓRICO NACIONAL, 2018).</w:t>
      </w:r>
    </w:p>
    <w:p>
      <w:pPr>
        <w:pStyle w:val="BodyText"/>
      </w:pPr>
      <w:r>
        <w:rPr>
          <w:i/>
          <w:iCs/>
        </w:rPr>
        <w:t xml:space="preserve">Alegoria da República</w:t>
      </w:r>
      <w:r>
        <w:t xml:space="preserve"> </w:t>
      </w:r>
      <w:r>
        <w:t xml:space="preserve">(1896), de Manoel Lopes Rodrigues, oferece outro caso importante. A figura é frontal, coberta e monumentalizada, distante do movimento de Delacroix. O estudo de Rafael Alves Pinto Junior examina a passagem da controvérsia política imediata à incorporação da pintura ao panteão republicano; Nascimento e Batista a inserem numa comparação explícita com modelos franceses (PINTO JUNIOR, 2010; NASCIMENTO; BATISTA, 2022).</w:t>
      </w:r>
    </w:p>
    <w:p>
      <w:pPr>
        <w:pStyle w:val="BodyText"/>
      </w:pPr>
      <w:r>
        <w:t xml:space="preserve">Esses casos sustentam a hipótese de uma “Marianne vestida” se essa expressão for entendida como instrumento comparativo, não como nome histórico usado pelos agentes. “Domesticação”, “castração” e “censura sistemática” são metáforas fortes. Sem documentos de encomenda que demonstrem intenção, devem ser apresentadas como leitura iconológica da autora.</w:t>
      </w:r>
    </w:p>
    <w:p>
      <w:pPr>
        <w:pStyle w:val="BlockText"/>
      </w:pPr>
      <w:r>
        <w:rPr>
          <w:b/>
          <w:bCs/>
        </w:rPr>
        <w:t xml:space="preserve">CONFIRMAÇÃO DA AUTORA — C4 (hipótese central brasileira).</w:t>
      </w:r>
      <w:r>
        <w:t xml:space="preserve"> </w:t>
      </w:r>
      <w:r>
        <w:t xml:space="preserve">Confirmar se “Marianne vestida” será mantida como</w:t>
      </w:r>
      <w:r>
        <w:t xml:space="preserve"> </w:t>
      </w:r>
      <w:r>
        <w:rPr>
          <w:b/>
          <w:bCs/>
        </w:rPr>
        <w:t xml:space="preserve">conceito autoral do ensaio</w:t>
      </w:r>
      <w:r>
        <w:t xml:space="preserve">. Se sim, recomenda-se conectá-lo explicitamente à</w:t>
      </w:r>
      <w:r>
        <w:t xml:space="preserve"> </w:t>
      </w:r>
      <w:r>
        <w:rPr>
          <w:i/>
          <w:iCs/>
        </w:rPr>
        <w:t xml:space="preserve">Feminilidade de Estado</w:t>
      </w:r>
      <w:r>
        <w:t xml:space="preserve"> </w:t>
      </w:r>
      <w:r>
        <w:t xml:space="preserve">e testá-lo no corpus, comparando suportes oficiais e satíricos. Sem essa demonstração, a expressão deve permanecer entre aspas e ser tratada como hipótese.</w:t>
      </w:r>
    </w:p>
    <w:bookmarkEnd w:id="24"/>
    <w:bookmarkStart w:id="25" w:name="comparação-controlada"/>
    <w:p>
      <w:pPr>
        <w:pStyle w:val="Heading3"/>
      </w:pPr>
      <w:r>
        <w:t xml:space="preserve">4.3 Comparação controlada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Liberdade de Delacroix</w:t>
            </w:r>
          </w:p>
        </w:tc>
        <w:tc>
          <w:tcPr/>
          <w:p>
            <w:pPr>
              <w:pStyle w:val="Compact"/>
            </w:pPr>
            <w:r>
              <w:t xml:space="preserve">Casos republicanos brasileiros analisados</w:t>
            </w:r>
          </w:p>
        </w:tc>
        <w:tc>
          <w:tcPr/>
          <w:p>
            <w:pPr>
              <w:pStyle w:val="Compact"/>
            </w:pPr>
            <w:r>
              <w:t xml:space="preserve">Estatuto da conclusão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</w:t>
            </w:r>
          </w:p>
        </w:tc>
        <w:tc>
          <w:tcPr/>
          <w:p>
            <w:pPr>
              <w:pStyle w:val="Compact"/>
            </w:pPr>
            <w:r>
              <w:t xml:space="preserve">Movimento, seios expostos, participação no combate</w:t>
            </w:r>
          </w:p>
        </w:tc>
        <w:tc>
          <w:tcPr/>
          <w:p>
            <w:pPr>
              <w:pStyle w:val="Compact"/>
            </w:pPr>
            <w:r>
              <w:t xml:space="preserve">Cobertura, frontalidade ou estabilidade em Villares e Lopes Rodrigues</w:t>
            </w:r>
          </w:p>
        </w:tc>
        <w:tc>
          <w:tcPr/>
          <w:p>
            <w:pPr>
              <w:pStyle w:val="Compact"/>
            </w:pPr>
            <w:r>
              <w:t xml:space="preserve">Comparação visual verificável nos objetos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</w:t>
            </w:r>
          </w:p>
        </w:tc>
        <w:tc>
          <w:tcPr/>
          <w:p>
            <w:pPr>
              <w:pStyle w:val="Compact"/>
            </w:pPr>
            <w:r>
              <w:t xml:space="preserve">Barrete frígio</w:t>
            </w:r>
          </w:p>
        </w:tc>
        <w:tc>
          <w:tcPr/>
          <w:p>
            <w:pPr>
              <w:pStyle w:val="Compact"/>
            </w:pPr>
            <w:r>
              <w:t xml:space="preserve">Variações de barrete, diadema, ramos e cabelos ordenados</w:t>
            </w:r>
          </w:p>
        </w:tc>
        <w:tc>
          <w:tcPr/>
          <w:p>
            <w:pPr>
              <w:pStyle w:val="Compact"/>
            </w:pPr>
            <w:r>
              <w:t xml:space="preserve">Exige identificação objeto a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Bandeira e avanço sobre a barricada</w:t>
            </w:r>
          </w:p>
        </w:tc>
        <w:tc>
          <w:tcPr/>
          <w:p>
            <w:pPr>
              <w:pStyle w:val="Compact"/>
            </w:pPr>
            <w:r>
              <w:t xml:space="preserve">Emblemas de lei, ordem, abolição ou progresso</w:t>
            </w:r>
          </w:p>
        </w:tc>
        <w:tc>
          <w:tcPr/>
          <w:p>
            <w:pPr>
              <w:pStyle w:val="Compact"/>
            </w:pPr>
            <w:r>
              <w:t xml:space="preserve">Síntese interpretativa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Memória da insurreição e fundação</w:t>
            </w:r>
          </w:p>
        </w:tc>
        <w:tc>
          <w:tcPr/>
          <w:p>
            <w:pPr>
              <w:pStyle w:val="Compact"/>
            </w:pPr>
            <w:r>
              <w:t xml:space="preserve">Legitimação e estabilização do novo regime</w:t>
            </w:r>
          </w:p>
        </w:tc>
        <w:tc>
          <w:tcPr/>
          <w:p>
            <w:pPr>
              <w:pStyle w:val="Compact"/>
            </w:pPr>
            <w:r>
              <w:t xml:space="preserve">Hipótese comparativa apoiada em Agulhon e Carvalho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Gênero político</w:t>
            </w:r>
          </w:p>
        </w:tc>
        <w:tc>
          <w:tcPr/>
          <w:p>
            <w:pPr>
              <w:pStyle w:val="Compact"/>
            </w:pPr>
            <w:r>
              <w:t xml:space="preserve">Feminino ativo, mas ainda alegórico</w:t>
            </w:r>
          </w:p>
        </w:tc>
        <w:tc>
          <w:tcPr/>
          <w:p>
            <w:pPr>
              <w:pStyle w:val="Compact"/>
            </w:pPr>
            <w:r>
              <w:t xml:space="preserve">Feminino moralizado e institucional</w:t>
            </w:r>
          </w:p>
        </w:tc>
        <w:tc>
          <w:tcPr/>
          <w:p>
            <w:pPr>
              <w:pStyle w:val="Compact"/>
            </w:pPr>
            <w:r>
              <w:t xml:space="preserve">Hipótese a testar no corpus</w:t>
            </w:r>
          </w:p>
        </w:tc>
      </w:tr>
    </w:tbl>
    <w:p>
      <w:pPr>
        <w:pStyle w:val="BodyText"/>
      </w:pPr>
      <w:r>
        <w:t xml:space="preserve">A tabela original associava diretamente o barrete frígio ao “medo de revolta de escravos” e a cobertura à “negação da anarquia”. Essas relações não estão demonstradas pelas fontes citadas. Podem tornar-se hipóteses de pesquisa, desde que sustentadas por textos positivistas, críticas de imprensa, documentação de encomenda ou padrões consistentes do corpus.</w:t>
      </w:r>
    </w:p>
    <w:bookmarkEnd w:id="25"/>
    <w:bookmarkStart w:id="26" w:name="ordem-raça-e-contenção-social"/>
    <w:p>
      <w:pPr>
        <w:pStyle w:val="Heading3"/>
      </w:pPr>
      <w:r>
        <w:t xml:space="preserve">4.4 Ordem, raça e contenção social</w:t>
      </w:r>
    </w:p>
    <w:p>
      <w:pPr>
        <w:pStyle w:val="FirstParagraph"/>
      </w:pPr>
      <w:r>
        <w:t xml:space="preserve">A proximidade cronológica entre abolição e República, a circulação de teorias raciais e os projetos de branqueamento constituem elementos indispensáveis para interpretar o imaginário brasileiro do período. Ainda assim, não se pode deduzir automaticamente desses contextos que a roupa da alegoria republicana foi escolhida para impedir uma “leitura haitiana” ou uma revolta negra.</w:t>
      </w:r>
    </w:p>
    <w:p>
      <w:pPr>
        <w:pStyle w:val="BodyText"/>
      </w:pPr>
      <w:r>
        <w:t xml:space="preserve">A hipótese é intelectualmente relevante: uma figura branca, clássica, imóvel e coberta pode participar de uma linguagem de civilização e ordem que exclui corpos negros e populares. Para transformá-la em afirmação histórica, porém, é necessário demonstrar a mediação entre discurso racial e decisão iconográfica. Essa demonstração pode vir de escritos do Apostolado Positivista, críticas contemporâneas às obras, documentação de encomenda ou análise sistemática do corpus.</w:t>
      </w:r>
    </w:p>
    <w:p>
      <w:pPr>
        <w:pStyle w:val="BlockText"/>
      </w:pPr>
      <w:r>
        <w:rPr>
          <w:b/>
          <w:bCs/>
        </w:rPr>
        <w:t xml:space="preserve">CONFIRMAÇÃO DA AUTORA — C5 (nexo racial).</w:t>
      </w:r>
      <w:r>
        <w:t xml:space="preserve"> </w:t>
      </w:r>
      <w:r>
        <w:t xml:space="preserve">O original afirmava como fato que as elites vestiram a República por medo de “haitianização” e em paralelo à política de branqueamento. Nesta revisão, isso foi reclassificado como</w:t>
      </w:r>
      <w:r>
        <w:t xml:space="preserve"> </w:t>
      </w:r>
      <w:r>
        <w:rPr>
          <w:b/>
          <w:bCs/>
        </w:rPr>
        <w:t xml:space="preserve">hipótese autoral ainda não demonstrada</w:t>
      </w:r>
      <w:r>
        <w:t xml:space="preserve">. Confirmar se Ana possui fonte primária ou bibliografia específica para restabelecer o nexo em termos mais fortes.</w:t>
      </w:r>
    </w:p>
    <w:bookmarkEnd w:id="26"/>
    <w:bookmarkStart w:id="27" w:name="portugal-como-contraste"/>
    <w:p>
      <w:pPr>
        <w:pStyle w:val="Heading3"/>
      </w:pPr>
      <w:r>
        <w:t xml:space="preserve">4.5 Portugal como contraste</w:t>
      </w:r>
    </w:p>
    <w:p>
      <w:pPr>
        <w:pStyle w:val="FirstParagraph"/>
      </w:pPr>
      <w:r>
        <w:t xml:space="preserve">A imagem republicana portuguesa pode servir de contraste transatlântico, mas o documento original não apresentou objeto identificado, autoria, instituição custodiante ou prova de circulação no Brasil para a litografia mencionada. Sem esses dados, o argumento de “influência portuguesa” deve ser retirado.</w:t>
      </w:r>
    </w:p>
    <w:p>
      <w:pPr>
        <w:pStyle w:val="BlockText"/>
      </w:pPr>
      <w:r>
        <w:rPr>
          <w:b/>
          <w:bCs/>
        </w:rPr>
        <w:t xml:space="preserve">CONFIRMAÇÃO DA AUTORA — C6 (objeto português).</w:t>
      </w:r>
      <w:r>
        <w:t xml:space="preserve"> </w:t>
      </w:r>
      <w:r>
        <w:t xml:space="preserve">Fornecer, se houver: título completo, autor/editor, data, acervo e URL estável da litografia</w:t>
      </w:r>
      <w:r>
        <w:t xml:space="preserve"> </w:t>
      </w:r>
      <w:r>
        <w:rPr>
          <w:i/>
          <w:iCs/>
        </w:rPr>
        <w:t xml:space="preserve">A Proclamação da República Portuguesa</w:t>
      </w:r>
      <w:r>
        <w:t xml:space="preserve">. Confirmar também se existe evidência de circulação ou recepção no Brasil. Sem isso, manter apenas como comparação externa, nunca como influência.</w:t>
      </w:r>
    </w:p>
    <w:bookmarkEnd w:id="27"/>
    <w:bookmarkEnd w:id="28"/>
    <w:bookmarkStart w:id="29" w:name="X08d9660b26b5d4d02bb67eea91c2d63119f501e"/>
    <w:p>
      <w:pPr>
        <w:pStyle w:val="Heading2"/>
      </w:pPr>
      <w:r>
        <w:t xml:space="preserve">5 Síntese: roupa, venda e nudez como operações políticas</w:t>
      </w:r>
    </w:p>
    <w:p>
      <w:pPr>
        <w:pStyle w:val="FirstParagraph"/>
      </w:pPr>
      <w:r>
        <w:t xml:space="preserve">Justiça e Liberdade não constituem polos naturais. São construções históricas compostas por atributos móveis. A roupa da Justiça contribui para a desindividualização e a autoridade; a venda organiza a tensão entre discernimento e imparcialidade; a nudez da Liberdade associa verdade, natureza, maternidade e ruptura. Nenhum desses sentidos é único, estável ou universal.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Justiça</w:t>
            </w:r>
          </w:p>
        </w:tc>
        <w:tc>
          <w:tcPr/>
          <w:p>
            <w:pPr>
              <w:pStyle w:val="Compact"/>
            </w:pPr>
            <w:r>
              <w:t xml:space="preserve">Liberdade republicana</w:t>
            </w:r>
          </w:p>
        </w:tc>
        <w:tc>
          <w:tcPr/>
          <w:p>
            <w:pPr>
              <w:pStyle w:val="Compact"/>
            </w:pPr>
            <w:r>
              <w:t xml:space="preserve">República brasileira analisada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Olhar</w:t>
            </w:r>
          </w:p>
        </w:tc>
        <w:tc>
          <w:tcPr/>
          <w:p>
            <w:pPr>
              <w:pStyle w:val="Compact"/>
            </w:pPr>
            <w:r>
              <w:t xml:space="preserve">Aberto ou vendado; discernimento, interioridade, imparcialidade e, em críticas, alienação</w:t>
            </w:r>
          </w:p>
        </w:tc>
        <w:tc>
          <w:tcPr/>
          <w:p>
            <w:pPr>
              <w:pStyle w:val="Compact"/>
            </w:pPr>
            <w:r>
              <w:t xml:space="preserve">Aberto e dirigido à ação ou ao futuro</w:t>
            </w:r>
          </w:p>
        </w:tc>
        <w:tc>
          <w:tcPr/>
          <w:p>
            <w:pPr>
              <w:pStyle w:val="Compact"/>
            </w:pPr>
            <w:r>
              <w:t xml:space="preserve">Frequentemente aberto e estabilizado; requer verificação por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</w:t>
            </w:r>
          </w:p>
        </w:tc>
        <w:tc>
          <w:tcPr/>
          <w:p>
            <w:pPr>
              <w:pStyle w:val="Compact"/>
            </w:pPr>
            <w:r>
              <w:t xml:space="preserve">Coberto e desindividualizado</w:t>
            </w:r>
          </w:p>
        </w:tc>
        <w:tc>
          <w:tcPr/>
          <w:p>
            <w:pPr>
              <w:pStyle w:val="Compact"/>
            </w:pPr>
            <w:r>
              <w:t xml:space="preserve">Exposto, móvel e ambivalente</w:t>
            </w:r>
          </w:p>
        </w:tc>
        <w:tc>
          <w:tcPr/>
          <w:p>
            <w:pPr>
              <w:pStyle w:val="Compact"/>
            </w:pPr>
            <w:r>
              <w:t xml:space="preserve">Predominantemente coberto nos casos oficiais aqui discutidos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Vestimenta</w:t>
            </w:r>
          </w:p>
        </w:tc>
        <w:tc>
          <w:tcPr/>
          <w:p>
            <w:pPr>
              <w:pStyle w:val="Compact"/>
            </w:pPr>
            <w:r>
              <w:t xml:space="preserve">Drapejado clássico como autoridade atemporal</w:t>
            </w:r>
          </w:p>
        </w:tc>
        <w:tc>
          <w:tcPr/>
          <w:p>
            <w:pPr>
              <w:pStyle w:val="Compact"/>
            </w:pPr>
            <w:r>
              <w:t xml:space="preserve">Vestido rompido ou drapeado leve como movimento</w:t>
            </w:r>
          </w:p>
        </w:tc>
        <w:tc>
          <w:tcPr/>
          <w:p>
            <w:pPr>
              <w:pStyle w:val="Compact"/>
            </w:pPr>
            <w:r>
              <w:t xml:space="preserve">Túnica ou vestido como moralidade e estabilidade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Balança e espada</w:t>
            </w:r>
          </w:p>
        </w:tc>
        <w:tc>
          <w:tcPr/>
          <w:p>
            <w:pPr>
              <w:pStyle w:val="Compact"/>
            </w:pPr>
            <w:r>
              <w:t xml:space="preserve">Bandeira e armas da insurreição</w:t>
            </w:r>
          </w:p>
        </w:tc>
        <w:tc>
          <w:tcPr/>
          <w:p>
            <w:pPr>
              <w:pStyle w:val="Compact"/>
            </w:pPr>
            <w:r>
              <w:t xml:space="preserve">Lei, bandeira, emblemas nacionais ou positivistas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política</w:t>
            </w:r>
          </w:p>
        </w:tc>
        <w:tc>
          <w:tcPr/>
          <w:p>
            <w:pPr>
              <w:pStyle w:val="Compact"/>
            </w:pPr>
            <w:r>
              <w:t xml:space="preserve">Julgar e manter uma ordem</w:t>
            </w:r>
          </w:p>
        </w:tc>
        <w:tc>
          <w:tcPr/>
          <w:p>
            <w:pPr>
              <w:pStyle w:val="Compact"/>
            </w:pPr>
            <w:r>
              <w:t xml:space="preserve">Fundar, romper e prometer</w:t>
            </w:r>
          </w:p>
        </w:tc>
        <w:tc>
          <w:tcPr/>
          <w:p>
            <w:pPr>
              <w:pStyle w:val="Compact"/>
            </w:pPr>
            <w:r>
              <w:t xml:space="preserve">Legitimar e estabilizar um regime recente</w:t>
            </w:r>
          </w:p>
        </w:tc>
      </w:tr>
    </w:tbl>
    <w:p>
      <w:pPr>
        <w:pStyle w:val="BodyText"/>
      </w:pPr>
      <w:r>
        <w:t xml:space="preserve">O argumento mais forte do documento original deve ser preservado: a presença monumental de mulheres abstratas pode coexistir com a ausência de mulheres concretas nos centros de decisão. A alegoria oferece ao Estado um corpo feminino sem biografia, reivindicação ou poder próprio. A Justiça não julga e a Liberdade não exerce direitos; ambas tornam visíveis qualidades políticas definidas e administradas por instituições historicamente masculinas (WARNER, 1985; LANDES, 2001; RESNIK; CURTIS, 2011).</w:t>
      </w:r>
    </w:p>
    <w:p>
      <w:pPr>
        <w:pStyle w:val="BodyText"/>
      </w:pPr>
      <w:r>
        <w:t xml:space="preserve">No caso brasileiro, a hipótese da “Marianne vestida” acrescenta uma camada específica: o repertório da revolução foi traduzido por uma República preocupada com ordem, moralização e legitimidade. Essa tradução não deve ser tratada como essência nacional nem como conspiração deliberada. Ela pode ser demonstrada por comparação histórica e iconográfica entre objetos, suportes e contextos de uso.</w:t>
      </w:r>
    </w:p>
    <w:p>
      <w:pPr>
        <w:pStyle w:val="BodyText"/>
      </w:pPr>
      <w:r>
        <w:t xml:space="preserve">A venda e a nudez são, por fim, dois modos de produzir evidência política. A venda afirma que a instituição deve suspender aparências; a nudez afirma que a verdade não se oculta. Ambas, contudo, podem encobrir outra ausência: a distância entre a mulher alegórica que encarna o poder e as mulheres históricas submetidas a ele.</w:t>
      </w:r>
    </w:p>
    <w:bookmarkEnd w:id="29"/>
    <w:bookmarkStart w:id="30" w:name="X6b614d5288e71305b17bb5e8a82994c99a35358"/>
    <w:p>
      <w:pPr>
        <w:pStyle w:val="Heading2"/>
      </w:pPr>
      <w:r>
        <w:t xml:space="preserve">Afirmações que exigiam fonte ou requalificação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Afirmação do original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Tratamento nesta 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venda surgiu como símbolo de imparcialidade no Iluminismo e completou sua mudança no século XIX</w:t>
            </w:r>
          </w:p>
        </w:tc>
        <w:tc>
          <w:tcPr/>
          <w:p>
            <w:pPr>
              <w:pStyle w:val="Compact"/>
            </w:pPr>
            <w:r>
              <w:t xml:space="preserve">Periodização linear e sem fonte robusta</w:t>
            </w:r>
          </w:p>
        </w:tc>
        <w:tc>
          <w:tcPr/>
          <w:p>
            <w:pPr>
              <w:pStyle w:val="Compact"/>
            </w:pPr>
            <w:r>
              <w:t xml:space="preserve">Substituída por história gradual e polissêmica com Hayaert, Resnik e Curtis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primeira Justiça vendada é obra de Dürer</w:t>
            </w:r>
          </w:p>
        </w:tc>
        <w:tc>
          <w:tcPr/>
          <w:p>
            <w:pPr>
              <w:pStyle w:val="Compact"/>
            </w:pPr>
            <w:r>
              <w:t xml:space="preserve">Atribuição discutida</w:t>
            </w:r>
          </w:p>
        </w:tc>
        <w:tc>
          <w:tcPr/>
          <w:p>
            <w:pPr>
              <w:pStyle w:val="Compact"/>
            </w:pPr>
            <w:r>
              <w:t xml:space="preserve">Reescrita como xilogravura de 1494 associada ao círculo do jovem Dürer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 roupa da Justiça é uma toga masculina romana</w:t>
            </w:r>
          </w:p>
        </w:tc>
        <w:tc>
          <w:tcPr/>
          <w:p>
            <w:pPr>
              <w:pStyle w:val="Compact"/>
            </w:pPr>
            <w:r>
              <w:t xml:space="preserve">Anacronismo de indumentária</w:t>
            </w:r>
          </w:p>
        </w:tc>
        <w:tc>
          <w:tcPr/>
          <w:p>
            <w:pPr>
              <w:pStyle w:val="Compact"/>
            </w:pPr>
            <w:r>
              <w:t xml:space="preserve">Distinção entre toga histórica e drapeado alegórico com Sebesta e Bonfante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seios de Marianne significam nutrição, não erotismo</w:t>
            </w:r>
          </w:p>
        </w:tc>
        <w:tc>
          <w:tcPr/>
          <w:p>
            <w:pPr>
              <w:pStyle w:val="Compact"/>
            </w:pPr>
            <w:r>
              <w:t xml:space="preserve">Falso dilema interpretativo</w:t>
            </w:r>
          </w:p>
        </w:tc>
        <w:tc>
          <w:tcPr/>
          <w:p>
            <w:pPr>
              <w:pStyle w:val="Compact"/>
            </w:pPr>
            <w:r>
              <w:t xml:space="preserve">Reescrita como sobreposição de códigos maternos, clássicos, eróticos e insurgentes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República brasileira rejeitou a nudez jacobina por programa uniforme</w:t>
            </w:r>
          </w:p>
        </w:tc>
        <w:tc>
          <w:tcPr/>
          <w:p>
            <w:pPr>
              <w:pStyle w:val="Compact"/>
            </w:pPr>
            <w:r>
              <w:t xml:space="preserve">Generalização sem prova de programa estatal único</w:t>
            </w:r>
          </w:p>
        </w:tc>
        <w:tc>
          <w:tcPr/>
          <w:p>
            <w:pPr>
              <w:pStyle w:val="Compact"/>
            </w:pPr>
            <w:r>
              <w:t xml:space="preserve">Restringida a uma vertente positivista influente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Villares foi “artista oficial” e coautor inequívoco de toda iconografia do regime</w:t>
            </w:r>
          </w:p>
        </w:tc>
        <w:tc>
          <w:tcPr/>
          <w:p>
            <w:pPr>
              <w:pStyle w:val="Compact"/>
            </w:pPr>
            <w:r>
              <w:t xml:space="preserve">Formulação excessiva</w:t>
            </w:r>
          </w:p>
        </w:tc>
        <w:tc>
          <w:tcPr/>
          <w:p>
            <w:pPr>
              <w:pStyle w:val="Compact"/>
            </w:pPr>
            <w:r>
              <w:t xml:space="preserve">Substituída por atuação documentada e participação na bandeira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roupa da República foi resposta direta ao medo de “haitianização”</w:t>
            </w:r>
          </w:p>
        </w:tc>
        <w:tc>
          <w:tcPr/>
          <w:p>
            <w:pPr>
              <w:pStyle w:val="Compact"/>
            </w:pPr>
            <w:r>
              <w:t xml:space="preserve">Nexo causal não demonstrado</w:t>
            </w:r>
          </w:p>
        </w:tc>
        <w:tc>
          <w:tcPr/>
          <w:p>
            <w:pPr>
              <w:pStyle w:val="Compact"/>
            </w:pPr>
            <w:r>
              <w:t xml:space="preserve">Marcada como hipótese pendente 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litografia portuguesa influenciou o Brasil</w:t>
            </w:r>
          </w:p>
        </w:tc>
        <w:tc>
          <w:tcPr/>
          <w:p>
            <w:pPr>
              <w:pStyle w:val="Compact"/>
            </w:pPr>
            <w:r>
              <w:t xml:space="preserve">Objeto e circulação não demonstrados</w:t>
            </w:r>
          </w:p>
        </w:tc>
        <w:tc>
          <w:tcPr/>
          <w:p>
            <w:pPr>
              <w:pStyle w:val="Compact"/>
            </w:pPr>
            <w:r>
              <w:t xml:space="preserve">Marcada como pendência 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Há uma tendência mundial atual de retirada da venda</w:t>
            </w:r>
          </w:p>
        </w:tc>
        <w:tc>
          <w:tcPr/>
          <w:p>
            <w:pPr>
              <w:pStyle w:val="Compact"/>
            </w:pPr>
            <w:r>
              <w:t xml:space="preserve">Generalização a partir de um caso</w:t>
            </w:r>
          </w:p>
        </w:tc>
        <w:tc>
          <w:tcPr/>
          <w:p>
            <w:pPr>
              <w:pStyle w:val="Compact"/>
            </w:pPr>
            <w:r>
              <w:t xml:space="preserve">Caso indiano mantido como exemplo específico, pendência 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Warner chama a alegoria de “vaso vazio”</w:t>
            </w:r>
          </w:p>
        </w:tc>
        <w:tc>
          <w:tcPr/>
          <w:p>
            <w:pPr>
              <w:pStyle w:val="Compact"/>
            </w:pPr>
            <w:r>
              <w:t xml:space="preserve">Possível falsa citação literal</w:t>
            </w:r>
          </w:p>
        </w:tc>
        <w:tc>
          <w:tcPr/>
          <w:p>
            <w:pPr>
              <w:pStyle w:val="Compact"/>
            </w:pPr>
            <w:r>
              <w:t xml:space="preserve">Mantida apenas como síntese interpretativa, sem aspas de citação</w:t>
            </w:r>
          </w:p>
        </w:tc>
      </w:tr>
    </w:tbl>
    <w:bookmarkEnd w:id="30"/>
    <w:bookmarkStart w:id="31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AGULHON, Maurice.</w:t>
      </w:r>
      <w:r>
        <w:t xml:space="preserve"> </w:t>
      </w:r>
      <w:r>
        <w:rPr>
          <w:b/>
          <w:bCs/>
        </w:rPr>
        <w:t xml:space="preserve">Marianne au combat: l’imagerie et la symbolique républicaines de 1789 à 1880</w:t>
      </w:r>
      <w:r>
        <w:t xml:space="preserve">. Paris: Flammarion, 1979.</w:t>
      </w:r>
    </w:p>
    <w:p>
      <w:pPr>
        <w:pStyle w:val="BodyText"/>
      </w:pPr>
      <w:r>
        <w:t xml:space="preserve">BRANT, Sebastian.</w:t>
      </w:r>
      <w:r>
        <w:t xml:space="preserve"> </w:t>
      </w:r>
      <w:r>
        <w:rPr>
          <w:b/>
          <w:bCs/>
        </w:rPr>
        <w:t xml:space="preserve">Das Narrenschiff</w:t>
      </w:r>
      <w:r>
        <w:t xml:space="preserve">. Strassburg: K. J. Trübner, 1913. Reimpressão da edição de 1494 publicada por Johann Bergmann, Basel. Disponível em: https://archive.org/details/dasnarrenschiff01bran. Acesso em: 27 jul. 2026.</w:t>
      </w:r>
    </w:p>
    <w:p>
      <w:pPr>
        <w:pStyle w:val="BodyText"/>
      </w:pPr>
      <w:r>
        <w:t xml:space="preserve">CARVALHO, José Murilo de.</w:t>
      </w:r>
      <w:r>
        <w:t xml:space="preserve"> </w:t>
      </w:r>
      <w:r>
        <w:rPr>
          <w:b/>
          <w:bCs/>
        </w:rPr>
        <w:t xml:space="preserve">A formação das almas: o imaginário da República no Brasil</w:t>
      </w:r>
      <w:r>
        <w:t xml:space="preserve">. São Paulo: Companhia das Letras, 1990.</w:t>
      </w:r>
    </w:p>
    <w:p>
      <w:pPr>
        <w:pStyle w:val="BodyText"/>
      </w:pPr>
      <w:r>
        <w:t xml:space="preserve">CASTRO, Celso.</w:t>
      </w:r>
      <w:r>
        <w:t xml:space="preserve"> </w:t>
      </w:r>
      <w:r>
        <w:rPr>
          <w:b/>
          <w:bCs/>
        </w:rPr>
        <w:t xml:space="preserve">A proclamação da República</w:t>
      </w:r>
      <w:r>
        <w:t xml:space="preserve">. Rio de Janeiro: Zahar, 2000.</w:t>
      </w:r>
    </w:p>
    <w:p>
      <w:pPr>
        <w:pStyle w:val="BodyText"/>
      </w:pPr>
      <w:r>
        <w:t xml:space="preserve">CHRISAFIS, Angelique. French PM suggests naked breasts represent France better than a headscarf.</w:t>
      </w:r>
      <w:r>
        <w:t xml:space="preserve"> </w:t>
      </w:r>
      <w:r>
        <w:rPr>
          <w:b/>
          <w:bCs/>
        </w:rPr>
        <w:t xml:space="preserve">The Guardian</w:t>
      </w:r>
      <w:r>
        <w:t xml:space="preserve">, London, 30 ago. 2016. Disponível em: https://www.theguardian.com/world/2016/aug/30/france-manuel-valls-breasts-headscarf-burkini-ban-row. Acesso em: 27 jul. 2026.</w:t>
      </w:r>
    </w:p>
    <w:p>
      <w:pPr>
        <w:pStyle w:val="BodyText"/>
      </w:pPr>
      <w:r>
        <w:t xml:space="preserve">HAYAERT, Valérie. The paradoxes of Lady Justice’s blindfold. In: HUYGEBAERT, Stefan; MARTYN, Georges; PAUMEN, Vanessa; BOUSMAR, Eric; ROUSSEAUX, Xavier (org.).</w:t>
      </w:r>
      <w:r>
        <w:t xml:space="preserve"> </w:t>
      </w:r>
      <w:r>
        <w:rPr>
          <w:b/>
          <w:bCs/>
        </w:rPr>
        <w:t xml:space="preserve">The art of law: artistic representations and iconography of law and justice in context, from the Middle Ages to the First World War</w:t>
      </w:r>
      <w:r>
        <w:t xml:space="preserve">. Cham: Springer, 2018. p. 201–222. (Ius Gentium: Comparative Perspectives on Law and Justice, v. 66). DOI: https://doi.org/10.1007/978-3-319-90787-1_11. Disponível em: https://link.springer.com/chapter/10.1007/978-3-319-90787-1_11. Acesso em: 27 jul. 2026.</w:t>
      </w:r>
    </w:p>
    <w:p>
      <w:pPr>
        <w:pStyle w:val="BodyText"/>
      </w:pPr>
      <w:r>
        <w:t xml:space="preserve">HAYAERT, Valérie.</w:t>
      </w:r>
      <w:r>
        <w:t xml:space="preserve"> </w:t>
      </w:r>
      <w:r>
        <w:rPr>
          <w:b/>
          <w:bCs/>
        </w:rPr>
        <w:t xml:space="preserve">Lady Justice: an anatomy of allegory</w:t>
      </w:r>
      <w:r>
        <w:t xml:space="preserve">. Edinburgh: Edinburgh University Press, 2023.</w:t>
      </w:r>
    </w:p>
    <w:p>
      <w:pPr>
        <w:pStyle w:val="BodyText"/>
      </w:pPr>
      <w:r>
        <w:t xml:space="preserve">LANDES, Joan B.</w:t>
      </w:r>
      <w:r>
        <w:t xml:space="preserve"> </w:t>
      </w:r>
      <w:r>
        <w:rPr>
          <w:b/>
          <w:bCs/>
        </w:rPr>
        <w:t xml:space="preserve">Visualizing the nation: gender, representation, and revolution in eighteenth-century France</w:t>
      </w:r>
      <w:r>
        <w:t xml:space="preserve">. Ithaca: Cornell University Press, 2001.</w:t>
      </w:r>
    </w:p>
    <w:p>
      <w:pPr>
        <w:pStyle w:val="BodyText"/>
      </w:pPr>
      <w:r>
        <w:t xml:space="preserve">MUSÉE DU LOUVRE.</w:t>
      </w:r>
      <w:r>
        <w:t xml:space="preserve"> </w:t>
      </w:r>
      <w:r>
        <w:rPr>
          <w:b/>
          <w:bCs/>
        </w:rPr>
        <w:t xml:space="preserve">Le 28 juillet 1830. La Liberté guidant le peuple</w:t>
      </w:r>
      <w:r>
        <w:t xml:space="preserve">. 1830. 1 pintura, óleo sobre tela, 260 × 325 cm. Obra de Eugène Delacroix. Disponível em: https://collections.louvre.fr/en/ark:/53355/cl010065872. Acesso em: 27 jul. 2026.</w:t>
      </w:r>
    </w:p>
    <w:p>
      <w:pPr>
        <w:pStyle w:val="BodyText"/>
      </w:pPr>
      <w:r>
        <w:t xml:space="preserve">MUSEU HISTÓRICO NACIONAL.</w:t>
      </w:r>
      <w:r>
        <w:t xml:space="preserve"> </w:t>
      </w:r>
      <w:r>
        <w:rPr>
          <w:b/>
          <w:bCs/>
        </w:rPr>
        <w:t xml:space="preserve">Estudo de Décio Villares volta ao circuito expositivo do MHN</w:t>
      </w:r>
      <w:r>
        <w:t xml:space="preserve">. Rio de Janeiro, 17 jul. 2018. Disponível em: https://mhn.museus.gov.br/estudo-de-decio-villares-volta-ao-circuito-expositivo-do-mhn/. Acesso em: 27 jul. 2026.</w:t>
      </w:r>
    </w:p>
    <w:p>
      <w:pPr>
        <w:pStyle w:val="BodyText"/>
      </w:pPr>
      <w:r>
        <w:t xml:space="preserve">NASCIMENTO, Francisco de Assis de Sousa; BATISTA, Joel Marcos Brasil de Sousa. Entre Marianne e Clotilde: a representação feminina nas representações da República brasileira (1889–1896).</w:t>
      </w:r>
      <w:r>
        <w:t xml:space="preserve"> </w:t>
      </w:r>
      <w:r>
        <w:rPr>
          <w:b/>
          <w:bCs/>
        </w:rPr>
        <w:t xml:space="preserve">Revista de Estudos de Cultura</w:t>
      </w:r>
      <w:r>
        <w:t xml:space="preserve">, São Cristóvão, v. 8, n. 21, p. 85–97, 2022. DOI: https://doi.org/10.32748/revec.v8i21.18508. Disponível em: https://periodicos.ufs.br/revec/article/view/18508. Acesso em: 27 jul. 2026.</w:t>
      </w:r>
    </w:p>
    <w:p>
      <w:pPr>
        <w:pStyle w:val="BodyText"/>
      </w:pPr>
      <w:r>
        <w:t xml:space="preserve">NDTV.</w:t>
      </w:r>
      <w:r>
        <w:t xml:space="preserve"> </w:t>
      </w:r>
      <w:r>
        <w:rPr>
          <w:b/>
          <w:bCs/>
        </w:rPr>
        <w:t xml:space="preserve">Blindfold comes off new Justice statue in Supreme Court: see the other big change</w:t>
      </w:r>
      <w:r>
        <w:t xml:space="preserve">. New Delhi, 16 out. 2024. Disponível em: https://www.ndtv.com/india-news/lady-of-justice-goddess-of-justice-with-new-justice-statue-in-supreme-court-a-law-is-not-blind-message-6803654. Acesso em: 27 jul. 2026.</w:t>
      </w:r>
    </w:p>
    <w:p>
      <w:pPr>
        <w:pStyle w:val="BodyText"/>
      </w:pPr>
      <w:r>
        <w:t xml:space="preserve">PATEMAN, Carole.</w:t>
      </w:r>
      <w:r>
        <w:t xml:space="preserve"> </w:t>
      </w:r>
      <w:r>
        <w:rPr>
          <w:b/>
          <w:bCs/>
        </w:rPr>
        <w:t xml:space="preserve">The sexual contract</w:t>
      </w:r>
      <w:r>
        <w:t xml:space="preserve">. Stanford: Stanford University Press, 1988.</w:t>
      </w:r>
    </w:p>
    <w:p>
      <w:pPr>
        <w:pStyle w:val="BodyText"/>
      </w:pPr>
      <w:r>
        <w:t xml:space="preserve">PINTO JUNIOR, Rafael Alves. Manoel Lopes Rodrigues e a</w:t>
      </w:r>
      <w:r>
        <w:t xml:space="preserve"> </w:t>
      </w:r>
      <w:r>
        <w:rPr>
          <w:i/>
          <w:iCs/>
        </w:rPr>
        <w:t xml:space="preserve">Alegoria da República</w:t>
      </w:r>
      <w:r>
        <w:t xml:space="preserve"> </w:t>
      </w:r>
      <w:r>
        <w:t xml:space="preserve">(1896): do cotidiano da política à imortalidade do Panteão.</w:t>
      </w:r>
      <w:r>
        <w:t xml:space="preserve"> </w:t>
      </w:r>
      <w:r>
        <w:rPr>
          <w:b/>
          <w:bCs/>
        </w:rPr>
        <w:t xml:space="preserve">19&amp;20</w:t>
      </w:r>
      <w:r>
        <w:t xml:space="preserve">, Rio de Janeiro, v. 5, n. 4, out./dez. 2010. Disponível em: http://www.dezenovevinte.net/obras/mlr_rapj.htm. Acesso em: 27 jul. 2026.</w:t>
      </w:r>
    </w:p>
    <w:p>
      <w:pPr>
        <w:pStyle w:val="BodyText"/>
      </w:pPr>
      <w:r>
        <w:t xml:space="preserve">RAWLS, John.</w:t>
      </w:r>
      <w:r>
        <w:t xml:space="preserve"> </w:t>
      </w:r>
      <w:r>
        <w:rPr>
          <w:b/>
          <w:bCs/>
        </w:rPr>
        <w:t xml:space="preserve">A theory of justice</w:t>
      </w:r>
      <w:r>
        <w:t xml:space="preserve">. Cambridge, MA: Harvard University Press, 1971.</w:t>
      </w:r>
    </w:p>
    <w:p>
      <w:pPr>
        <w:pStyle w:val="BodyText"/>
      </w:pPr>
      <w:r>
        <w:t xml:space="preserve">RESNIK, Judith; CURTIS, Dennis.</w:t>
      </w:r>
      <w:r>
        <w:t xml:space="preserve"> </w:t>
      </w:r>
      <w:r>
        <w:rPr>
          <w:b/>
          <w:bCs/>
        </w:rPr>
        <w:t xml:space="preserve">Representing justice: invention, controversy, and rights in city-states and democratic courtrooms</w:t>
      </w:r>
      <w:r>
        <w:t xml:space="preserve">. New Haven: Yale University Press, 2011.</w:t>
      </w:r>
    </w:p>
    <w:p>
      <w:pPr>
        <w:pStyle w:val="BodyText"/>
      </w:pPr>
      <w:r>
        <w:t xml:space="preserve">SCOTT, Joan Wallach.</w:t>
      </w:r>
      <w:r>
        <w:t xml:space="preserve"> </w:t>
      </w:r>
      <w:r>
        <w:rPr>
          <w:b/>
          <w:bCs/>
        </w:rPr>
        <w:t xml:space="preserve">The politics of the veil</w:t>
      </w:r>
      <w:r>
        <w:t xml:space="preserve">. Princeton: Princeton University Press, 2007.</w:t>
      </w:r>
    </w:p>
    <w:p>
      <w:pPr>
        <w:pStyle w:val="BodyText"/>
      </w:pPr>
      <w:r>
        <w:t xml:space="preserve">SEBESTA, Judith Lynn; BONFANTE, Larissa (org.).</w:t>
      </w:r>
      <w:r>
        <w:t xml:space="preserve"> </w:t>
      </w:r>
      <w:r>
        <w:rPr>
          <w:b/>
          <w:bCs/>
        </w:rPr>
        <w:t xml:space="preserve">The world of Roman costume</w:t>
      </w:r>
      <w:r>
        <w:t xml:space="preserve">. Madison: University of Wisconsin Press, 1994.</w:t>
      </w:r>
    </w:p>
    <w:p>
      <w:pPr>
        <w:pStyle w:val="BodyText"/>
      </w:pPr>
      <w:r>
        <w:t xml:space="preserve">WARNER, Marina.</w:t>
      </w:r>
      <w:r>
        <w:t xml:space="preserve"> </w:t>
      </w:r>
      <w:r>
        <w:rPr>
          <w:b/>
          <w:bCs/>
        </w:rPr>
        <w:t xml:space="preserve">Monuments and maidens: the allegory of the female form</w:t>
      </w:r>
      <w:r>
        <w:t xml:space="preserve">. London: Weidenfeld &amp; Nicolson, 1985.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olhar divino à cegueira imposta: a metamorfose semântica da venda da Justiça e a nudez política da Liberdade</dc:title>
  <dc:creator>Ana Vanzin</dc:creator>
  <dc:language>pt-BR</dc:language>
  <cp:keywords/>
  <dcterms:created xsi:type="dcterms:W3CDTF">2026-07-30T03:27:27Z</dcterms:created>
  <dcterms:modified xsi:type="dcterms:W3CDTF">2026-07-30T03:27:27Z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2026-07-27</vt:lpwstr>
  </property>
  <property fmtid="{D5CDD505-2E9C-101B-9397-08002B2CF9AE}" pid="3" name="status">
    <vt:lpwstr>revisão acadêmica com pendências de confirmação</vt:lpwstr>
  </property>
</Properties>
</file>